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15F57" w14:textId="17ADCAE4" w:rsidR="00F01966" w:rsidRDefault="00F01966" w:rsidP="001C04C6">
      <w:pPr>
        <w:pStyle w:val="Vir"/>
        <w:sectPr w:rsidR="00F01966" w:rsidSect="00F01966">
          <w:headerReference w:type="default" r:id="rId8"/>
          <w:headerReference w:type="first" r:id="rId9"/>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71A02687" w14:textId="1F219155" w:rsidR="0073796B" w:rsidRPr="0039662C" w:rsidRDefault="00A60A37" w:rsidP="0039662C">
      <w:pPr>
        <w:pStyle w:val="Naslov1"/>
      </w:pPr>
      <w:r>
        <w:t>1</w:t>
      </w:r>
      <w:r w:rsidR="009A41AA">
        <w:t>3</w:t>
      </w:r>
      <w:r w:rsidR="00390DF7">
        <w:t>2</w:t>
      </w:r>
      <w:r w:rsidR="0073796B" w:rsidRPr="0039662C">
        <w:t>. redna seja Vlade Republike Slovenije</w:t>
      </w:r>
    </w:p>
    <w:p w14:paraId="27F30B92" w14:textId="24CCA728" w:rsidR="0073796B" w:rsidRDefault="00390DF7" w:rsidP="008B7AF2">
      <w:pPr>
        <w:pStyle w:val="DatumSZJ"/>
      </w:pPr>
      <w:r>
        <w:t>12.</w:t>
      </w:r>
      <w:r w:rsidR="0073796B" w:rsidRPr="008B7AF2">
        <w:t xml:space="preserve"> </w:t>
      </w:r>
      <w:r w:rsidR="009A41AA">
        <w:t>d</w:t>
      </w:r>
      <w:r w:rsidR="00B70F5B">
        <w:t>e</w:t>
      </w:r>
      <w:r w:rsidR="009A41AA">
        <w:t>ce</w:t>
      </w:r>
      <w:r w:rsidR="00B70F5B">
        <w:t>m</w:t>
      </w:r>
      <w:r w:rsidR="0073796B" w:rsidRPr="008B7AF2">
        <w:t>ber 202</w:t>
      </w:r>
      <w:r w:rsidR="00A60A37">
        <w:t>4</w:t>
      </w:r>
    </w:p>
    <w:p w14:paraId="558895E4" w14:textId="6BE96729" w:rsidR="00FB28E0" w:rsidRDefault="00FB28E0" w:rsidP="00FB28E0">
      <w:pPr>
        <w:pStyle w:val="Naslov2"/>
      </w:pPr>
      <w:r>
        <w:t>Sklep o določitvi deležev za leto 2024 za zbiranje in obdelavo odpadne električne in elektronske opreme</w:t>
      </w:r>
    </w:p>
    <w:p w14:paraId="1DB51272" w14:textId="24105BE7" w:rsidR="00FB28E0" w:rsidRDefault="00FB28E0" w:rsidP="00FB28E0">
      <w:r>
        <w:t xml:space="preserve">Vlada je sprejela sklep o določitvi deležev izpolnjevanja obveznosti, za katere morajo proizvajalci električne in elektronske opreme za leto 2024 zagotoviti zbiranje in obdelavo odpadne električne in elektronske opreme, ter ga objavi v Uradnem listu Republike Slovenije. </w:t>
      </w:r>
    </w:p>
    <w:p w14:paraId="5994E4AD" w14:textId="46915271" w:rsidR="00862B16" w:rsidRDefault="00FB28E0" w:rsidP="00FB28E0">
      <w:pPr>
        <w:pStyle w:val="Vir"/>
      </w:pPr>
      <w:r>
        <w:t>Vir: Ministrstvo za okolje, podnebje in energijo</w:t>
      </w:r>
    </w:p>
    <w:p w14:paraId="679D174E" w14:textId="0DF3202E" w:rsidR="00FF60EF" w:rsidRDefault="00FF60EF" w:rsidP="00FF60EF">
      <w:pPr>
        <w:pStyle w:val="Naslov2"/>
      </w:pPr>
      <w:r>
        <w:t>Vlada sprejela program sofinanciranja investicij Ministrstva za obrambo v lokalno javno infrastrukturo v letu 2025 v Občini Ilirska Bistrica</w:t>
      </w:r>
    </w:p>
    <w:p w14:paraId="160AD2AB" w14:textId="77777777" w:rsidR="00FF60EF" w:rsidRDefault="00FF60EF" w:rsidP="00FF60EF">
      <w:r>
        <w:t xml:space="preserve">Slovenska vojska, v povezavi s koriščenjem večjih vojaških infrastrukturnih objektov, kot je Osrednje vadišče Slovenske vojske – vadišče in strelišče Bač, na teh območjih v večjem obsegu uporablja lokalno javno infrastrukturo. </w:t>
      </w:r>
    </w:p>
    <w:p w14:paraId="3840A012" w14:textId="77777777" w:rsidR="00FF60EF" w:rsidRDefault="00FF60EF" w:rsidP="00FF60EF"/>
    <w:p w14:paraId="2249A3FD" w14:textId="77777777" w:rsidR="00FF60EF" w:rsidRDefault="00FF60EF" w:rsidP="00FF60EF">
      <w:r>
        <w:t xml:space="preserve">Z Občino Ilirska Bistrica ima Ministrstvo za obrambo sklenjen poseben dogovor, ki med drugim predvideva tudi sofinanciranje posodabljanja lokalne javne infrastrukture, ki jo v povezavi z vojaškimi objekti souporablja Slovenska vojska, in sicer s ciljem zagotoviti njeno dolgoročno uporabo z upoštevanjem interesov lokalne skupnosti. </w:t>
      </w:r>
    </w:p>
    <w:p w14:paraId="7E24E564" w14:textId="77777777" w:rsidR="00FF60EF" w:rsidRDefault="00FF60EF" w:rsidP="00FF60EF"/>
    <w:p w14:paraId="68812E47" w14:textId="77777777" w:rsidR="00FF60EF" w:rsidRDefault="00FF60EF" w:rsidP="00FF60EF">
      <w:r>
        <w:t xml:space="preserve">V Občini Ilirska Bistrica se je v letih 2023, 2024 in 2025 predvidevalo sofinanciranje projekta Preplastitev vozišča lokalne ceste LC 135081 – odsek Koritnice–Mašun, s katerim bo Ministrstvo za obrambo sodelovalo pri projektih izboljšanja komunalne infrastrukture na območju strelišča/vadišča Bač, in sicer v okviru treh pododsekov:  </w:t>
      </w:r>
    </w:p>
    <w:p w14:paraId="3ED94ADC" w14:textId="77777777" w:rsidR="00FF60EF" w:rsidRDefault="00FF60EF" w:rsidP="00FF60EF"/>
    <w:p w14:paraId="3119B76F" w14:textId="4517FAA1" w:rsidR="00FF60EF" w:rsidRDefault="00FF60EF" w:rsidP="00FF60EF">
      <w:pPr>
        <w:pStyle w:val="Odstavekseznama"/>
        <w:numPr>
          <w:ilvl w:val="0"/>
          <w:numId w:val="12"/>
        </w:numPr>
      </w:pPr>
      <w:r>
        <w:t>pododsek odcep Devin od km 4.090 do km 5.413 v dolžini 1.323 km</w:t>
      </w:r>
    </w:p>
    <w:p w14:paraId="429EEB2D" w14:textId="77777777" w:rsidR="00FF60EF" w:rsidRDefault="00FF60EF" w:rsidP="00FF60EF">
      <w:r>
        <w:t>Razmerje financiranja je 75 % (MO) : 25 % (Občina Ilirska Bistrica), pri čemer:</w:t>
      </w:r>
    </w:p>
    <w:p w14:paraId="65B0EC9F" w14:textId="77777777" w:rsidR="00FF60EF" w:rsidRDefault="00FF60EF" w:rsidP="00FF60EF">
      <w:r>
        <w:t>–</w:t>
      </w:r>
      <w:r>
        <w:tab/>
        <w:t>ocenjena vrednost deleža MO znaša 154.003,64 evra,</w:t>
      </w:r>
    </w:p>
    <w:p w14:paraId="4F727058" w14:textId="77777777" w:rsidR="00FF60EF" w:rsidRDefault="00FF60EF" w:rsidP="00FF60EF">
      <w:r>
        <w:t>–</w:t>
      </w:r>
      <w:r>
        <w:tab/>
        <w:t>ocenjena vrednost deleža Občine Ilirska Bistrica znaša 51.334,54 evra.</w:t>
      </w:r>
    </w:p>
    <w:p w14:paraId="744CBEFA" w14:textId="77777777" w:rsidR="00FF60EF" w:rsidRDefault="00FF60EF" w:rsidP="00FF60EF"/>
    <w:p w14:paraId="3F4762F3" w14:textId="6C5A5795" w:rsidR="00FF60EF" w:rsidRDefault="00FF60EF" w:rsidP="00FF60EF">
      <w:pPr>
        <w:pStyle w:val="Odstavekseznama"/>
        <w:numPr>
          <w:ilvl w:val="0"/>
          <w:numId w:val="12"/>
        </w:numPr>
      </w:pPr>
      <w:r>
        <w:t>pododsek Koritnice–Mašun od km 6.170 do km 8.940 v dolžini 2.770 km</w:t>
      </w:r>
    </w:p>
    <w:p w14:paraId="30ABCDEF" w14:textId="77777777" w:rsidR="00FF60EF" w:rsidRDefault="00FF60EF" w:rsidP="00FF60EF">
      <w:r>
        <w:t>Razmerje financiranja je 80 % (MO) : 20 % (Občina Ilirska Bistrica), pri čemer:</w:t>
      </w:r>
    </w:p>
    <w:p w14:paraId="4A081281" w14:textId="77777777" w:rsidR="00FF60EF" w:rsidRDefault="00FF60EF" w:rsidP="00FF60EF">
      <w:r>
        <w:t>–</w:t>
      </w:r>
      <w:r>
        <w:tab/>
        <w:t>ocenjena vrednost deleža MO znaša 375.364,70 evra,</w:t>
      </w:r>
    </w:p>
    <w:p w14:paraId="32BAC00C" w14:textId="77777777" w:rsidR="00FF60EF" w:rsidRDefault="00FF60EF" w:rsidP="00FF60EF">
      <w:r>
        <w:t>–    ocenjena vrednost deleža Občine Ilirska Bistrica znaša 93.841,18 evra.</w:t>
      </w:r>
    </w:p>
    <w:p w14:paraId="41665664" w14:textId="77777777" w:rsidR="00FF60EF" w:rsidRDefault="00FF60EF" w:rsidP="00FF60EF"/>
    <w:p w14:paraId="0E0CFF7E" w14:textId="6425DAE6" w:rsidR="00FF60EF" w:rsidRDefault="00FF60EF" w:rsidP="00FF60EF">
      <w:pPr>
        <w:pStyle w:val="Odstavekseznama"/>
        <w:numPr>
          <w:ilvl w:val="0"/>
          <w:numId w:val="12"/>
        </w:numPr>
      </w:pPr>
      <w:r>
        <w:t>pododsek pristava Mašun od km 10.165 do km 10.460 v dolžini 0,295 km</w:t>
      </w:r>
    </w:p>
    <w:p w14:paraId="23B22AFD" w14:textId="77777777" w:rsidR="00FF60EF" w:rsidRDefault="00FF60EF" w:rsidP="00FF60EF">
      <w:r>
        <w:t>Razmerje financiranja je 80 % (MO) : 20 % (Občina Ilirska Bistrica), pri čemer:</w:t>
      </w:r>
    </w:p>
    <w:p w14:paraId="0527F7D1" w14:textId="77777777" w:rsidR="00FF60EF" w:rsidRDefault="00FF60EF" w:rsidP="00FF60EF">
      <w:r>
        <w:t>–</w:t>
      </w:r>
      <w:r>
        <w:tab/>
        <w:t>ocenjena vrednost deleža MO znaša 69.212,42 evra,</w:t>
      </w:r>
    </w:p>
    <w:p w14:paraId="695AC079" w14:textId="77777777" w:rsidR="00FF60EF" w:rsidRDefault="00FF60EF" w:rsidP="00FF60EF">
      <w:r>
        <w:t>–</w:t>
      </w:r>
      <w:r>
        <w:tab/>
        <w:t>ocenjena vrednost deleža Občine Ilirska Bistrica znaša 17.303,11 evra.</w:t>
      </w:r>
    </w:p>
    <w:p w14:paraId="5996E0F6" w14:textId="77777777" w:rsidR="00FF60EF" w:rsidRDefault="00FF60EF" w:rsidP="00FF60EF"/>
    <w:p w14:paraId="0C4112A4" w14:textId="2D03047F" w:rsidR="00FF60EF" w:rsidRDefault="00FF60EF" w:rsidP="00FF60EF">
      <w:r>
        <w:t xml:space="preserve">Če bo končna vrednost projekta obnove pododsekov višja od skupne ocenjene vrednosti v višini 761.059,59 evra (od tega je ocenjena vrednost deleža MO 598.580,76 evra in ocenjena vrednost deleža Občine Ilirska Bistrica 162.478,83 evra), razliko poravna Občina Ilirska Bistrica. </w:t>
      </w:r>
    </w:p>
    <w:p w14:paraId="3774C5D1" w14:textId="77777777" w:rsidR="00FF60EF" w:rsidRDefault="00FF60EF" w:rsidP="00FF60EF"/>
    <w:p w14:paraId="15D5AB29" w14:textId="77777777" w:rsidR="00FF60EF" w:rsidRDefault="00FF60EF" w:rsidP="00FF60EF">
      <w:r>
        <w:lastRenderedPageBreak/>
        <w:t>Program sofinanciranja Ministrstva za obrambo lokalne javne infrastrukture je omejen le na lokalno javno infrastrukturo, ki jo Slovenska vojska souporablja, in je izrednega pomena za Ministrstvo za obrambo ter je prilagojen stanju javnih financ in obrambnemu proračunu.</w:t>
      </w:r>
    </w:p>
    <w:p w14:paraId="1763690B" w14:textId="4113FB44" w:rsidR="00862B16" w:rsidRDefault="00FF60EF" w:rsidP="00FF60EF">
      <w:pPr>
        <w:pStyle w:val="Vir"/>
      </w:pPr>
      <w:r>
        <w:t>Vir: Ministrstvo za obrambo</w:t>
      </w:r>
    </w:p>
    <w:p w14:paraId="4C3FEEEE" w14:textId="658107BC" w:rsidR="00335922" w:rsidRDefault="00335922" w:rsidP="004B219B">
      <w:pPr>
        <w:pStyle w:val="Naslov2"/>
      </w:pPr>
      <w:r>
        <w:t>Soglasje k spremembi Tarife o taksah in nadomestilih Agencije za javni nadzor nad revidiranjem</w:t>
      </w:r>
    </w:p>
    <w:p w14:paraId="5EE50242" w14:textId="4AA2B894" w:rsidR="00335922" w:rsidRDefault="00335922" w:rsidP="00335922">
      <w:r>
        <w:t>Vlada daje soglasje k spremembi Tarife o taksah in nadomestilih Agencije za javni nadzor nad revidiranjem.</w:t>
      </w:r>
    </w:p>
    <w:p w14:paraId="12947845" w14:textId="77777777" w:rsidR="00335922" w:rsidRDefault="00335922" w:rsidP="00335922"/>
    <w:p w14:paraId="64D69DD2" w14:textId="3C0D691D" w:rsidR="00335922" w:rsidRDefault="00335922" w:rsidP="00335922">
      <w:r>
        <w:t>Zakon o spremembah in dopolnitvah Zakona o revidiranju, ki je začel veljati 19. oktobra 2024, določa Agenciji za javni nadzor nove pristojnosti glede licenciranja v zvezi s trajnostnostjo ter nekatere dodatne ukrepe nadzora, za kar je treba določiti nove takse in nadomestila stroškov. Zaradi novih pristojnosti Agencije so s spremembo tarife na novo določene.</w:t>
      </w:r>
    </w:p>
    <w:p w14:paraId="18716851" w14:textId="77777777" w:rsidR="00335922" w:rsidRDefault="00335922" w:rsidP="00335922">
      <w:pPr>
        <w:pStyle w:val="Vir"/>
      </w:pPr>
      <w:r>
        <w:t>Vir: Ministrstvo za finance</w:t>
      </w:r>
    </w:p>
    <w:p w14:paraId="1544F03F" w14:textId="56602A8E" w:rsidR="00335922" w:rsidRDefault="00335922" w:rsidP="00335922">
      <w:pPr>
        <w:pStyle w:val="Naslov2"/>
      </w:pPr>
      <w:r>
        <w:t>Vlada soglašala s spremembami tarife o taksah Agencije za trg vrednostnih papirjev</w:t>
      </w:r>
    </w:p>
    <w:p w14:paraId="62D71094" w14:textId="77777777" w:rsidR="00335922" w:rsidRDefault="00335922" w:rsidP="00335922">
      <w:r>
        <w:t>Vlada je danes soglašala s spremembami in dopolnitvami Tarife o taksah in nadomestilih Agencije za trg vrednostnih papirjev, ki jih je sprejel svet agencije.</w:t>
      </w:r>
    </w:p>
    <w:p w14:paraId="6FA3E04B" w14:textId="77777777" w:rsidR="00335922" w:rsidRDefault="00335922" w:rsidP="00335922"/>
    <w:p w14:paraId="7CE097FA" w14:textId="77777777" w:rsidR="00335922" w:rsidRDefault="00335922" w:rsidP="00335922">
      <w:r>
        <w:t xml:space="preserve">Do tokratnih sprememb in dopolnitev tarife prihaja zaradi novih pristojnosti agencije po evropski uredbi o pilotni ureditvi za tržne infrastrukture na podlagi tehnologije razpršene evidence in uredbi o trgih </w:t>
      </w:r>
      <w:proofErr w:type="spellStart"/>
      <w:r>
        <w:t>kriptosredstev</w:t>
      </w:r>
      <w:proofErr w:type="spellEnd"/>
      <w:r>
        <w:t>, uskladitve z določbami veljavnega Zakona o trgu finančnih instrumentov glede centralno depotne družbe, uskladitve z novim Zakonom o preprečevanju pranja denarja in financiranja terorizma ter odprave nedoslednosti na področju investicijskih skladov in upoštevanja zahtev evropske uredbe o razkritjih, povezanih s trajnostjo, v sektorju finančnih storitev.</w:t>
      </w:r>
    </w:p>
    <w:p w14:paraId="01CE6FE0" w14:textId="4F33400A" w:rsidR="00862B16" w:rsidRDefault="00335922" w:rsidP="00335922">
      <w:pPr>
        <w:pStyle w:val="Vir"/>
      </w:pPr>
      <w:r>
        <w:t>Vir: Ministrstvo za finance</w:t>
      </w:r>
    </w:p>
    <w:p w14:paraId="0C54B785" w14:textId="4405BBE1" w:rsidR="004B219B" w:rsidRDefault="004B219B" w:rsidP="004B219B">
      <w:pPr>
        <w:pStyle w:val="Naslov2"/>
      </w:pPr>
      <w:r>
        <w:t>Vlada določila kvote pravic proračunske porabe</w:t>
      </w:r>
    </w:p>
    <w:p w14:paraId="29111CB8" w14:textId="77777777" w:rsidR="004B219B" w:rsidRDefault="004B219B" w:rsidP="004B219B">
      <w:r>
        <w:t>Vlada je na današnji seji določila kvote pravic proračunske porabe za obdobje od januarja do marca 2025 po skupinah neposrednih proračunskih uporabnikov.</w:t>
      </w:r>
    </w:p>
    <w:p w14:paraId="1087898D" w14:textId="77777777" w:rsidR="004B219B" w:rsidRDefault="004B219B" w:rsidP="004B219B"/>
    <w:p w14:paraId="3AB49D5F" w14:textId="77777777" w:rsidR="004B219B" w:rsidRDefault="004B219B" w:rsidP="004B219B">
      <w:r>
        <w:t>Na ministrstvu smo pripravili predlog obsega proračunske porabe po skupinah neposrednih uporabnikov proračuna oziroma kvote za prvo trimesečje naslednjega leta.</w:t>
      </w:r>
    </w:p>
    <w:p w14:paraId="3E06135D" w14:textId="77777777" w:rsidR="004B219B" w:rsidRDefault="004B219B" w:rsidP="004B219B">
      <w:r>
        <w:t>Pri določanju predloga kvote smo upoštevali v spremembah proračuna za leto 2025 predvidene pravice porabe neposrednih proračunskih uporabnikov, evidentirane prevzete obveznosti neposrednih uporabnikov proračuna, likvidnostne možnosti proračuna in dinamiko porabe proračunskih sredstev v preteklih letih.</w:t>
      </w:r>
    </w:p>
    <w:p w14:paraId="0B79990B" w14:textId="77777777" w:rsidR="004B219B" w:rsidRDefault="004B219B" w:rsidP="004B219B"/>
    <w:p w14:paraId="0A21A610" w14:textId="50133232" w:rsidR="004B219B" w:rsidRDefault="004B219B" w:rsidP="004B219B">
      <w:r>
        <w:t>Predlagana kvota za prvo trimesečje 2025 znaša 4.280 milijonov evrov, kar je 25 odstotkov vseh pravic porabe, kot izhajajo iz Sprememb proračuna RS za leto 2025.</w:t>
      </w:r>
    </w:p>
    <w:p w14:paraId="47EC6E08" w14:textId="099FE634" w:rsidR="004B219B" w:rsidRDefault="004B219B" w:rsidP="004B219B">
      <w:pPr>
        <w:pStyle w:val="Vir"/>
      </w:pPr>
      <w:r w:rsidRPr="004B219B">
        <w:t>Vir: Ministrstvo za finance</w:t>
      </w:r>
    </w:p>
    <w:p w14:paraId="477648F1" w14:textId="53746696" w:rsidR="00862B16" w:rsidRDefault="00675BA3" w:rsidP="00675BA3">
      <w:pPr>
        <w:pStyle w:val="Naslov2"/>
      </w:pPr>
      <w:r>
        <w:t>C</w:t>
      </w:r>
      <w:r w:rsidR="00862B16">
        <w:t>enik objav predpisov in drugih aktov v glasilu Uradni list Republike Slovenije za leto 2025</w:t>
      </w:r>
    </w:p>
    <w:p w14:paraId="04FE7AF9" w14:textId="02155F91" w:rsidR="00675BA3" w:rsidRDefault="00675BA3" w:rsidP="00675BA3">
      <w:r>
        <w:lastRenderedPageBreak/>
        <w:t>Vlada Republike Slovenije je določila cenik objav predpisov in drugih aktov v Uradnem listu Republike Slovenije za leto 2025, h kateremu je Nadzorni svet Javnega podjetja Uradni list Republike Slovenije, d. o. o.  na 6. seji z dne 6. novembra 2024 sprejel pozitivno mnenje. Cene objav predpisov in drugih aktov za leto 2025 ostajajo enake cenam, ki veljajo za leto 2024.</w:t>
      </w:r>
    </w:p>
    <w:p w14:paraId="1FD92F34" w14:textId="31C06525" w:rsidR="00862B16" w:rsidRDefault="00675BA3" w:rsidP="00675BA3">
      <w:pPr>
        <w:pStyle w:val="Vir"/>
      </w:pPr>
      <w:r>
        <w:t>Vir: Služba Vlade Republike Slovenije za zakonodajo</w:t>
      </w:r>
    </w:p>
    <w:p w14:paraId="4A13F482" w14:textId="2022FA72" w:rsidR="00A86EE6" w:rsidRDefault="00A86EE6" w:rsidP="00A86EE6">
      <w:pPr>
        <w:pStyle w:val="Naslov2"/>
      </w:pPr>
      <w:r>
        <w:t>Vlada potrdila natečajno nalogo za postavitev spomenika slovenske osamosvojitve na Trgu republike v Ljubljani</w:t>
      </w:r>
    </w:p>
    <w:p w14:paraId="327A3B83" w14:textId="77777777" w:rsidR="00A86EE6" w:rsidRDefault="00A86EE6" w:rsidP="00A86EE6">
      <w:r>
        <w:t>Direktorat za vojne veterane in vojaško dediščino (DVVVD) Ministrstva za obrambo je na podlagi sklepa Vlade Republike Slovenije z dne 9. maja 2024 izdalo poziv za oddajo ponudb za izdelavo natečajne naloge za postavitev spomenika slovenske osamosvojitve na Trgu republike v Ljubljani z dne 22. maja 2024 in rokom oddaje ponudb 28. maja 2024. Ponudbo je do roka oddal en ponudnik, in sicer AFRONT – zavod za prostorsko inovativnost iz Ljubljane, kateremu je DVVVD 11. junija 2024 izstavil naročilo za izdelavo natečajne naloge.</w:t>
      </w:r>
    </w:p>
    <w:p w14:paraId="1649F1A0" w14:textId="77777777" w:rsidR="00A86EE6" w:rsidRDefault="00A86EE6" w:rsidP="00A86EE6"/>
    <w:p w14:paraId="2DC74338" w14:textId="77777777" w:rsidR="00A86EE6" w:rsidRDefault="00A86EE6" w:rsidP="00A86EE6">
      <w:r>
        <w:t xml:space="preserve">Izbrani ponudnik je Ministrstvu za obrambo 16. septembra 2024 posredoval natečajno nalogo za postavitev spomenika slovenske osamosvojitve na Trgu republike v Ljubljani, izdelano skladno s sprejetimi izhodišči za postavitev spomenika in zahtevami naročnika. V natečajni nalogi so poleg ciljev in predmeta natečaja navedene značilnosti natečajnega območja (lokacija, zgodovinski oris, opis stanja in dejavnosti, pogledi, seznam zemljišč s podatki o lastništvu in stanju v natečajnem območju), podatki o prostorskih aktih, pogojih nosilcev urejanja prostora ter izdelanih strokovnih podlagah, usmeritve za arhitekturno, krajinsko arhitekturno, programsko in drugo zasnovo ter ocenjena vrednost investicije. </w:t>
      </w:r>
    </w:p>
    <w:p w14:paraId="506A88BE" w14:textId="77777777" w:rsidR="00A86EE6" w:rsidRDefault="00A86EE6" w:rsidP="00A86EE6"/>
    <w:p w14:paraId="220CD337" w14:textId="77777777" w:rsidR="00A86EE6" w:rsidRDefault="00A86EE6" w:rsidP="00A86EE6">
      <w:r>
        <w:t>Vrednost projekta ureditve ožjega natečajnega območja s spomenikom slovenske osamosvojitve je 2.000.000 evrov. Predvidena poraba sredstev v letu 2025 je 70 odstotkov, v letu 2026 pa 30 odstotkov.</w:t>
      </w:r>
    </w:p>
    <w:p w14:paraId="610FB7ED" w14:textId="77777777" w:rsidR="00A86EE6" w:rsidRDefault="00A86EE6" w:rsidP="00A86EE6"/>
    <w:p w14:paraId="330FDBDC" w14:textId="77777777" w:rsidR="00A86EE6" w:rsidRDefault="00A86EE6" w:rsidP="00A86EE6">
      <w:r>
        <w:t>Ministrstvo za obrambo bo v sodelovanju z Zbornico za arhitekturo in prostor Slovenije razpisalo in izvedlo mednarodno odprt, anonimni, javni, interdisciplinarni natečaj za postavitev spomenika slovenske osamosvojitve na Trgu republike v Ljubljani z namenom pridobiti strokovno in oblikovno najprimernejšo rešitev za izgradnjo spomenika.</w:t>
      </w:r>
    </w:p>
    <w:p w14:paraId="02725BD2" w14:textId="77777777" w:rsidR="00A86EE6" w:rsidRDefault="00A86EE6" w:rsidP="00A86EE6"/>
    <w:p w14:paraId="7839330B" w14:textId="77777777" w:rsidR="00A86EE6" w:rsidRDefault="00A86EE6" w:rsidP="00A86EE6">
      <w:r>
        <w:t>Vladi Republike Slovenije bo Ministrstvo za obrambo po potrditvi predlaganih sklepov posredovalo predlog sklepa o imenovanju članov natečajne komisije za pripravo in izvedbo mednarodnega natečaja za postavitev spomenika slovenske osamosvojitve na Trgu republike v Ljubljani.</w:t>
      </w:r>
    </w:p>
    <w:p w14:paraId="69F495B6" w14:textId="45683033" w:rsidR="00862B16" w:rsidRDefault="00A86EE6" w:rsidP="00A86EE6">
      <w:pPr>
        <w:pStyle w:val="Vir"/>
      </w:pPr>
      <w:r>
        <w:t>Vir: Ministrstvo za obrambo</w:t>
      </w:r>
    </w:p>
    <w:p w14:paraId="143E6230" w14:textId="6D7AE940" w:rsidR="003E5F8E" w:rsidRDefault="003E5F8E" w:rsidP="003E5F8E">
      <w:pPr>
        <w:pStyle w:val="Naslov2"/>
      </w:pPr>
      <w:r>
        <w:t>Ministrstva in vladne službe bodo sodelovale pri organizaciji otvoritvene slovesnosti Evropske prestolnice kulture 2025</w:t>
      </w:r>
    </w:p>
    <w:p w14:paraId="768E0911" w14:textId="77777777" w:rsidR="003E5F8E" w:rsidRDefault="003E5F8E" w:rsidP="003E5F8E">
      <w:r>
        <w:t>Vlada se je seznanila z vsebinsko zasnovo in scenarijem otvoritvene slovesnosti Evropske prestolnice kulture Nova Gorica-Gorica 2025 ter sprejela sklep, da ministrstva in vladne službe, zlasti Ministrstvo za kulturo, Ministrstvo za notranje zadeve, Ministrstvo za obrambo, Protokol Republike Slovenije in Urad Vlade Republike Slovenije za komuniciranje, nudijo potrebno podporo in pomoč pri organizaciji otvoritvene slovesnosti, ki bo 8. februarja 2025 v Novi Gorici in Gorici. Na pobudo Nove Gorice se bosta prvič v zgodovini dve mesti v dveh državah povezali v čezmejno evropsko prestolnico kulture.</w:t>
      </w:r>
    </w:p>
    <w:p w14:paraId="41FEB6EE" w14:textId="77777777" w:rsidR="003E5F8E" w:rsidRDefault="003E5F8E" w:rsidP="003E5F8E"/>
    <w:p w14:paraId="63BC95B6" w14:textId="77777777" w:rsidR="003E5F8E" w:rsidRDefault="003E5F8E" w:rsidP="003E5F8E">
      <w:r>
        <w:t xml:space="preserve">Mestna občina Nova Gorica je za izvedbo dejavnosti projekta Evropska prestolnica kulture Nova Gorica-Gorica 2025 ustanovila javni zavod GO! 2025 - Evropska prestolnica kulture, Nova Gorica. </w:t>
      </w:r>
      <w:r>
        <w:lastRenderedPageBreak/>
        <w:t xml:space="preserve">Vlada je 25. avgusta letos sprejela sklep, da javni zavod presega občinski pomen oziroma zadovoljuje tudi potrebe prebivalcev celotnega ozemlja Republike Slovenije, zato je na podlagi Zakona o uresničevanju javnega interesa za kulturo (ZUJIK) odločila, da je njegovo delovanje v javnem interesu države. </w:t>
      </w:r>
    </w:p>
    <w:p w14:paraId="54C84B5F" w14:textId="77777777" w:rsidR="003E5F8E" w:rsidRDefault="003E5F8E" w:rsidP="003E5F8E"/>
    <w:p w14:paraId="230056B4" w14:textId="77777777" w:rsidR="003E5F8E" w:rsidRDefault="003E5F8E" w:rsidP="003E5F8E">
      <w:r>
        <w:t xml:space="preserve">Program evropske prestolnice kulture temelji na izvajanju dejavnosti produciranja in </w:t>
      </w:r>
      <w:proofErr w:type="spellStart"/>
      <w:r>
        <w:t>koproduciranja</w:t>
      </w:r>
      <w:proofErr w:type="spellEnd"/>
      <w:r>
        <w:t xml:space="preserve"> umetniških ter kulturnih vsebin programa evropske prestolnice kulture in njenega predstavljanja ter promocije v javnosti na območju Republike Slovenije, Evropske unije in širše. Glavni cilji programa so ohranjati in spodbujati raznolikost kultur v Evropi in poudarjati njihove skupne značilnosti ter povečati občutek državljanov, da pripadajo skupnemu kulturnemu prostoru na eni strani ter spodbujati prispevek kulture k dolgoročnemu razvoju mest na drugi strani. Javni zavod krepi kulturno in umetniško dejavnost v čezmejnem goriškem prostoru ter jo z vzpostavljanjem partnerstev vpenja v evropsko in globalno dimenzijo. Javni zavod </w:t>
      </w:r>
      <w:proofErr w:type="spellStart"/>
      <w:r>
        <w:t>vzpodbuja</w:t>
      </w:r>
      <w:proofErr w:type="spellEnd"/>
      <w:r>
        <w:t xml:space="preserve"> medsektorsko sodelovanje med kulturo ter gospodarstvom, znanostjo, izobraževanjem in drugimi področji ter promovira vlogo kulture kot katalizatorja širšega družbenega razvoja.</w:t>
      </w:r>
    </w:p>
    <w:p w14:paraId="5F0AED0A" w14:textId="77777777" w:rsidR="003E5F8E" w:rsidRDefault="003E5F8E" w:rsidP="003E5F8E"/>
    <w:p w14:paraId="41347492" w14:textId="77777777" w:rsidR="003E5F8E" w:rsidRDefault="003E5F8E" w:rsidP="003E5F8E">
      <w:r>
        <w:t>Odprtje, ki nosi naslov Od postaje do postaje, je prvi in največji množični dogodek v sklopu Evropske prestolnice kulture 2025. Dogajanje bo potekalo na čezmejnem območju Nove Gorice in Gorice, z začetkom na Železniški postaji Gorica, osrednjim slovesnim dogodkom na Trgu Evrope, umetniškim spektakelskim delom na Trgu Edvarda Kardelja in zaključno zabavo na obeh trgih ter manjših prizoriščih v obeh mestih.</w:t>
      </w:r>
    </w:p>
    <w:p w14:paraId="5D431356" w14:textId="1468DA03" w:rsidR="00862B16" w:rsidRDefault="003E5F8E" w:rsidP="003E5F8E">
      <w:pPr>
        <w:pStyle w:val="Vir"/>
      </w:pPr>
      <w:r>
        <w:t>Vir: Ministrstvo za kulturo</w:t>
      </w:r>
    </w:p>
    <w:p w14:paraId="0DC12F19" w14:textId="02DA4F9E" w:rsidR="003F2CCC" w:rsidRDefault="003F2CCC" w:rsidP="003F2CCC">
      <w:pPr>
        <w:pStyle w:val="Naslov2"/>
      </w:pPr>
      <w:r>
        <w:t>Vlada v veljavni Načrt razvojnih programov 2024–2027 uvrstila projekt Nadgradnja železniške postaje Škofljica</w:t>
      </w:r>
    </w:p>
    <w:p w14:paraId="60DE2B4D" w14:textId="77777777" w:rsidR="003F2CCC" w:rsidRDefault="003F2CCC" w:rsidP="003F2CCC">
      <w:r>
        <w:t>Z namenom ureditve in spodbujanja uporabe javnega železniškega prometa, povečanja stopnje varnosti prometa ter povečanja števila in deleža potnikov na integriranem javnem potniškem prometu se v veljavni Načrt razvojnih programov uvrsti projekt Nadgradnja železniške postaje Škofljica.</w:t>
      </w:r>
    </w:p>
    <w:p w14:paraId="46300B81" w14:textId="77777777" w:rsidR="003F2CCC" w:rsidRDefault="003F2CCC" w:rsidP="003F2CCC"/>
    <w:p w14:paraId="3C36283C" w14:textId="77777777" w:rsidR="003F2CCC" w:rsidRDefault="003F2CCC" w:rsidP="003F2CCC">
      <w:r>
        <w:t>Investicija se nahaja na regionalni progi št. 80 državna meja-Metlika-Ljubljana oz. na progovnem odseku Ljubljana-Grosuplje. Na odseku se nahaja železniška postaja Škofljica, ki je glavni predmet investicije. Potniki dostopajo na perone nivojsko. Višina peronov je neustrezna. Za izpolnjevanje zahtev TSI je treba urediti infrastrukturo, da bo izpolnjevala zahteve tehničnih specifikacij za interoperabilnost (ni izvennivojskih dostopov tudi za gibalno in funkcionalno ovirane osebe).</w:t>
      </w:r>
    </w:p>
    <w:p w14:paraId="04B24D82" w14:textId="77777777" w:rsidR="003F2CCC" w:rsidRDefault="003F2CCC" w:rsidP="003F2CCC"/>
    <w:p w14:paraId="4754212F" w14:textId="77777777" w:rsidR="003F2CCC" w:rsidRDefault="003F2CCC" w:rsidP="003F2CCC">
      <w:r>
        <w:t xml:space="preserve">Z nadgradnjo železniške postaje Škofljica bodo doseženi naslednji cilji: nadgradnja zgornjega in spodnjega ustroja, gradnja novih peronov s podhodom pod vsemi tiri, ureditev postajnega območja, ureditev postajnega poslopja (prometni urad, čakalnica, sanitarije), preureditev signalnovarnostnih naprav, ukinitev nivojskega prehoda 142.2 Žaga, nova povezovalna cesta Žagarska ulica-Ulica pod hrasti, nadgradnja telekomunikacijskih in elektroinštalacijskih naprav, ureditev parkirišča za osebna vozila in kolesa ter ureditev dostopov za funkcionalno ovirane osebe in invalidne osebe.   </w:t>
      </w:r>
    </w:p>
    <w:p w14:paraId="0189E151" w14:textId="77777777" w:rsidR="003F2CCC" w:rsidRDefault="003F2CCC" w:rsidP="003F2CCC"/>
    <w:p w14:paraId="2195A0B7" w14:textId="77777777" w:rsidR="003F2CCC" w:rsidRDefault="003F2CCC" w:rsidP="003F2CCC">
      <w:r>
        <w:t>Ocenjena vrednost projekta po tekočih cenah znaša 18.2 milijona EUR. V letu 2024 bodo sredstva namenjena predvsem za financiranje izdelave projektne in investicijske dokumentacije.</w:t>
      </w:r>
    </w:p>
    <w:p w14:paraId="32AC99D8" w14:textId="0443607B" w:rsidR="00862B16" w:rsidRDefault="003F2CCC" w:rsidP="003F2CCC">
      <w:pPr>
        <w:pStyle w:val="Vir"/>
      </w:pPr>
      <w:r>
        <w:t>Vir: Ministrstvo za infrastrukturo</w:t>
      </w:r>
    </w:p>
    <w:p w14:paraId="7879EC9F" w14:textId="024DF94C" w:rsidR="00635A79" w:rsidRDefault="00635A79" w:rsidP="00635A79">
      <w:pPr>
        <w:pStyle w:val="Naslov2"/>
      </w:pPr>
      <w:r>
        <w:t xml:space="preserve">Uvrstitev novega projekta 2720-24-0503 Nakup opreme za posodobitev procesov v DSO v veljavni Načrt razvojnih programov 2024–2027 </w:t>
      </w:r>
    </w:p>
    <w:p w14:paraId="1CBB556A" w14:textId="1CDB77AA" w:rsidR="00635A79" w:rsidRDefault="00635A79" w:rsidP="00635A79">
      <w:r>
        <w:lastRenderedPageBreak/>
        <w:t xml:space="preserve">Vlada je sprejela sklep o uvrstitvi novega projekta 2720-24-0503 Nakup opreme za posodobitev procesov v DSO uvrsti v veljavni Načrt razvojnih programov 2024-2027. </w:t>
      </w:r>
    </w:p>
    <w:p w14:paraId="59C873AF" w14:textId="77777777" w:rsidR="00635A79" w:rsidRDefault="00635A79" w:rsidP="00635A79">
      <w:r>
        <w:t xml:space="preserve">  </w:t>
      </w:r>
    </w:p>
    <w:p w14:paraId="7A0AF8E8" w14:textId="64AE6ADD" w:rsidR="00635A79" w:rsidRDefault="00635A79" w:rsidP="00635A79">
      <w:r>
        <w:t xml:space="preserve">Namen novega projekta v veljavni Načrt razvojnih programov je finančno podpreti izvajalce, ki v skladu z zakonom, ki ureja socialno varstvo, v mreži javne službe opravljajo socialnovarstveno storitev institucionalno varstvo v obliki celodnevnega varstva v zavodu oziroma izvajalce, ki opravljajo celodnevno dolgotrajno oskrbo v instituciji, pri posodobitvah in optimizaciji delovnih postopkov. Ocenjena vrednost investicije znaša 2.200.000,00 evrov z DDV. </w:t>
      </w:r>
    </w:p>
    <w:p w14:paraId="3829EE4E" w14:textId="77777777" w:rsidR="00635A79" w:rsidRDefault="00635A79" w:rsidP="00635A79"/>
    <w:p w14:paraId="11FBD18C" w14:textId="34A850A1" w:rsidR="00635A79" w:rsidRDefault="00635A79" w:rsidP="00635A79">
      <w:r>
        <w:t xml:space="preserve">Priprave na investicijo so se začele v letu 2024, predviden zaključek investicije pa je v letu 2026. Z izvedbo investicije se bo izvajalcem celodnevnega institucionalnega varstva v zavodu (oziroma prihodnje celodnevne dolgotrajne oskrbe v instituciji) zagotovilo sredstva za sofinanciranje stroškov nakupa sodobnih tehnologij in pripomočkov za robotizirano, avtomatizirano oziroma avtonomno izvedbo postopkov (v nadaljnjem besedilu: sodobni pripomočki). Z implementacijo sodobnih pripomočkov se bo lahko do določene mere kompenziral manko kadra, racionaliziralo procese dela in razbremenilo obstoječ kader, pričakujejo pa se tudi pozitivni učinki na kakovost in varnost storitev ter na kakovost in varnost delovnega okolja. Hkrati se lahko s sodobnimi pripomočki omogoči tudi večja avtonomija uporabnikov in zmanjša možnost nastanka zapletov pri obravnavi, prav tako pa se pričakujejo pozitivni učinki na stroške oskrbe. </w:t>
      </w:r>
    </w:p>
    <w:p w14:paraId="0B5E0342" w14:textId="6EBAB211" w:rsidR="00862B16" w:rsidRDefault="00635A79" w:rsidP="00635A79">
      <w:pPr>
        <w:pStyle w:val="Vir"/>
      </w:pPr>
      <w:r>
        <w:t>Vir: Ministrstvo za solidarno prihodnost</w:t>
      </w:r>
    </w:p>
    <w:p w14:paraId="62715C5C" w14:textId="0B49FB6D" w:rsidR="00D83628" w:rsidRDefault="00D83628" w:rsidP="00D83628">
      <w:pPr>
        <w:pStyle w:val="Naslov2"/>
      </w:pPr>
      <w:r>
        <w:t xml:space="preserve">Vlada v veljavni Načrt Razvojnih programov 2020-2024 uvrstila več novih transnacionalnih raziskovalnih projektov. </w:t>
      </w:r>
    </w:p>
    <w:p w14:paraId="0847EA7D" w14:textId="77777777" w:rsidR="00D83628" w:rsidRDefault="00D83628" w:rsidP="00D83628">
      <w:r>
        <w:t xml:space="preserve">Znanstvenoraziskovalni projekti Razvoj lasersko </w:t>
      </w:r>
      <w:proofErr w:type="spellStart"/>
      <w:r>
        <w:t>obličenih</w:t>
      </w:r>
      <w:proofErr w:type="spellEnd"/>
      <w:r>
        <w:t xml:space="preserve"> implantatov, Razvoj recikliranega cementnega kompozita, Razvoj sulfidnih elektrolitnih premazov, Razvoj magnetnih </w:t>
      </w:r>
      <w:proofErr w:type="spellStart"/>
      <w:r>
        <w:t>nanozimov</w:t>
      </w:r>
      <w:proofErr w:type="spellEnd"/>
      <w:r>
        <w:t xml:space="preserve">, Razvoj kalcijevih organskih baterij in Razvoj naprednih </w:t>
      </w:r>
      <w:proofErr w:type="spellStart"/>
      <w:r>
        <w:t>superkondenzatorjev</w:t>
      </w:r>
      <w:proofErr w:type="spellEnd"/>
      <w:r>
        <w:t xml:space="preserve"> so projekti ERA (Evropski raziskovalni prostor) s področja materialov. Sofinancirani so okviru skupnih javnih transnacionalnih razpisov M-</w:t>
      </w:r>
      <w:proofErr w:type="spellStart"/>
      <w:r>
        <w:t>ERA.NET3</w:t>
      </w:r>
      <w:proofErr w:type="spellEnd"/>
      <w:r>
        <w:t xml:space="preserve">, </w:t>
      </w:r>
      <w:proofErr w:type="spellStart"/>
      <w:r>
        <w:t>Co</w:t>
      </w:r>
      <w:proofErr w:type="spellEnd"/>
      <w:r>
        <w:t>-</w:t>
      </w:r>
      <w:proofErr w:type="spellStart"/>
      <w:r>
        <w:t>fund</w:t>
      </w:r>
      <w:proofErr w:type="spellEnd"/>
      <w:r>
        <w:t xml:space="preserve"> EU projekta v katerem sodeluje tudi Ministrstvo za visoko šolstvo, znanost in inovacije (v nadaljevanju: MVZI).</w:t>
      </w:r>
    </w:p>
    <w:p w14:paraId="49FB79A7" w14:textId="77777777" w:rsidR="00D83628" w:rsidRDefault="00D83628" w:rsidP="00D83628"/>
    <w:p w14:paraId="4F76D701" w14:textId="77777777" w:rsidR="00D83628" w:rsidRDefault="00D83628" w:rsidP="00D83628">
      <w:r>
        <w:t xml:space="preserve">Znanstvenoraziskovalna projekta Razvoj zelenih trajnih magnetov in Razvoj sintranih trajnih magnetov pa spadata med projekte ERA s področja surovin. Sofinancirana sta v okviru skupnega javnega transnacionalnega razpisa ERA-MIN3, </w:t>
      </w:r>
      <w:proofErr w:type="spellStart"/>
      <w:r>
        <w:t>Co</w:t>
      </w:r>
      <w:proofErr w:type="spellEnd"/>
      <w:r>
        <w:t>-</w:t>
      </w:r>
      <w:proofErr w:type="spellStart"/>
      <w:r>
        <w:t>fund</w:t>
      </w:r>
      <w:proofErr w:type="spellEnd"/>
      <w:r>
        <w:t xml:space="preserve"> EU projekta v katerem prav tako sodeluje MVZI. </w:t>
      </w:r>
    </w:p>
    <w:p w14:paraId="1D232B50" w14:textId="77777777" w:rsidR="00D83628" w:rsidRDefault="00D83628" w:rsidP="00D83628"/>
    <w:p w14:paraId="69416FC1" w14:textId="77777777" w:rsidR="00D83628" w:rsidRDefault="00D83628" w:rsidP="00D83628">
      <w:r>
        <w:t>Vlada je sklenila, da vse prej omenjene nove projekte uvrsti v veljavni Načrt razvojnih programov 2020-2024.</w:t>
      </w:r>
    </w:p>
    <w:p w14:paraId="0E693B33" w14:textId="77777777" w:rsidR="00D83628" w:rsidRDefault="00D83628" w:rsidP="00D83628"/>
    <w:p w14:paraId="7610BF35" w14:textId="77777777" w:rsidR="00D83628" w:rsidRDefault="00D83628" w:rsidP="00D83628">
      <w:r>
        <w:t>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bodo tako vzpostavljeni predpogoji za aktivno in polnopravno sodelovanje slovenskih raziskovalnih organizacij in posameznikov v EU kontekstu.</w:t>
      </w:r>
    </w:p>
    <w:p w14:paraId="7B84507B" w14:textId="77777777" w:rsidR="00D83628" w:rsidRDefault="00D83628" w:rsidP="00D83628"/>
    <w:p w14:paraId="1E10852F" w14:textId="77777777" w:rsidR="00D83628" w:rsidRDefault="00D83628" w:rsidP="00D83628">
      <w:r>
        <w:t xml:space="preserve">MVZI sodeluje v okviru 8. Okvirnega programa EU za raziskave in inovacije - Obzorje 2020 v ERA-NET </w:t>
      </w:r>
      <w:proofErr w:type="spellStart"/>
      <w:r>
        <w:t>Cofund</w:t>
      </w:r>
      <w:proofErr w:type="spellEnd"/>
      <w:r>
        <w:t xml:space="preserve"> projektu M-ERA-NET3, ki združuje 49 </w:t>
      </w:r>
      <w:proofErr w:type="spellStart"/>
      <w:r>
        <w:t>financerskih</w:t>
      </w:r>
      <w:proofErr w:type="spellEnd"/>
      <w:r>
        <w:t xml:space="preserve"> organizacij iz 36 držav članic in pridruženih držav. Temeljna aktivnost mreže je izvedba skupnih transnacionalnih razpisov za raziskovalne in razvojne projekte s področja naprednih materialov. Na podlagi sprejetih dogovorov med partnerskimi </w:t>
      </w:r>
      <w:proofErr w:type="spellStart"/>
      <w:r>
        <w:t>financerskimi</w:t>
      </w:r>
      <w:proofErr w:type="spellEnd"/>
      <w:r>
        <w:t xml:space="preserve"> organizacijami, se je MVZI zavezal k sofinanciranju slovenskih prijaviteljev v izbranih transnacionalnih raziskovalnih projektih. </w:t>
      </w:r>
    </w:p>
    <w:p w14:paraId="7AD21158" w14:textId="77777777" w:rsidR="00D83628" w:rsidRDefault="00D83628" w:rsidP="00D83628"/>
    <w:p w14:paraId="67F062CA" w14:textId="77777777" w:rsidR="00D83628" w:rsidRDefault="00D83628" w:rsidP="00D83628">
      <w:r>
        <w:lastRenderedPageBreak/>
        <w:t xml:space="preserve">MVZI v okviru 8. Okvirnega programa EU za raziskave in inovacije - Obzorje 2020 sodeluje tudi v ERA-NET </w:t>
      </w:r>
      <w:proofErr w:type="spellStart"/>
      <w:r>
        <w:t>Cofund</w:t>
      </w:r>
      <w:proofErr w:type="spellEnd"/>
      <w:r>
        <w:t xml:space="preserve"> projektu ERA-MIN3, v katerem sodeluje 24 partnerjev, </w:t>
      </w:r>
      <w:proofErr w:type="spellStart"/>
      <w:r>
        <w:t>financerskih</w:t>
      </w:r>
      <w:proofErr w:type="spellEnd"/>
      <w:r>
        <w:t xml:space="preserve"> organizacij, iz pretežno evropskih držav in regij (tretje države: Južnoafriška Republika, regija </w:t>
      </w:r>
      <w:proofErr w:type="spellStart"/>
      <w:r>
        <w:t>Qubec</w:t>
      </w:r>
      <w:proofErr w:type="spellEnd"/>
      <w:r>
        <w:t xml:space="preserve">/Kanada). Temeljna aktivnost mreže je izvedba skupnih transnacionalnih razpisov za raziskovalne in razvojne projekte s področja surovin. Na podlagi sprejetih dogovorov med partnerskimi </w:t>
      </w:r>
      <w:proofErr w:type="spellStart"/>
      <w:r>
        <w:t>financerskimi</w:t>
      </w:r>
      <w:proofErr w:type="spellEnd"/>
      <w:r>
        <w:t xml:space="preserve"> organizacijami, se je MVZI zavezal k sofinanciranju slovenskih prijaviteljev v izbranih transnacionalnih raziskovalnih projektih.</w:t>
      </w:r>
    </w:p>
    <w:p w14:paraId="0C0AC91C" w14:textId="77777777" w:rsidR="00D83628" w:rsidRDefault="00D83628" w:rsidP="00D83628"/>
    <w:p w14:paraId="14D1F5F7" w14:textId="77777777" w:rsidR="00D83628" w:rsidRDefault="00D83628" w:rsidP="00D83628">
      <w:r>
        <w:t>Proračunska sredstva RS se bo zagotovilo s prerazporeditvami iz evidenčnega projekta EU aktivnosti na področju znanosti 2020-2024 na posamični projekt, znotraj proračunske postavke Programi mednarodnega znanstvenega sodelovanja.</w:t>
      </w:r>
    </w:p>
    <w:p w14:paraId="0444CCB4" w14:textId="77777777" w:rsidR="00D83628" w:rsidRDefault="00D83628" w:rsidP="00D83628">
      <w:pPr>
        <w:pStyle w:val="Vir"/>
      </w:pPr>
      <w:r>
        <w:t>Vir: Ministrstvo za visoko šolstvo, znanost in inovacije</w:t>
      </w:r>
    </w:p>
    <w:p w14:paraId="3914E1FC" w14:textId="5E96A417" w:rsidR="00FB28E0" w:rsidRDefault="00FB28E0" w:rsidP="00FB28E0">
      <w:pPr>
        <w:pStyle w:val="Naslov2"/>
      </w:pPr>
      <w:r>
        <w:t xml:space="preserve">Letno poročilo Javnega sklada Republike Slovenije za financiranje razgradnje Nuklearne elektrarne Krško in odlaganja radioaktivnih odpadkov in izrabljenega goriva iz Nuklearne elektrarne Krško za leto 2022 </w:t>
      </w:r>
    </w:p>
    <w:p w14:paraId="167745DE" w14:textId="77777777" w:rsidR="00FB28E0" w:rsidRDefault="00FB28E0" w:rsidP="00FB28E0">
      <w:r>
        <w:t>Vlada je sprejela Letno poročilo Javnega sklada Republike Slovenije za financiranje razgradnje Nuklearne elektrarne Krško in odlaganja radioaktivnih odpadkov in izrabljenega goriva iz Nuklearne elektrarne Krško za leto 2022, ki ga je obravnaval nadzorni svet na 6. redni seji 23. avgusta 2023, na 4. izredni seji 13. septembra 2023 ter na 6. izredni seji 14. februarja 2024.</w:t>
      </w:r>
    </w:p>
    <w:p w14:paraId="78C024FF" w14:textId="77777777" w:rsidR="00FB28E0" w:rsidRDefault="00FB28E0" w:rsidP="00FB28E0"/>
    <w:p w14:paraId="7E58322F" w14:textId="77777777" w:rsidR="00FB28E0" w:rsidRDefault="00FB28E0" w:rsidP="00FB28E0">
      <w:r>
        <w:t xml:space="preserve">Leta 2022 so bile zahtevne razmere na finančnih trgih, ki so jih zaznamovali občutni padci po vseh naložbenih razredih in so izhajali iz naraščajočih obrestnih mer v evrskem območju, inflacijskih pritiskov, vojne v Ukrajini in iz tega izhajajočih strahov pred recesijo. </w:t>
      </w:r>
    </w:p>
    <w:p w14:paraId="188A367A" w14:textId="77777777" w:rsidR="00FB28E0" w:rsidRDefault="00FB28E0" w:rsidP="00FB28E0"/>
    <w:p w14:paraId="0958B479" w14:textId="77777777" w:rsidR="00FB28E0" w:rsidRDefault="00FB28E0" w:rsidP="00FB28E0">
      <w:r>
        <w:t xml:space="preserve">Sklad NEK je leto 2022 zaključil z negativno donosnostjo v višini -9,98 odstotka, pri čemer je predvidena donosnost iz Naložbene politike 2022 znašala od -11,60 odstotka do 2,30 odstotka. Tržna vrednost vseh naložb Sklada Nek je na dan 31. december 2022 znašala 220.544.050 evrov. Sklad NEK je v letu 2022 izkazal presežek prihodkov nad odhodki v višini 25.351.682 evrov, kar je bistveno več od načrtovanega. </w:t>
      </w:r>
    </w:p>
    <w:p w14:paraId="2B104ABE" w14:textId="77777777" w:rsidR="00FB28E0" w:rsidRDefault="00FB28E0" w:rsidP="00FB28E0"/>
    <w:p w14:paraId="2B102B20" w14:textId="77777777" w:rsidR="00FB28E0" w:rsidRDefault="00FB28E0" w:rsidP="00FB28E0">
      <w:r>
        <w:t xml:space="preserve">Neodvisni revizor je v poročilu z dne 14. julija 2023 potrdil, da so računovodski izkazi Sklada NEK za leto 2022, v vseh pomembnih pogledih, pripravljeni v skladu z Zakonom o računovodstvu in z njim povezanimi podzakonskimi akti in zakoni, ki opredeljujejo delovanja Sklada NEK. </w:t>
      </w:r>
    </w:p>
    <w:p w14:paraId="265324C5" w14:textId="77777777" w:rsidR="00FB28E0" w:rsidRDefault="00FB28E0" w:rsidP="00FB28E0"/>
    <w:p w14:paraId="5EB6719B" w14:textId="77777777" w:rsidR="00FB28E0" w:rsidRDefault="00FB28E0" w:rsidP="00FB28E0">
      <w:r>
        <w:t>Nadzorni svet Sklada NEK je potrdil, da predloženo Letno poročilo vsebuje vse zahtevane elemente skladno z računovodskim predpisi, ne pa tudi vseh zahtev 2. odstavka 26. člena Akta o ustanovitvi Sklada NEK, zato je zaključil, da ne more zaključiti, da predloženo Letno poročilo Sklada NEK za leto 2022 predstavlja resničen in pošten prikaz poslovanja Sklada NEK. Na zahtevo Nadzornega sveta Sklada NEK je bila izbrana nova revizijska družba za pregled poslovanja v letih 2023 do 2025, pri čemer bo preverjeno tudi vrednotenje naložb na dan 31. december 2022.</w:t>
      </w:r>
    </w:p>
    <w:p w14:paraId="1831318F" w14:textId="77777777" w:rsidR="00FB28E0" w:rsidRDefault="00FB28E0" w:rsidP="00FB28E0"/>
    <w:p w14:paraId="32470428" w14:textId="77777777" w:rsidR="00FB28E0" w:rsidRDefault="00FB28E0" w:rsidP="00FB28E0">
      <w:r>
        <w:t>Letno poročilo Sklada NEK za leto 2022 je bilo posredovano v sprejem 4. 6. 2024. Zaradi zahteve Nadzornega sveta Sklada NEK po ponovni preverbi vrednotenja naložb na dan 31. december 2022 s strani revizijske hiše, je Letno poročilo za leto 2022 posredovano v sprejetje po posredovanju Letnega poročila Sklada NEK za leto 2023 in Stališča Nadzornega sveta Sklada NEK o sestavi Letnega poročila Javnega Sklada Republike Slovenije za financiranje razgradnje Nuklearne elektrarne Krško in odlaganja radioaktivnih odpadkov in izrabljenega goriva iz Nuklearne elektrarne Krško za leto 2023.</w:t>
      </w:r>
    </w:p>
    <w:p w14:paraId="3A2B9C7E" w14:textId="697737C3" w:rsidR="00862B16" w:rsidRDefault="00FB28E0" w:rsidP="00FB28E0">
      <w:pPr>
        <w:pStyle w:val="Vir"/>
      </w:pPr>
      <w:r>
        <w:t>Vir: Ministrstvo za okolje, podnebje in energijo</w:t>
      </w:r>
    </w:p>
    <w:p w14:paraId="73180F86" w14:textId="77A31204" w:rsidR="00FB28E0" w:rsidRDefault="00FB28E0" w:rsidP="00A16A6E">
      <w:pPr>
        <w:pStyle w:val="Naslov2"/>
      </w:pPr>
      <w:r>
        <w:lastRenderedPageBreak/>
        <w:t>Letno poročilo Javnega sklada Republike Slovenije za financiranje razgradnje Nuklearne elektrarne Krško in odlaganja radioaktivnih odpadkov in izrabljenega goriva iz Nuklearne elektrarne Krško za leto 2023</w:t>
      </w:r>
    </w:p>
    <w:p w14:paraId="32554D16" w14:textId="77777777" w:rsidR="00FB28E0" w:rsidRDefault="00FB28E0" w:rsidP="00FB28E0">
      <w:r>
        <w:t>Vlada je sprejela Letno poročilo Javnega sklada Republike Slovenije za financiranje razgradnje Nuklearne elektrarne Krško in odlaganja radioaktivnih odpadkov in izrabljenega goriva iz Nuklearne elektrarne Krško za leto 2023, ki ga je obravnaval nadzorni svet na 9. redni seji dne 26. septembra 2024.</w:t>
      </w:r>
    </w:p>
    <w:p w14:paraId="0D7B1971" w14:textId="77777777" w:rsidR="00FB28E0" w:rsidRDefault="00FB28E0" w:rsidP="00FB28E0"/>
    <w:p w14:paraId="468BAC5D" w14:textId="77777777" w:rsidR="00FB28E0" w:rsidRDefault="00FB28E0" w:rsidP="00FB28E0">
      <w:r>
        <w:t>Vlada je 13. aprila 2023 določila nespremenjeno dajatev, ki jo GEN energija, d.o.o. vplača v Sklad NEK v višini 0,012 evra za vsako prevzeto kWh električne energije, proizvedene v Nuklearni elektrarni Krško.</w:t>
      </w:r>
    </w:p>
    <w:p w14:paraId="77603AFB" w14:textId="77777777" w:rsidR="00FB28E0" w:rsidRDefault="00FB28E0" w:rsidP="00FB28E0"/>
    <w:p w14:paraId="41C3AF29" w14:textId="77777777" w:rsidR="00FB28E0" w:rsidRDefault="00FB28E0" w:rsidP="00FB28E0">
      <w:r>
        <w:t xml:space="preserve">Leto 2023 je Sklad NEK zaključil z donosnostjo v višini 7,09 odstotka, od tega je znašal donos na lastniške vrednostne papirje 10,26 odstotka, na dolžniške vrednostne papirje pa 6,53 odstotka. Predvidena donosnost iz Naložbene politike 2023 je znašala od -2,30 odstotka do 10,30 odstotka. Po vseh naložbenih razredih je donos višji kot v letu 2022. </w:t>
      </w:r>
    </w:p>
    <w:p w14:paraId="0B239B07" w14:textId="77777777" w:rsidR="00FB28E0" w:rsidRDefault="00FB28E0" w:rsidP="00FB28E0">
      <w:r>
        <w:t>Sklad je leta 2023 ustvaril prihodke v višini 36.389.066 evra, od tega so prihodki udeležbe na dobičku in od premoženja znašali 4.388.021 evra, drugi nedavčni prihodki, ki predstavljajo vplačila prispevka za razgradnjo NEK in jih vplačuje GEN energija 32.000.968 evrov ter prihodki iz odškodnin in zavarovanja pa 77 evrov. Odhodki Sklada NEK so znašali 29.236.988 evra, od tega tekoči odhodki 620.674 evra, tekoči transferi za Mestno občino Krško 7.169.117 evra, Agenciji za radioaktivne odpadke 174.343, transferi v državni proračun 21.253.695 evrov ter investicijski odhodki 19.159 evra. V letu 2023 so bili transferji Agenciji za radioaktivne odpadke na ravni načrtovanih.</w:t>
      </w:r>
    </w:p>
    <w:p w14:paraId="6FFF1AEE" w14:textId="77777777" w:rsidR="00FB28E0" w:rsidRDefault="00FB28E0" w:rsidP="00FB28E0">
      <w:r>
        <w:t>Sklad NEK je v 2023 izkazal presežek prihodkov nad odhodki v višini 7.152.078 evra.</w:t>
      </w:r>
    </w:p>
    <w:p w14:paraId="28B90FED" w14:textId="77777777" w:rsidR="00FB28E0" w:rsidRDefault="00FB28E0" w:rsidP="00FB28E0"/>
    <w:p w14:paraId="5EA4CD7D" w14:textId="77777777" w:rsidR="00FB28E0" w:rsidRDefault="00FB28E0" w:rsidP="00FB28E0">
      <w:r>
        <w:t>Nadzorni svet v stališču navaja, da sredstva Sklada NEK ob predvideni dinamiki prilivov in odlivov zadoščajo za izpolnitev srednjeročnega cilja Sklada Nek, ki se nanaša na izgradnjo odlagališča nizko- in srednje- radioaktivnih odpadkov. Glede na projekcije iz Poslovne politike Sklada NEK pa sredstva Sklada NEK, glede na predvidene prilive in odlive ne zadoščajo za izpolnitev celotnega investicijskega projekta, ki vključuje tudi razgradnjo NEK. Nadzorni svet pa tudi izpostavlja, da je projekt »Razgradnje Nuklearne elektrarne Krško in odlaganja radioaktivnih odpadkov iz Nuklearne elektrarne Krško« dolgoročni projekt, ki se bo izvajal vsaj do leta 2110.</w:t>
      </w:r>
    </w:p>
    <w:p w14:paraId="736C1ECE" w14:textId="77777777" w:rsidR="00FB28E0" w:rsidRDefault="00FB28E0" w:rsidP="00FB28E0"/>
    <w:p w14:paraId="6E805C13" w14:textId="15E6C258" w:rsidR="00862B16" w:rsidRDefault="00FB28E0" w:rsidP="00FB28E0">
      <w:r>
        <w:t>Na podlagi prejetih informacij o opravljeni reviziji računovodskih izkazov Nadzorni svet sklada NEK zaključuje, da je predloženo Letno poročilo Sklada NEK za leto 2023 predstavlja resničen in pošten prikaz poslovanja Sklada NEK.</w:t>
      </w:r>
    </w:p>
    <w:p w14:paraId="7C2B0ADB" w14:textId="4ACC805D" w:rsidR="00A16A6E" w:rsidRDefault="00A16A6E" w:rsidP="00A16A6E">
      <w:pPr>
        <w:pStyle w:val="Vir"/>
      </w:pPr>
      <w:r w:rsidRPr="00A16A6E">
        <w:t>Vir: Ministrstvo za okolje, podnebje in energijo</w:t>
      </w:r>
    </w:p>
    <w:p w14:paraId="15AFF78A" w14:textId="1DB0974E" w:rsidR="009908E7" w:rsidRDefault="009908E7" w:rsidP="009908E7">
      <w:pPr>
        <w:pStyle w:val="Naslov2"/>
      </w:pPr>
      <w:r>
        <w:t>Vlada se je seznanila s Poročilom o reševanju denacionalizacijskih zahtevkov</w:t>
      </w:r>
    </w:p>
    <w:p w14:paraId="1FB28646" w14:textId="0FA2D610" w:rsidR="009908E7" w:rsidRDefault="009908E7" w:rsidP="009908E7">
      <w:r>
        <w:t xml:space="preserve">Vlada se je na današnji seji seznanila s Poročilom o reševanju denacionalizacijskih zahtevkov pred upravnimi organi. Gre za spremljanje reševanja zadev, ki se vodijo na podlagi določil Zakona o denacionalizaciji, doslej pa je bilo izvedenih že 88. spremljanj. To pomeni, da ministrstvo spremlja realizacijo zaključevanja postopkov denacionalizacije že 22 let.  </w:t>
      </w:r>
    </w:p>
    <w:p w14:paraId="1ED5F772" w14:textId="77777777" w:rsidR="009908E7" w:rsidRDefault="009908E7" w:rsidP="009908E7"/>
    <w:p w14:paraId="1182A19A" w14:textId="77777777" w:rsidR="009908E7" w:rsidRDefault="009908E7" w:rsidP="009908E7">
      <w:r>
        <w:t xml:space="preserve">Ministrstvo pridobiva podatke o stanju reševanja denacionalizacijskih postopkov pri upravnih organih (upravne enote, Ministrstvo za kulturo, Ministrstvo za finance, Ministrstvo za naravne vire in prostor, Ministrstvo za gospodarstvo, turizem in šport ter Ministrstvo za kmetijstvo, gozdarstvo in prehrano) z neposrednim zbiranjem podatkov od upravnih organov. </w:t>
      </w:r>
    </w:p>
    <w:p w14:paraId="5B7E5039" w14:textId="77777777" w:rsidR="009908E7" w:rsidRDefault="009908E7" w:rsidP="009908E7"/>
    <w:p w14:paraId="17D8708A" w14:textId="77777777" w:rsidR="009908E7" w:rsidRDefault="009908E7" w:rsidP="009908E7">
      <w:r>
        <w:t xml:space="preserve">Stanje ob zadnjem spremljanju reševanja denacionalizacijskih zahtevkov (na dan 30. 9. 2024): </w:t>
      </w:r>
    </w:p>
    <w:p w14:paraId="65622769" w14:textId="77777777" w:rsidR="009908E7" w:rsidRDefault="009908E7" w:rsidP="009908E7"/>
    <w:p w14:paraId="018ED9B7" w14:textId="59D698E0" w:rsidR="009908E7" w:rsidRDefault="009908E7" w:rsidP="009908E7">
      <w:pPr>
        <w:pStyle w:val="Odstavekseznama"/>
        <w:numPr>
          <w:ilvl w:val="0"/>
          <w:numId w:val="10"/>
        </w:numPr>
      </w:pPr>
      <w:r>
        <w:t>pri upravnih enotah je vloženih 38.472 zahtevkov za denacionalizacijo, od tega je bilo pravnomočno odločeno o 38.417 zahtevkih ali 99,86 % vseh zahtevkov; pravnomočno še ni odločeno o 55 zahtevkih, od tega jih je v delu pred upravnimi enotami 33, o 22 zahtevkih pa so upravne enote že odločile, vendar je bila zoper odločitev vložena pritožba ali tožba oziroma je vložena revizija;</w:t>
      </w:r>
    </w:p>
    <w:p w14:paraId="6042EA8A" w14:textId="77777777" w:rsidR="009908E7" w:rsidRDefault="009908E7" w:rsidP="009908E7"/>
    <w:p w14:paraId="022C9EA8" w14:textId="5E2D6079" w:rsidR="009908E7" w:rsidRDefault="009908E7" w:rsidP="009908E7">
      <w:pPr>
        <w:pStyle w:val="Odstavekseznama"/>
        <w:numPr>
          <w:ilvl w:val="0"/>
          <w:numId w:val="10"/>
        </w:numPr>
      </w:pPr>
      <w:r>
        <w:t xml:space="preserve">pri Ministrstvu za kulturo, ki je kot prvostopenjski organ pristojno za odločanje o vračanju premoženja, ki je zavarovano po predpisih o varstvu kulturne dediščine, je bilo vloženih 1.034 zahtevkov, od tega je bilo pravnomočno odločeno o 1.012 zahtevkih ali 97,87 % vloženih zahtevkov; pravnomočno še ni odločeno o 22 zahtevkih, od tega jih je v delu na Ministrstvu za kulturo 15, glede7 zadev pa je sicer že bilo odločeno, a je bila zoper odločbo ministrstva vložena tožba v upravnem sporu ali je zoper odločbo sodišča vložena revizija; </w:t>
      </w:r>
    </w:p>
    <w:p w14:paraId="04CF4EE7" w14:textId="77777777" w:rsidR="009908E7" w:rsidRDefault="009908E7" w:rsidP="009908E7"/>
    <w:p w14:paraId="2012AC6B" w14:textId="079284A1" w:rsidR="009908E7" w:rsidRDefault="009908E7" w:rsidP="009908E7">
      <w:pPr>
        <w:pStyle w:val="Odstavekseznama"/>
        <w:numPr>
          <w:ilvl w:val="0"/>
          <w:numId w:val="10"/>
        </w:numPr>
      </w:pPr>
      <w:r>
        <w:t>na Ministrstvo za naravne vire in prostor, ki je kot prvostopenjski organ pristojno za odločanje o vračanju premoženja, zavarovanega po predpisih o ohranjanju narave, je bilo vloženih 121 zahtevkov in o 118 zahtevkih že bilo pravnomočno odločeno, to je 97,52 % vloženih zahtevkov; ni pa še pravnomočno odločeno o 3 zahtevkih, od katerih je v delu oziroma v postopku na Ministrstvu za naravne vire in prostor še 1 zahtevek, o 2 zahtevkih pa je sicer že bilo odločeno, a je bila zoper odločbo ministrstva vložena tožba v upravnem sporu ali revizija;</w:t>
      </w:r>
    </w:p>
    <w:p w14:paraId="076D4DB2" w14:textId="77777777" w:rsidR="009908E7" w:rsidRDefault="009908E7" w:rsidP="009908E7"/>
    <w:p w14:paraId="074A5F2D" w14:textId="335FA6E2" w:rsidR="009908E7" w:rsidRDefault="009908E7" w:rsidP="009908E7">
      <w:pPr>
        <w:pStyle w:val="Odstavekseznama"/>
        <w:numPr>
          <w:ilvl w:val="0"/>
          <w:numId w:val="10"/>
        </w:numPr>
      </w:pPr>
      <w:r>
        <w:t xml:space="preserve">na Ministrstvo za finance je bilo vloženih 88 zahtevkov za denacionalizacijo premoženja bank, zavarovalnic in drugih finančnih organizacij. O vseh vloženih zahtevkih je že bilo pravnomočno odločeno. </w:t>
      </w:r>
    </w:p>
    <w:p w14:paraId="4B31F157" w14:textId="77777777" w:rsidR="009908E7" w:rsidRDefault="009908E7" w:rsidP="009908E7"/>
    <w:p w14:paraId="56046A56" w14:textId="77777777" w:rsidR="009908E7" w:rsidRDefault="009908E7" w:rsidP="009908E7"/>
    <w:p w14:paraId="72BA65A1" w14:textId="02705198" w:rsidR="00862B16" w:rsidRDefault="009908E7" w:rsidP="009908E7">
      <w:r>
        <w:t>Skupaj je bilo pred vsemi upravnimi organi (upravne enote, Ministrstvo za kulturo, Ministrstvo za naravne vire in prostor, Ministrstvo za finance) vloženih 39.715 zahtevkov, pravnomočno pa je zaključenih 39.635 zahtevkov ali 99,79 % vseh zahtevkov. Nerešenih je ostalo 80 zahtevkov. Od teh 80 nerešenih zahtevkov jih je v delu pri prvostopenjskih organih 49 (pred upravnimi enotami 33, na Ministrstvu za kulturo 15, na Ministrstvu za naravne vire in prostor 1), 31 pa jih je v pritožbi ali upravnem sporu.</w:t>
      </w:r>
    </w:p>
    <w:p w14:paraId="64CAF7F0" w14:textId="0232D73B" w:rsidR="009908E7" w:rsidRDefault="009908E7" w:rsidP="009908E7">
      <w:pPr>
        <w:pStyle w:val="Vir"/>
      </w:pPr>
      <w:r w:rsidRPr="009908E7">
        <w:t>Vir: Ministrstvo za pravosodje</w:t>
      </w:r>
    </w:p>
    <w:p w14:paraId="66ECC8FB" w14:textId="15A05BC8" w:rsidR="00E2577D" w:rsidRDefault="00E2577D" w:rsidP="00E2577D">
      <w:pPr>
        <w:pStyle w:val="Naslov2"/>
      </w:pPr>
      <w:r>
        <w:t xml:space="preserve">Informacija in predlog soglasja o predvidenem sodelovanju Republike Slovenije pri projektu tehnične pomoči v Srbiji »Razvoj operativnega integriranega administrativno-kontrolnega sistema (IACS) (I. faza) v skladu z zahtevami skupne kmetijske politike EU </w:t>
      </w:r>
    </w:p>
    <w:p w14:paraId="41BF58D1" w14:textId="4B8C0602" w:rsidR="00E2577D" w:rsidRDefault="00E2577D" w:rsidP="00E2577D">
      <w:r>
        <w:t>Vlada se je seznanila z Informacijo o predvidenem sodelovanju Republike Slovenije pri projektu tehnične pomoči v Srbiji z naslovom »Razvoj operativnega integriranega administrativno-kontrolnega sistema (IACS) (I. faza) v skladu z zahtevami skupne kmetijske politike EU« .</w:t>
      </w:r>
    </w:p>
    <w:p w14:paraId="0E452C58" w14:textId="77777777" w:rsidR="00E2577D" w:rsidRDefault="00E2577D" w:rsidP="00E2577D"/>
    <w:p w14:paraId="64BF342C" w14:textId="77777777" w:rsidR="00E2577D" w:rsidRDefault="00E2577D" w:rsidP="00E2577D">
      <w:r>
        <w:t xml:space="preserve">V okviru projektov Evropske unije je bil razpisan projekt tehnične pomoči v Srbiji z naslovom »Razvoj operativnega integriranega administrativno-kontrolnega sistema za upravljanje in nadzor (IACS) (I. faza)  (v angleščini </w:t>
      </w:r>
      <w:proofErr w:type="spellStart"/>
      <w:r>
        <w:t>Development</w:t>
      </w:r>
      <w:proofErr w:type="spellEnd"/>
      <w:r>
        <w:t xml:space="preserve"> of the </w:t>
      </w:r>
      <w:proofErr w:type="spellStart"/>
      <w:r>
        <w:t>Operational</w:t>
      </w:r>
      <w:proofErr w:type="spellEnd"/>
      <w:r>
        <w:t xml:space="preserve"> </w:t>
      </w:r>
      <w:proofErr w:type="spellStart"/>
      <w:r>
        <w:t>Integrated</w:t>
      </w:r>
      <w:proofErr w:type="spellEnd"/>
      <w:r>
        <w:t xml:space="preserve"> </w:t>
      </w:r>
      <w:proofErr w:type="spellStart"/>
      <w:r>
        <w:t>Administration</w:t>
      </w:r>
      <w:proofErr w:type="spellEnd"/>
      <w:r>
        <w:t xml:space="preserve"> and </w:t>
      </w:r>
      <w:proofErr w:type="spellStart"/>
      <w:r>
        <w:t>Control</w:t>
      </w:r>
      <w:proofErr w:type="spellEnd"/>
      <w:r>
        <w:t xml:space="preserve"> System (IACS) (I </w:t>
      </w:r>
      <w:proofErr w:type="spellStart"/>
      <w:r>
        <w:t>phase</w:t>
      </w:r>
      <w:proofErr w:type="spellEnd"/>
      <w:r>
        <w:t xml:space="preserve">) in line </w:t>
      </w:r>
      <w:proofErr w:type="spellStart"/>
      <w:r>
        <w:t>with</w:t>
      </w:r>
      <w:proofErr w:type="spellEnd"/>
      <w:r>
        <w:t xml:space="preserve"> EU CAP </w:t>
      </w:r>
      <w:proofErr w:type="spellStart"/>
      <w:r>
        <w:t>requirements</w:t>
      </w:r>
      <w:proofErr w:type="spellEnd"/>
      <w:r>
        <w:t>) v skladu z zahtevami Evropske unije (EU) na področju skupne kmetijske politike (SKP).</w:t>
      </w:r>
    </w:p>
    <w:p w14:paraId="630BE0B7" w14:textId="77777777" w:rsidR="00E2577D" w:rsidRDefault="00E2577D" w:rsidP="00E2577D"/>
    <w:p w14:paraId="16416B8E" w14:textId="0EC2D256" w:rsidR="00E2577D" w:rsidRDefault="00E2577D" w:rsidP="00E2577D">
      <w:r>
        <w:t xml:space="preserve">Agencija za kmetijske trge in razvoj podeželja bo sodelovala na tem razpisu kot partner pri izvajanju projekta tehnične pomoči v Srbiji. Okrepljene zmogljivosti administracije na ministrstvu, pristojnem za kmetijstvo v Srbiji, bodo pripomogle k boljši izpolnitvi zahtev EU na področju ukrepov skupne kmetijske politike in posledično k hitrejšemu napredku Srbije v procesu vključevanja v Evropsko unijo. Prenos </w:t>
      </w:r>
      <w:r>
        <w:lastRenderedPageBreak/>
        <w:t>znanj in preizkušenih rešitev je ključnega pomena za vzpostavitev polno delujoče plačilne agencije na področju kmetijstva. Sodelovanje v projektu tehnične pomoči EU pomeni realizacijo sklepa Vlade z dne 2. februarja 2023.</w:t>
      </w:r>
    </w:p>
    <w:p w14:paraId="2057D558" w14:textId="77777777" w:rsidR="00E2577D" w:rsidRDefault="00E2577D" w:rsidP="00E2577D"/>
    <w:p w14:paraId="66C7EBD1" w14:textId="64A05F31" w:rsidR="00E2577D" w:rsidRDefault="00E2577D" w:rsidP="00E2577D">
      <w:r>
        <w:t xml:space="preserve">Namen projekta je razvoj obstoječih struktur ter zakonodajnih in institucionalnih zmogljivosti Ministrstva za kmetijstvo, gozdarstvo in upravljanje voda ter njegove plačilne agencije za izvajanje skupne kmetijske politike EU (SKP) in pripravo Republike Srbije na pristop k EU. Specifični cilj projekta je razviti operativni integrirani administrativni in kontrolni sistem (IAKS) (I. faza) v skladu z zahtevami skupne kmetijske politike EU (SKP). Komponente IAKS je treba zasnovati, razviti in dodatno vključiti v vse obstoječe sisteme in programsko opremo na Ministrstvu za kmetijstvo, gozdarstvo in upravljanje voda (MAFWM) ter v zunanje registre in podatkovne zbirke. Projekt tehnične pomoči, ki ga je razpisala Evropska komisija, v vrednosti 2,9 milijona evrov bo trajal 36 mesecev in sicer med leti 2025 in 2027. </w:t>
      </w:r>
    </w:p>
    <w:p w14:paraId="01CD98FC" w14:textId="1EAEAAD6" w:rsidR="00862B16" w:rsidRDefault="00E2577D" w:rsidP="00E2577D">
      <w:pPr>
        <w:pStyle w:val="Vir"/>
      </w:pPr>
      <w:r>
        <w:t>Vir: Ministrstvo za kmetijstvo, gozdarstvo in prehrano</w:t>
      </w:r>
    </w:p>
    <w:p w14:paraId="1829AE68" w14:textId="123E976E" w:rsidR="00862B16" w:rsidRDefault="00D25803" w:rsidP="00D25803">
      <w:pPr>
        <w:pStyle w:val="Naslov2"/>
      </w:pPr>
      <w:r>
        <w:t>S</w:t>
      </w:r>
      <w:r w:rsidR="00862B16">
        <w:t>tališč</w:t>
      </w:r>
      <w:r>
        <w:t>e</w:t>
      </w:r>
      <w:r w:rsidR="00862B16">
        <w:t xml:space="preserve"> Republike Slovenije do Predloga uredbe Evropskega parlamenta in Sveta: RESTORE - regionalna nujna pomoč za obnovo </w:t>
      </w:r>
    </w:p>
    <w:p w14:paraId="57D6763C" w14:textId="77777777" w:rsidR="00D25803" w:rsidRDefault="00D25803" w:rsidP="00D25803">
      <w:r>
        <w:t>Predlog spremembe uredbe omogoča državam članicam, da v okviru svojih programov kohezijske politike preusmerijo sredstva za interventne ukrepe in obnovo po naravnih nesrečah, ki so se zgodile po 1. januarju 2024. Vzpostavlja pravno podlago za učinkovitejšo in prožnejšo uporabo obstoječih sredstev (Evropskega sklada za regionalni razvoj) ESRR in Evropskega socialnega sklada + (ESS+) po naravnih nesrečah, kot so opredeljene v Uredbi Sveta (ES) št. 2012/2002 o ustanovitvi Solidarnostnega sklada Evropske unije ali v ustrezno utemeljenih primerih, ki jih kot take prizna pristojni javni organ držav članic.</w:t>
      </w:r>
    </w:p>
    <w:p w14:paraId="5982CD2A" w14:textId="77777777" w:rsidR="00D25803" w:rsidRDefault="00D25803" w:rsidP="00D25803"/>
    <w:p w14:paraId="0A059748" w14:textId="77777777" w:rsidR="00D25803" w:rsidRDefault="00D25803" w:rsidP="00D25803">
      <w:r>
        <w:t>Pričakovani učinek predloga je zagotovitev dodatne podpore operacijam obnove za države članice, regije in lokalne organe, ki so jih močno prizadele naravne nesreče, da bodo lahko z uporabo in reprogramiranjem sredstev ESRR in ESS+ iz svojih programov v višini 10 milijard evrov zagotovile takojšnjo hrano in osnovno materialno pomoč ljudem, ki so jih neposredno prizadele naravne nesreče, ter shemo skrajšanega delovnega časa za zaposlene in samozaposlene, hkrati pa zmanjšale breme nacionalnih proračunov.</w:t>
      </w:r>
    </w:p>
    <w:p w14:paraId="13896287" w14:textId="77777777" w:rsidR="00D25803" w:rsidRDefault="00D25803" w:rsidP="00D25803"/>
    <w:p w14:paraId="18957F75" w14:textId="77777777" w:rsidR="00D25803" w:rsidRDefault="00D25803" w:rsidP="00D25803">
      <w:r>
        <w:t>Republika Slovenija je predlog regionalne nujne pomoči za obnovo podprla in izrazila solidarnost z državami članicami pri obravnavi nepredvidenih naravnih nesreč</w:t>
      </w:r>
    </w:p>
    <w:p w14:paraId="16F882FA" w14:textId="5DF9E187" w:rsidR="00D25803" w:rsidRDefault="00D25803" w:rsidP="00D25803">
      <w:pPr>
        <w:pStyle w:val="Vir"/>
      </w:pPr>
      <w:r>
        <w:t>Vir: Ministrstvo za kohezijo in regionalni razvoj </w:t>
      </w:r>
    </w:p>
    <w:p w14:paraId="7DCAAE35" w14:textId="2EF5AEED" w:rsidR="00862B16" w:rsidRDefault="00390ED0" w:rsidP="00390ED0">
      <w:pPr>
        <w:pStyle w:val="Naslov2"/>
      </w:pPr>
      <w:r>
        <w:t>S</w:t>
      </w:r>
      <w:r w:rsidR="00862B16">
        <w:t>klep o potrditvi memoranduma o soglasju med Ministrstvom za digitalno preobrazbo Republike Slovenije in Ministrstvom za visoko izobraževanje in znanstveno raziskovanje Ljudske demokratične republike Alžirije o umetni inteligenci</w:t>
      </w:r>
    </w:p>
    <w:p w14:paraId="2AAE8E74" w14:textId="77777777" w:rsidR="00390ED0" w:rsidRDefault="00390ED0" w:rsidP="00390ED0">
      <w:r>
        <w:t>Vlada Republike Slovenije je potrdila Memorandum o soglasju med Ministrstvom za digitalno preobrazbo Republike Slovenije in Ministrstvom za visoko izobraževanje in znanstveno raziskovanje Ljudske demokratične republike Alžirije o umetni inteligenci, podpisan  v Alžiru 27. maja 2024.</w:t>
      </w:r>
    </w:p>
    <w:p w14:paraId="66435A1C" w14:textId="77777777" w:rsidR="00390ED0" w:rsidRDefault="00390ED0" w:rsidP="00390ED0"/>
    <w:p w14:paraId="059BBC67" w14:textId="70A432F2" w:rsidR="00390ED0" w:rsidRDefault="00390ED0" w:rsidP="00390ED0">
      <w:r>
        <w:t xml:space="preserve">S sklenitvijo memoranduma je vzpostavljen okvir za sodelovanje na področju umetne inteligence, ki bo omogočal izmenjavo dobrih praks na vladni, institucionalni, akademski, zdravstveni in industrijski ravni, večjo dostopnost tehnologij s področja umetne inteligence, nadarjenih posameznikov in trgov, vzpostavitev povezav med raziskovalnimi in industrijskimi dejavnostmi v podporo komercializaciji aplikacij s področja umetne inteligence in podporo na človeka osredotočen pristop k umetni inteligenci, </w:t>
      </w:r>
      <w:r>
        <w:lastRenderedPageBreak/>
        <w:t xml:space="preserve">vključno s podporo razvoju in sprejetju okvirov etičnega upravljanja za zaupanja vreden, varen in odgovoren razvoj ter uporabo umetne inteligence. </w:t>
      </w:r>
    </w:p>
    <w:p w14:paraId="638A1339" w14:textId="49409970" w:rsidR="00862B16" w:rsidRDefault="00390ED0" w:rsidP="00390ED0">
      <w:pPr>
        <w:pStyle w:val="Vir"/>
      </w:pPr>
      <w:r>
        <w:t>Vir: Ministrstvo za zunanje in evropske zadeve</w:t>
      </w:r>
    </w:p>
    <w:p w14:paraId="4310682B" w14:textId="32A21E78" w:rsidR="00862B16" w:rsidRDefault="00413CB4" w:rsidP="00413CB4">
      <w:pPr>
        <w:pStyle w:val="Naslov2"/>
      </w:pPr>
      <w:r>
        <w:t>S</w:t>
      </w:r>
      <w:r w:rsidR="00862B16">
        <w:t>klep o potrditvi memoranduma o organiziranosti, upravljanju in financiranju mednarodne šole SHAPE (SIS)</w:t>
      </w:r>
    </w:p>
    <w:p w14:paraId="1744307A" w14:textId="77777777" w:rsidR="00413CB4" w:rsidRDefault="00413CB4" w:rsidP="00413CB4">
      <w:r>
        <w:t xml:space="preserve">Vlada Republike Slovenije je potrdila Memorandum o soglasju med Vlado Kraljevine Belgije in Ministrstvom za obrambo Republike Albanije in Ministrstvom za obrambo Republike Bolgarije in Ministrstvom za narodno obrambo Kanade in Ministrstvom za obrambo Republike Hrvaške in Ministrstvom za obrambo Češke republike in Ministrstvom za obrambo Kraljevine Danske in Ministrstvom za obrambo Republike Estonije in Zveznim ministrstvom za obrambo Zvezne republike Nemčije in Ministrstvom za narodno obrambo Helenske republike in Ministrstvom za obrambo Madžarske in Ministrstvom za obrambo Italijanske republike in Ministrstvom za obrambo Republike Latvije in Ministrstvom za obrambo Republike Litve in Vlado Črne gore in ministrico za obrambo Kraljevine Nizozemske in Ministrstvom za obrambo Republike Severne Makedonije in Ministrstvom za obrambo Kraljevine Norveške in ministrom za narodno obrambo Republike Poljske in ministrom za narodno obrambo Portugalske republike in Ministrstvom za nacionalno obrambo Romunije in Ministrstvom za obrambo Slovaške republike in Ministrstvom za obrambo Republike Slovenije in Ministrstvom za obrambo Kraljevine Španije in Vlado Republike Turčije in Ministrstvom za obrambo Združenega kraljestva Velika Britanija in Severna Irska in Ministrstvom za obrambo Združenih držav. </w:t>
      </w:r>
    </w:p>
    <w:p w14:paraId="2E046F03" w14:textId="77777777" w:rsidR="00413CB4" w:rsidRDefault="00413CB4" w:rsidP="00413CB4"/>
    <w:p w14:paraId="7B23813E" w14:textId="77777777" w:rsidR="00413CB4" w:rsidRDefault="00413CB4" w:rsidP="00413CB4">
      <w:r>
        <w:t>Memorandum je sklenjen med posameznimi državami članicami Nata in Vrhovnim poveljstvom zavezniških sil v Evropi (SHAPE) v zvezi z mednarodno šolo, ki je namenjena šoloobveznim otrokom pripadnikov držav članic Nata v SHAPE. Ureja medsebojne obveznosti udeležencev za zagotavljanje materialnih pogojev za delovanje šole, njihovo sodelovanje v odboru šole, pogoje sprejema v šolo in način financiranja.</w:t>
      </w:r>
    </w:p>
    <w:p w14:paraId="0CEA6A76" w14:textId="64CF72A0" w:rsidR="00413CB4" w:rsidRDefault="00413CB4" w:rsidP="00413CB4">
      <w:pPr>
        <w:pStyle w:val="Vir"/>
      </w:pPr>
      <w:r>
        <w:t>Vir: Ministrstvo za zunanje in evropske zadeve</w:t>
      </w:r>
    </w:p>
    <w:p w14:paraId="2BEC3C08" w14:textId="18142E34" w:rsidR="00862B16" w:rsidRDefault="00FD300B" w:rsidP="00FD300B">
      <w:pPr>
        <w:pStyle w:val="Naslov2"/>
      </w:pPr>
      <w:r>
        <w:t>S</w:t>
      </w:r>
      <w:r w:rsidR="00862B16">
        <w:t xml:space="preserve">klep o potrditvi </w:t>
      </w:r>
      <w:r>
        <w:t>s</w:t>
      </w:r>
      <w:r w:rsidR="00862B16">
        <w:t xml:space="preserve">premembe št. 3 k projektnemu dogovoru št. </w:t>
      </w:r>
      <w:proofErr w:type="spellStart"/>
      <w:r w:rsidR="00862B16">
        <w:t>PRJ.CAP.B.845</w:t>
      </w:r>
      <w:proofErr w:type="spellEnd"/>
      <w:r w:rsidR="00862B16">
        <w:t xml:space="preserve"> o jedrskem, radiološkem, kemičnem, biološkem nadzoru kot storitvi</w:t>
      </w:r>
    </w:p>
    <w:p w14:paraId="2E19EDE1" w14:textId="77777777" w:rsidR="00FD300B" w:rsidRDefault="00FD300B" w:rsidP="00FD300B">
      <w:r>
        <w:t xml:space="preserve">Vlada Republike Slovenije je potrdila Spremembo št. 3 k projektnemu dogovoru št. </w:t>
      </w:r>
      <w:proofErr w:type="spellStart"/>
      <w:r>
        <w:t>PRJ.CAP.B.845</w:t>
      </w:r>
      <w:proofErr w:type="spellEnd"/>
      <w:r>
        <w:t xml:space="preserve"> med Zveznim ministrstvom za obrambo Republike Avstrije, Ministrstvom za obrambo Republike Hrvaške, Ministrstvom za obrambo Madžarske, Ministrstvom za obrambo Republike Slovenije in Evropsko obrambno agencijo (EDA) o jedrskem, radiološkem, kemičnem, biološkem nadzoru kot storitvi, sklenjeno 6. avgusta 2024.</w:t>
      </w:r>
    </w:p>
    <w:p w14:paraId="33C78B55" w14:textId="77777777" w:rsidR="00FD300B" w:rsidRDefault="00FD300B" w:rsidP="00FD300B"/>
    <w:p w14:paraId="0939175F" w14:textId="77777777" w:rsidR="00FD300B" w:rsidRDefault="00FD300B" w:rsidP="00FD300B">
      <w:r>
        <w:t>Za izvajanje projekta Sistem za JRKB izvidovanje in nadzor (CBRN RSS), ki ga izvaja Ministrstvo RS za obrambo, je bil sklenjen projektni dogovor št. PRJ.CAP.B.845EIDDP. Sprememba št. 3, ki jo je Republika Slovenija podpisala 19. 4. 2024, je sklenjena zaradi podaljšanja veljavnosti in ciljev projektnega dogovora in prehoda projekta v drugo fazo.</w:t>
      </w:r>
    </w:p>
    <w:p w14:paraId="3088C7DB" w14:textId="7F048BEF" w:rsidR="00FD300B" w:rsidRPr="00FD300B" w:rsidRDefault="00FD300B" w:rsidP="00FD300B">
      <w:pPr>
        <w:pStyle w:val="Vir"/>
      </w:pPr>
      <w:r>
        <w:t>Vir: Ministrstvo za zunanje in evropske zadeve</w:t>
      </w:r>
    </w:p>
    <w:p w14:paraId="0D556798" w14:textId="72603C88" w:rsidR="003742F7" w:rsidRDefault="003742F7" w:rsidP="003742F7">
      <w:pPr>
        <w:pStyle w:val="Naslov2"/>
      </w:pPr>
      <w:r>
        <w:t>Vlada že podprla predlog zakona, s katerim bi podaljšali rok za vložitev zahtevka za zagotovljeno vdovsko pokojnino</w:t>
      </w:r>
    </w:p>
    <w:p w14:paraId="19ACEA6D" w14:textId="77777777" w:rsidR="003742F7" w:rsidRDefault="003742F7" w:rsidP="003742F7">
      <w:r>
        <w:t>Vlada je sprejela Odgovor na poslansko pobudo mag. Bojane Muršič in Soniboja Knežaka v zvezi z iztekom roka za vložitev zahteve za izplačilo zagotovljene vdovske pokojnine po ZPIZ-2N in ga pošlje Državnemu zboru Republike Slovenije.</w:t>
      </w:r>
    </w:p>
    <w:p w14:paraId="19AA077B" w14:textId="77777777" w:rsidR="003742F7" w:rsidRDefault="003742F7" w:rsidP="003742F7">
      <w:r>
        <w:lastRenderedPageBreak/>
        <w:t xml:space="preserve"> </w:t>
      </w:r>
    </w:p>
    <w:p w14:paraId="2AEDAFC9" w14:textId="77777777" w:rsidR="003742F7" w:rsidRDefault="003742F7" w:rsidP="003742F7">
      <w:r>
        <w:t xml:space="preserve">Poslanca mag. Bojana Muršič in Soniboj Knežak v pisni poslanski pobudi Vlado Republike Slovenije pozivata, da Državnemu zboru Republike Slovenije čim prej in po nujnem postopku v obravnavo predloži spremembo Zakona o pokojninskem in invalidskem zavarovanju, s katero bi se črtal ali podaljšal rok za vložitev zahteve za uveljavljanje zagotovljene vdovske pokojnine.  </w:t>
      </w:r>
    </w:p>
    <w:p w14:paraId="7B7D6B09" w14:textId="77777777" w:rsidR="003742F7" w:rsidRDefault="003742F7" w:rsidP="003742F7">
      <w:r>
        <w:t xml:space="preserve"> </w:t>
      </w:r>
    </w:p>
    <w:p w14:paraId="1580413E" w14:textId="77777777" w:rsidR="003742F7" w:rsidRDefault="003742F7" w:rsidP="003742F7">
      <w:r>
        <w:t xml:space="preserve">Vlada RS v odgovoru na pobudo pojasni namen in ureditev pravice do zagotovljene vdovske pokojnine, pogoje zanjo in način uveljavljanja le-te. Pojasnjene so aktivnosti, tako Vlade RS kot Zavoda za pokojninsko in invalidsko zavarovanje Slovenije, ki so namenjene osveščanju javnosti in s tem potencialnih upravičencev do navedene pokojnine. Na koncu je nakazano tudi prizadevanje Vlade RS za iskanje možnosti oziroma rešitev, ki bi omogočile zagotoviti dodaten čas za podajo vlog za zagotovljeno vdovsko pokojnino. </w:t>
      </w:r>
    </w:p>
    <w:p w14:paraId="0C390057" w14:textId="74539C7F" w:rsidR="00862B16" w:rsidRDefault="003742F7" w:rsidP="003742F7">
      <w:pPr>
        <w:pStyle w:val="Vir"/>
      </w:pPr>
      <w:r>
        <w:t>Vir: Ministrstvo za delo, družino, socialne zadeve in enake možnosti</w:t>
      </w:r>
    </w:p>
    <w:p w14:paraId="3A689A81" w14:textId="0B9D7272" w:rsidR="000D1D80" w:rsidRDefault="000D1D80" w:rsidP="000D1D80">
      <w:pPr>
        <w:pStyle w:val="Naslov2"/>
      </w:pPr>
      <w:r>
        <w:t>O</w:t>
      </w:r>
      <w:r>
        <w:t>dgovor na poslansko vprašanje Antona Šturbeja v zvezi z izplačili dnevnic varnostnikom</w:t>
      </w:r>
    </w:p>
    <w:p w14:paraId="046C4798" w14:textId="77777777" w:rsidR="000D1D80" w:rsidRDefault="000D1D80" w:rsidP="000D1D80">
      <w:r>
        <w:t xml:space="preserve">Vlada Republike Slovenije je na današnji seji sprejela odgovor na pisno poslansko vprašanje </w:t>
      </w:r>
    </w:p>
    <w:p w14:paraId="490354FB" w14:textId="77777777" w:rsidR="000D1D80" w:rsidRDefault="000D1D80" w:rsidP="000D1D80">
      <w:r>
        <w:t>poslanca Antona Šturbeja zvezi z izplačili dnevnic varnostnikom predsednika vlade in ga pošlje Državnemu zboru.</w:t>
      </w:r>
    </w:p>
    <w:p w14:paraId="1FDFF4F5" w14:textId="77777777" w:rsidR="000D1D80" w:rsidRDefault="000D1D80" w:rsidP="000D1D80"/>
    <w:p w14:paraId="5CB3272D" w14:textId="6DC51153" w:rsidR="000D1D80" w:rsidRDefault="000D1D80" w:rsidP="000D1D80">
      <w:r>
        <w:t>Vlada Republike Slovenije v odgovoru med drugim pojasnjuje, da je delo varnostnikov predsednika Vlade  organizirano v skladu z Uredbo o varovanju predsednika Vlade RS in Uredbo o varovanju določenih oseb, prostorov, objektov in okolišev objektov, ki jih varuje policija. Služba za varovanje predsednika vlade je bila organizirana v okviru Generalnega sekretariata Vlade RS z namenom varovanja predsednika Vlade RS in njegovih družinskih članov v septembru leta 2022. Policisti varnostniki imajo za čas premestitve iz Policije na Generalni sekretariat Vlade RS, ki je bila izvedena na podlagi 1. odstavka 69. člena ZODPol, z GSV sklenjeno pogodbo o zaposlitvi, katere vsebina je začasna premestitev in ureditev vseh pravic in obveznosti iz delovnega razmerja za čas začasne premestitve na GSV. Dnevnice za poti po Sloveniji policisti varnostniki prejemajo na podlagi Kolektivne pogodbe za negospodarske dejavnosti.</w:t>
      </w:r>
    </w:p>
    <w:p w14:paraId="23073D16" w14:textId="7D421A01" w:rsidR="000D1D80" w:rsidRDefault="000D1D80" w:rsidP="000D1D80">
      <w:pPr>
        <w:pStyle w:val="Vir"/>
      </w:pPr>
      <w:r w:rsidRPr="000D1D80">
        <w:t>Vir: Generalni sekretariat vlade</w:t>
      </w:r>
    </w:p>
    <w:p w14:paraId="1E5E0D3A" w14:textId="344FD3EE" w:rsidR="00F1625C" w:rsidRDefault="00F1625C" w:rsidP="00F1625C">
      <w:pPr>
        <w:pStyle w:val="Naslov2"/>
      </w:pPr>
      <w:r>
        <w:t xml:space="preserve">Vlada se je seznanila s Poročilom o delu Koordinacije služb na morju za leto 2023 </w:t>
      </w:r>
    </w:p>
    <w:p w14:paraId="75E9AC0C" w14:textId="77777777" w:rsidR="00F1625C" w:rsidRDefault="00F1625C" w:rsidP="00F1625C">
      <w:r>
        <w:t xml:space="preserve">Temelj za ustanovitev koordinacije služb na morju je Uredba o koordinaciji služb na morju. Uredba določa sodelovanje in način dela organov, ki delujejo na morju v okviru svojih pristojnosti na podlagi nacionalne in mednarodne zakonodaje, da se zagotovi usklajeno, povezano, racionalno in učinkovito delovanje ter izvajanje nalog pristojnih organov za skupno reševanje problematike, povezane z morjem (koordinacija služb na morju). </w:t>
      </w:r>
    </w:p>
    <w:p w14:paraId="207A4C89" w14:textId="77777777" w:rsidR="00F1625C" w:rsidRDefault="00F1625C" w:rsidP="00F1625C"/>
    <w:p w14:paraId="0ED6E722" w14:textId="77777777" w:rsidR="00F1625C" w:rsidRDefault="00F1625C" w:rsidP="00F1625C">
      <w:r>
        <w:t>Koordinacija služb na morju se je prvič sestala 26. 3. 2013 v prostorih Uprave Republike Slovenije za pomorstvo. Deluje v skladu s Poslovnikom o koordinaciji služb na morju in jo vodi predstojnik Uprave Republike Slovenije za pomorstvo. O svojem delu poroča ministrstvom, vključenim v koordinacijo, in vladi v letnem poročilu.</w:t>
      </w:r>
    </w:p>
    <w:p w14:paraId="656DC224" w14:textId="77777777" w:rsidR="00F1625C" w:rsidRDefault="00F1625C" w:rsidP="00F1625C"/>
    <w:p w14:paraId="3EBDC129" w14:textId="77777777" w:rsidR="00F1625C" w:rsidRDefault="00F1625C" w:rsidP="00F1625C">
      <w:r>
        <w:t>S predmetnim poročilom se poroča za obdobje od 1. 1. 2023 do 31. 12. 2023. Poročilo vsebuje aktivnosti Koordinacije služb na morju ter aktivnosti Operativne pomorske koordinacije, ki je oblikovana za operativno usklajevanje, povezovanje, usmerjanje in neposredno izvajanje nalog Koordinacije služb na morju. Člani Koordinacije služb na morju so uspešno sodelovali v skupnih projektih in si nudili medsebojno podporo.</w:t>
      </w:r>
    </w:p>
    <w:p w14:paraId="44E7FA8E" w14:textId="10A812D2" w:rsidR="00EA7026" w:rsidRDefault="00F1625C" w:rsidP="00F1625C">
      <w:pPr>
        <w:pStyle w:val="Vir"/>
      </w:pPr>
      <w:r>
        <w:lastRenderedPageBreak/>
        <w:t>Vir: Ministrstvo za infrastrukturo</w:t>
      </w:r>
    </w:p>
    <w:p w14:paraId="496CE566" w14:textId="08664BBD" w:rsidR="00B60E9F" w:rsidRDefault="00B60E9F" w:rsidP="00B60E9F">
      <w:pPr>
        <w:pStyle w:val="Naslov2"/>
      </w:pPr>
      <w:r>
        <w:t xml:space="preserve">Vlada določila besedilo Zakona o spremembah in dopolnitvah Zakona o financiranju občin </w:t>
      </w:r>
    </w:p>
    <w:p w14:paraId="0682A8F4" w14:textId="77777777" w:rsidR="00B60E9F" w:rsidRDefault="00B60E9F" w:rsidP="00B60E9F">
      <w:r>
        <w:t>Vlada Republike Slovenije je določila besedilo Predloga zakona o spremembah in dopolnitvah Zakona o financiranju občin (ZFO-1) in ga pošlje Državnemu zboru.</w:t>
      </w:r>
    </w:p>
    <w:p w14:paraId="5D983A0F" w14:textId="77777777" w:rsidR="00B60E9F" w:rsidRDefault="00B60E9F" w:rsidP="00B60E9F"/>
    <w:p w14:paraId="33F82BBD" w14:textId="77777777" w:rsidR="00B60E9F" w:rsidRDefault="00B60E9F" w:rsidP="00B60E9F">
      <w:r>
        <w:t xml:space="preserve">Vsebino novele sta podprli Skupnost občin Slovenije in Združenje mestnih občin Slovenije, ki predstavljata 195 občin in sta  28. oktobra 2024 podpisali dogovor o višini povprečnine, ki vsebuje tudi najpomembnejše spremembe novele ZFO-1. </w:t>
      </w:r>
    </w:p>
    <w:p w14:paraId="52B2C6C7" w14:textId="77777777" w:rsidR="00B60E9F" w:rsidRDefault="00B60E9F" w:rsidP="00B60E9F"/>
    <w:p w14:paraId="7D798F7D" w14:textId="2F80A752" w:rsidR="00B60E9F" w:rsidRDefault="00B60E9F" w:rsidP="00B60E9F">
      <w:r>
        <w:t>Namen predloga zakona, ki je bil vse od pomladi v usklajevanju z občinami in njihovimi reprezentativnimi združenji, je zagotovitev sistemske rešitve za kritje dodatnih stroškov občin, kot so trenutno določeni v predlogu Zakonu o izvrševanju proračuna za leti 2025 in 2026. Rešitve, ki so v noveli, so plod dolgotrajnih pogovorov z reprezentativnimi združenji občin. Namen predloga zakona je tudi zagotoviti namensko porabo sredstev za sofinanciranje občin z evidentiranimi romskimi naselji, z novimi kazalniki razvitosti občin pa objektivnejšo oceno razvitosti posameznih občin. Cilj predloga zakona je tudi zagotovitev dodatnih sredstev občinam z možnostjo izdaje občinskih obveznic in zadolževanjem v tujini.</w:t>
      </w:r>
    </w:p>
    <w:p w14:paraId="20DBBE7D" w14:textId="77777777" w:rsidR="00B60E9F" w:rsidRDefault="00B60E9F" w:rsidP="0087084B"/>
    <w:p w14:paraId="1C407B25" w14:textId="56291633" w:rsidR="0087084B" w:rsidRDefault="0087084B" w:rsidP="0087084B">
      <w:r>
        <w:t xml:space="preserve">Poglavitne spremembe, ki jih prinaša zakon, pa so: </w:t>
      </w:r>
    </w:p>
    <w:p w14:paraId="49BBCE18" w14:textId="77777777" w:rsidR="0087084B" w:rsidRDefault="0087084B" w:rsidP="00A50429">
      <w:pPr>
        <w:pStyle w:val="Odstavekseznama"/>
        <w:numPr>
          <w:ilvl w:val="0"/>
          <w:numId w:val="13"/>
        </w:numPr>
      </w:pPr>
      <w:r>
        <w:t>Izdaja občinskih obveznic in zadolževanje v tujini</w:t>
      </w:r>
    </w:p>
    <w:p w14:paraId="44DE4350" w14:textId="77777777" w:rsidR="0087084B" w:rsidRDefault="0087084B" w:rsidP="0087084B">
      <w:r>
        <w:t>S predlogom zakona je določena pravna podlaga za zadolževanje občin za infrastrukturne projekte, ki jih imajo vključene v občinske proračune, tudi pri mednarodnih razvojnih bankah, katerih članica je Republika Slovenija. Gre za Evropsko banko za obnovo in razvoj (EBRD), Evropsko investicijsko banko (EIB) in Razvojno banko Sveta Evrope (CEB). Obenem se občinam ob vnaprejšnjem soglasju ministrstva, pristojnega za finance, omogoča izdaja občinskih obveznic.</w:t>
      </w:r>
    </w:p>
    <w:p w14:paraId="72337032" w14:textId="77777777" w:rsidR="0087084B" w:rsidRDefault="0087084B" w:rsidP="0087084B"/>
    <w:p w14:paraId="3A64309D" w14:textId="77777777" w:rsidR="0087084B" w:rsidRDefault="0087084B" w:rsidP="00A50429">
      <w:pPr>
        <w:pStyle w:val="Odstavekseznama"/>
        <w:numPr>
          <w:ilvl w:val="0"/>
          <w:numId w:val="13"/>
        </w:numPr>
      </w:pPr>
      <w:r>
        <w:t>Povečanje največjega obsega zadolževanja občine in uvedba sanacijskega postopka</w:t>
      </w:r>
    </w:p>
    <w:p w14:paraId="30A9DA04" w14:textId="77777777" w:rsidR="0087084B" w:rsidRDefault="0087084B" w:rsidP="0087084B">
      <w:r>
        <w:t xml:space="preserve">S predlogom zakona se zvišuje največji obseg možnega zadolževanja občine z 10 odstotkov na 15 odstotkov, obenem pa predlog zakona uvaja nov postopek v primerih, ko bi bila občina trajneje nelikvidna ali prezadolžena. </w:t>
      </w:r>
    </w:p>
    <w:p w14:paraId="7F1DA344" w14:textId="77777777" w:rsidR="0087084B" w:rsidRDefault="0087084B" w:rsidP="0087084B"/>
    <w:p w14:paraId="62AB7876" w14:textId="77777777" w:rsidR="0087084B" w:rsidRDefault="0087084B" w:rsidP="00A50429">
      <w:pPr>
        <w:pStyle w:val="Odstavekseznama"/>
        <w:numPr>
          <w:ilvl w:val="0"/>
          <w:numId w:val="13"/>
        </w:numPr>
      </w:pPr>
      <w:r>
        <w:t>Sredstva občinam za zmanjševanje objektivnih razlik, ki vplivajo na prihodke občin</w:t>
      </w:r>
    </w:p>
    <w:p w14:paraId="673920DB" w14:textId="77777777" w:rsidR="0087084B" w:rsidRDefault="0087084B" w:rsidP="0087084B">
      <w:r>
        <w:t xml:space="preserve">S predlogom zakona se občinam namenja dodatna sredstva dodatna sredstva namenjena zmanjševanju objektivnih razlik, ki vplivajo na prihodke občin in povzročajo razlike med prihodki občine in njenimi stroški za izvajanje zakonsko določenih nalog. Oktobra 2024 so potekala srečanja med ministrstvoma za javno upravo in finance z reprezentativnimi združenji občin. Rezultat dogovora je bila določitev novega načina izračuna višine povprečnine in razdelitve 1,5 odstotka dohodnine zaradi zmanjševanja objektivnih razlik med občinami, ki je predlagan s to novelo. Sedanja začasna rešitev, določena z Zakonom o izvrševanju proračuna za 2025 in 2026, bo s sprejemom novele postala trajna. </w:t>
      </w:r>
    </w:p>
    <w:p w14:paraId="739FE78A" w14:textId="77777777" w:rsidR="0087084B" w:rsidRDefault="0087084B" w:rsidP="0087084B"/>
    <w:p w14:paraId="58828434" w14:textId="77777777" w:rsidR="0087084B" w:rsidRDefault="0087084B" w:rsidP="00A50429">
      <w:pPr>
        <w:pStyle w:val="Odstavekseznama"/>
        <w:numPr>
          <w:ilvl w:val="0"/>
          <w:numId w:val="13"/>
        </w:numPr>
      </w:pPr>
      <w:r>
        <w:t>Sofinanciranje delovanja skupnih občinskih uprav</w:t>
      </w:r>
    </w:p>
    <w:p w14:paraId="2216AE76" w14:textId="77777777" w:rsidR="0087084B" w:rsidRDefault="0087084B" w:rsidP="0087084B">
      <w:r>
        <w:t xml:space="preserve">Dosedanji pravilnik, ki ureja postopek vlaganja zahtevkov občin in ga podpišeta dva ministra, za lokalno samoupravo in za finance, bo po uveljavitvi novele podpisal le minister, pristojen za lokalno samoupravo. Hkrati bo ta s pravilnikom podrobneje določil pogoje sofinanciranja delovnih mest, ki se sofinancirajo iz državnega proračuna. </w:t>
      </w:r>
    </w:p>
    <w:p w14:paraId="0A842A0F" w14:textId="77777777" w:rsidR="0087084B" w:rsidRDefault="0087084B" w:rsidP="0087084B"/>
    <w:p w14:paraId="0B4E3561" w14:textId="77777777" w:rsidR="0087084B" w:rsidRDefault="0087084B" w:rsidP="00A50429">
      <w:pPr>
        <w:pStyle w:val="Odstavekseznama"/>
        <w:numPr>
          <w:ilvl w:val="0"/>
          <w:numId w:val="13"/>
        </w:numPr>
      </w:pPr>
      <w:r>
        <w:t>Sofinanciranje občin z evidentiranimi romskimi naselji</w:t>
      </w:r>
    </w:p>
    <w:p w14:paraId="526278FE" w14:textId="77777777" w:rsidR="0087084B" w:rsidRDefault="0087084B" w:rsidP="0087084B">
      <w:r>
        <w:t xml:space="preserve">Predlog zakona določa namenskost porabe sredstev za sofinanciranje občin z evidentiranimi romskimi naselji in določa kriterije, na podlagi katerih se bodo omenjena sredstva razdelila med občine z evidentiranimi romskimi naselji. Ta rešitev je posledica dveh sklepov delovnega telesa Državnega </w:t>
      </w:r>
      <w:r>
        <w:lastRenderedPageBreak/>
        <w:t xml:space="preserve">zbora, pristojnega za lokalno samoupravo, ki je vladi priporočil, da člen spremeni tako, da zagotovi namenskost porabe in obveznost poročanja občin o porabljenih sredstvih. </w:t>
      </w:r>
    </w:p>
    <w:p w14:paraId="465DEB66" w14:textId="77777777" w:rsidR="0087084B" w:rsidRDefault="0087084B" w:rsidP="0087084B"/>
    <w:p w14:paraId="1C1C91EE" w14:textId="77777777" w:rsidR="0087084B" w:rsidRDefault="0087084B" w:rsidP="00A50429">
      <w:pPr>
        <w:pStyle w:val="Odstavekseznama"/>
        <w:numPr>
          <w:ilvl w:val="0"/>
          <w:numId w:val="13"/>
        </w:numPr>
      </w:pPr>
      <w:r>
        <w:t>Kazalniki razvitosti občin</w:t>
      </w:r>
    </w:p>
    <w:p w14:paraId="05D41F48" w14:textId="3FCC473F" w:rsidR="0087084B" w:rsidRDefault="0087084B" w:rsidP="0087084B">
      <w:r>
        <w:t xml:space="preserve">Predlog zakona prinaša širši nabor kazalnikov za določanje razvitosti občin, ki se ugotavlja vsaki dve leti in služi kot podlaga za nekatere druge operacije (npr. pri določanju sredstev za občine z evidentiranimi romskimi naselji, za določanje stopnje sofinanciranja investicij iz državnega proračuna). Kazalniki temeljijo izključno na podatkih, ki so dostopni v javnih bazah državnih organov in so mednarodno primerljivi. Kazalniki temeljijo na študiji, pripravljeni po izvedenem ciljnem raziskovalnem projektu. </w:t>
      </w:r>
    </w:p>
    <w:p w14:paraId="22B5EA9D" w14:textId="77777777" w:rsidR="00154E49" w:rsidRDefault="00154E49" w:rsidP="0087084B"/>
    <w:p w14:paraId="47464FFD" w14:textId="6094995C" w:rsidR="0087084B" w:rsidRDefault="0087084B" w:rsidP="00A50429">
      <w:pPr>
        <w:pStyle w:val="Odstavekseznama"/>
        <w:numPr>
          <w:ilvl w:val="0"/>
          <w:numId w:val="13"/>
        </w:numPr>
      </w:pPr>
      <w:r>
        <w:t>Ukrepi za odpravo trajnejše nelikvidnosti ali prezadolženosti občine</w:t>
      </w:r>
    </w:p>
    <w:p w14:paraId="6F7768A9" w14:textId="77777777" w:rsidR="0087084B" w:rsidRDefault="0087084B" w:rsidP="0087084B">
      <w:r>
        <w:t>Novela prinaša mehanizem z ukrepi za odpravo trajnejše nelikvidnosti ali prezadolženosti občine. Ta mehanizem sproži ministrstvo, pristojno za finance, če ugovori, da občina izpolnjuje pogoje iz zakona. S posebnim odborom, sestavljenim iz predstavnikov občine in ministrstev (finance in javna uprava), pripravi ukrepe za odpravo stanja.</w:t>
      </w:r>
    </w:p>
    <w:p w14:paraId="52F70DBC" w14:textId="4DC3D0FD" w:rsidR="0087084B" w:rsidRDefault="00154E49" w:rsidP="00154E49">
      <w:pPr>
        <w:pStyle w:val="Vir"/>
      </w:pPr>
      <w:r w:rsidRPr="00154E49">
        <w:t>Vir: Ministrstvo za javno upravo</w:t>
      </w:r>
    </w:p>
    <w:p w14:paraId="1577D97E" w14:textId="2FF04F5E" w:rsidR="00862B16" w:rsidRDefault="00862B16" w:rsidP="00786DEE">
      <w:pPr>
        <w:pStyle w:val="Naslov2"/>
      </w:pPr>
      <w:r>
        <w:t>Predlog deklaracije o usmeritvah za delovanje Republike Slovenije v institucijah EU v obdobju januar 2025–junij 2026</w:t>
      </w:r>
    </w:p>
    <w:p w14:paraId="110552B7" w14:textId="4B9DBE01" w:rsidR="00CF487A" w:rsidRDefault="00CF487A" w:rsidP="00CF487A">
      <w:r>
        <w:t>Vlada Republike Slovenije je sprejela predlog deklaracije o usmeritvah za delovanje Republike Slovenije v institucijah Evropske unije v obdobju januar 2025–junij 2026 in ga posredovala v sprejetje Državnemu zboru Republike Slovenije.</w:t>
      </w:r>
    </w:p>
    <w:p w14:paraId="1443004A" w14:textId="77777777" w:rsidR="00CF487A" w:rsidRDefault="00CF487A" w:rsidP="00CF487A"/>
    <w:p w14:paraId="696EC722" w14:textId="77777777" w:rsidR="00CF487A" w:rsidRDefault="00CF487A" w:rsidP="00CF487A">
      <w:r>
        <w:t>Deklaracija predstavlja politične usmeritve, ki jih bodo slovenski predstavniki zagovarjali v institucijah EU. S tem želi vlada prispevati k pregledni politiki Slovenije v evropskih zadevah, seznaniti širšo javnost z odprtimi vprašanji, s katerimi se srečujeta EU in Slovenija kot država članica, ter opraviti razpravo v državnem zboru o stanju v EU in položaju Republike Slovenije v njej, da bi tako uskladili strateške prioritete, ki naj v čim večji meri uveljavljajo naše interese, hkrati pa prispevajo k skupnim evropskim ciljem. Hkrati je dokument strateški okvir za pripravo stališč Republike Slovenije, ki jih vlada pri svojem vsakodnevnem delu zastopa v institucijah EU.</w:t>
      </w:r>
    </w:p>
    <w:p w14:paraId="59DA62A7" w14:textId="77777777" w:rsidR="00CF487A" w:rsidRDefault="00CF487A" w:rsidP="00CF487A"/>
    <w:p w14:paraId="2A0791D0" w14:textId="77777777" w:rsidR="00CF487A" w:rsidRDefault="00CF487A" w:rsidP="00CF487A">
      <w:r>
        <w:t>V predlogu te deklaracije so posebej izpostavljena naslednja prednostna področja: okrepljena konkurenčnost Evrope za trajnostno blaginjo; ohranjanje visoke kakovosti bivanja v Evropi; odporna in varna Evropa; Evropska unija – aktiven igralec v soseščini in po svetu in v prihodnost usmerjena Evropska unija.</w:t>
      </w:r>
    </w:p>
    <w:p w14:paraId="7F7196AD" w14:textId="77777777" w:rsidR="00CF487A" w:rsidRDefault="00CF487A" w:rsidP="00CF487A"/>
    <w:p w14:paraId="43AE5AF1" w14:textId="77777777" w:rsidR="00CF487A" w:rsidRDefault="00CF487A" w:rsidP="00CF487A">
      <w:r>
        <w:t>Vsebinske podlage za pripravo tega predloga deklaracije so Strateška agenda EU za obdobje 2024–2029 in slovenski odziv nanjo, Politične usmeritve naslednje Evropske komisije 2024–2029 "Evropa pred izbiro", poslanice izvoljene predsednice Evropske komisije za kandidate in kandidatke za člane in članice EK ter Deklaracija Državnega zbora RS ob 20. obletnici članstva Republike Slovenije v EU "Doma v Evropi".</w:t>
      </w:r>
    </w:p>
    <w:p w14:paraId="1F078E17" w14:textId="7ED71F41" w:rsidR="00CF487A" w:rsidRDefault="00CF487A" w:rsidP="00CF487A">
      <w:pPr>
        <w:pStyle w:val="Vir"/>
      </w:pPr>
      <w:r>
        <w:t>Vir: Ministrstvo za zunanje in evropske zadeve</w:t>
      </w:r>
    </w:p>
    <w:p w14:paraId="6D9CB7F3" w14:textId="1FA7FC8A" w:rsidR="00A0055D" w:rsidRDefault="00A0055D" w:rsidP="00A0055D">
      <w:pPr>
        <w:pStyle w:val="Naslov2"/>
      </w:pPr>
      <w:r>
        <w:t>Vlada o Uredbi o notranji organizaciji, sistemizaciji, delovnih mestih in nazivih v organih javne uprave in v pravosodnih organih</w:t>
      </w:r>
    </w:p>
    <w:p w14:paraId="3049C6FC" w14:textId="77777777" w:rsidR="00A0055D" w:rsidRDefault="00A0055D" w:rsidP="00A0055D"/>
    <w:p w14:paraId="1A182FF3" w14:textId="77777777" w:rsidR="00A0055D" w:rsidRDefault="00A0055D" w:rsidP="00A0055D">
      <w:r>
        <w:lastRenderedPageBreak/>
        <w:t>Vlada Republike Slovenije je izdala Uredbo o spremembah Uredbe o notranji organizaciji, sistemizaciji, delovnih mestih in nazivih v organih javne uprave in v pravosodnih organih ter jo objavi v Uradnem listu Republike Slovenije.</w:t>
      </w:r>
    </w:p>
    <w:p w14:paraId="2CF44C7A" w14:textId="77777777" w:rsidR="00A0055D" w:rsidRDefault="00A0055D" w:rsidP="00A0055D"/>
    <w:p w14:paraId="3326BDF0" w14:textId="77777777" w:rsidR="00A0055D" w:rsidRDefault="00A0055D" w:rsidP="00A0055D">
      <w:r>
        <w:t xml:space="preserve">V Uredbi o notranji organizaciji, sistemizaciji, delovnih mestih in nazivih v organih javne uprave in v pravosodnih organih se prilogi I in III v celoti nadomestita z novima prilogama I in III. Priloga I vsebuje opise tipičnih uradniških delovnih mest, priloga III pa razvrstitev strokovno – tehničnih delovnih mest.  </w:t>
      </w:r>
    </w:p>
    <w:p w14:paraId="70515CF4" w14:textId="77777777" w:rsidR="00A0055D" w:rsidRDefault="00A0055D" w:rsidP="00A0055D"/>
    <w:p w14:paraId="7C67E264" w14:textId="77777777" w:rsidR="00A0055D" w:rsidRDefault="00A0055D" w:rsidP="00A0055D">
      <w:r>
        <w:t>Sprememba je del prenove plačnega sistema v javnem sektorju in skladna z Zakonom o skupnih temeljih sistema plač v javnem sektorju (ZSTSPJS), Dogovorom o prenovi sistema plač in novih uvrstitvah delovnih mest in nazivov v plačne razrede v javnem sektorju in Kolektivno pogodbo za državno upravo, uprave pravosodnih organov in uprave samoupravnih lokalnih skupnosti – tarifni del (KPDU).</w:t>
      </w:r>
    </w:p>
    <w:p w14:paraId="386509F1" w14:textId="77777777" w:rsidR="00A0055D" w:rsidRDefault="00A0055D" w:rsidP="00A0055D"/>
    <w:p w14:paraId="581B07E5" w14:textId="57AE5CB0" w:rsidR="00A0055D" w:rsidRDefault="00A0055D" w:rsidP="00A0055D">
      <w:r>
        <w:t>V prilogi I se poleg do</w:t>
      </w:r>
      <w:r>
        <w:t xml:space="preserve"> </w:t>
      </w:r>
      <w:r>
        <w:t>sedaj določenih uradniških delovnih mest dodajo nova uradniška delovna mesta.</w:t>
      </w:r>
      <w:r>
        <w:t xml:space="preserve"> </w:t>
      </w:r>
      <w:r>
        <w:t>V prilogi I se pri vseh delovnih mestih, za katera je v skladu z Zakonom o javnih uslužbencih (ZJU) predpisana izobrazba najmanj izobrazba 1. bolonjske stopnje in so v Kolektivni pogodbi za državno upravo, uprave pravosodnih organov in uprave samoupravnih lokalnih skupnosti – tarifni del uvrščena v VII/2 tarifni razred, pri tarifnem razredu napiše: VII/1 ali VII/2. V teh primerih se lahko delovno mesto sistemizira v tarifnem razredu VII/1 in se kot pogoj predpiše izobrazba 1. bolonjske stopnje ali pa v VII/2 tarifnem razredu s pogojem izobrazbe 2. bolonjske stopnje.</w:t>
      </w:r>
    </w:p>
    <w:p w14:paraId="200AB416" w14:textId="77777777" w:rsidR="00A0055D" w:rsidRDefault="00A0055D" w:rsidP="00A0055D">
      <w:r>
        <w:t>V prilogi III se poleg do sedaj določenih strokovno tehničnih delovnih mest dodajajo nova strokovno tehnična delovna mesta.</w:t>
      </w:r>
    </w:p>
    <w:p w14:paraId="2FE6C17E" w14:textId="77777777" w:rsidR="00D15B43" w:rsidRDefault="00D15B43" w:rsidP="00A0055D"/>
    <w:p w14:paraId="55AB65F1" w14:textId="74D1CE5D" w:rsidR="00A0055D" w:rsidRDefault="00A0055D" w:rsidP="00A0055D">
      <w:r>
        <w:t xml:space="preserve">V prilogi III ni več delovnih mest »operater v centru za obveščanje«, ker se v skladu z dogovorom v Kolektivni pogodbi za KPDU javni uslužbenci s teh delovnih mest premestijo na že obstoječa delovna mesta »dispečer v centru za obveščanje«. </w:t>
      </w:r>
    </w:p>
    <w:p w14:paraId="2276D7F4" w14:textId="77777777" w:rsidR="00D15B43" w:rsidRDefault="00D15B43" w:rsidP="00A0055D"/>
    <w:p w14:paraId="2B72A000" w14:textId="4299D46B" w:rsidR="00A0055D" w:rsidRDefault="00A0055D" w:rsidP="00A0055D">
      <w:r>
        <w:t>V prilogi III se pri vseh strokovno - tehničnih delovnih mestih v tarifnem razredu VII/1, za katera je predpisana izobrazba najmanj izobrazba 1. bolonjske stopnje in so v KPDU uvrščena v VII/2 tarifni razred, pri tarifnem razredu napiše: VII/1 ali VII/2. V teh primerih se lahko delovno mesto sistemizira v tarifnem razredu VII/1 in se kot pogoj predpiše izobrazba 1. bolonjske stopnje ali pa v VII/2 tarifnem razredu s pogojem izobrazbe 2. bolonjske stopnje.</w:t>
      </w:r>
    </w:p>
    <w:p w14:paraId="6770E47B" w14:textId="77777777" w:rsidR="00A0055D" w:rsidRDefault="00A0055D" w:rsidP="00A0055D"/>
    <w:p w14:paraId="70FA43A2" w14:textId="77777777" w:rsidR="00A0055D" w:rsidRDefault="00A0055D" w:rsidP="00A0055D">
      <w:r>
        <w:t xml:space="preserve">V prilogi III se na delovnih mestih v VII/1 tarifnem razredu v skladu z drugim odstavkom 9. člena ZSTSPJS pri pogoju izobrazbe po novem dopiše »višješolska izobrazba (prejšnja)«. Pri delovnih mestih v VI. tarifnem razredu se zaradi tega izbriše pogoj »višješolska izobrazba (prejšnja)«. </w:t>
      </w:r>
    </w:p>
    <w:p w14:paraId="4C018ED8" w14:textId="77777777" w:rsidR="00A0055D" w:rsidRDefault="00A0055D" w:rsidP="00A0055D">
      <w:r>
        <w:t xml:space="preserve"> </w:t>
      </w:r>
    </w:p>
    <w:p w14:paraId="72D1CB02" w14:textId="3FE80367" w:rsidR="00A0055D" w:rsidRDefault="00A0055D" w:rsidP="00A0055D">
      <w:r>
        <w:t xml:space="preserve">Akti o notranji organizaciji in sistemizaciji delovnih mest v organih javne uprave in v pravosodnih organih se s spremembami uskladijo najkasneje 15 dni pred začetkom uporabe ZSTSPJS, to je 16. </w:t>
      </w:r>
      <w:r>
        <w:t>decembra</w:t>
      </w:r>
      <w:r>
        <w:t xml:space="preserve"> 2024. </w:t>
      </w:r>
    </w:p>
    <w:p w14:paraId="65B6A8DC" w14:textId="77777777" w:rsidR="00A0055D" w:rsidRDefault="00A0055D" w:rsidP="00A0055D">
      <w:pPr>
        <w:pStyle w:val="Vir"/>
      </w:pPr>
      <w:r>
        <w:t>Vir: Ministrstvo za javno upravo</w:t>
      </w:r>
    </w:p>
    <w:p w14:paraId="6485B934" w14:textId="283E05F3" w:rsidR="00862B16" w:rsidRDefault="00F4607F" w:rsidP="00F4607F">
      <w:pPr>
        <w:pStyle w:val="Naslov2"/>
      </w:pPr>
      <w:r>
        <w:t>U</w:t>
      </w:r>
      <w:r w:rsidR="00862B16">
        <w:t>redb</w:t>
      </w:r>
      <w:r>
        <w:t>a</w:t>
      </w:r>
      <w:r w:rsidR="00862B16">
        <w:t xml:space="preserve"> o spremembah Uredbe o določitvi kvote za zaposlovanje invalidov</w:t>
      </w:r>
    </w:p>
    <w:p w14:paraId="17FFABD3" w14:textId="77777777" w:rsidR="00F4607F" w:rsidRDefault="00F4607F" w:rsidP="00F4607F">
      <w:r>
        <w:t>Vlada je izdala Uredbo o spremembah Uredbe o določitvi kvote za zaposlovanje invalidov in jo objavi v Uradnem listu Republike Slovenije.</w:t>
      </w:r>
    </w:p>
    <w:p w14:paraId="466F88E1" w14:textId="77777777" w:rsidR="00F4607F" w:rsidRDefault="00F4607F" w:rsidP="00F4607F">
      <w:r>
        <w:t xml:space="preserve"> </w:t>
      </w:r>
    </w:p>
    <w:p w14:paraId="3FE307AA" w14:textId="77777777" w:rsidR="00F4607F" w:rsidRDefault="00F4607F" w:rsidP="00F4607F">
      <w:r>
        <w:t xml:space="preserve">Uredba o določitvi kvote za zaposlovanje invalidov se novelira iz razloga uskladitve z Uredbo o standardni klasifikaciji dejavnosti, ki je bila uveljavljena dne 13. 4. 2024, uporabljati pa se začne 1. 1. 2025. Hkrati spremembo Uredbe o določitvi kvote za zaposlovanje invalidov narekujejo spremenjena </w:t>
      </w:r>
      <w:r>
        <w:lastRenderedPageBreak/>
        <w:t xml:space="preserve">pravila pri pomoči »de </w:t>
      </w:r>
      <w:proofErr w:type="spellStart"/>
      <w:r>
        <w:t>minimis</w:t>
      </w:r>
      <w:proofErr w:type="spellEnd"/>
      <w:r>
        <w:t xml:space="preserve">« in posledično uskladitev z Uredbo Komisije EU 2023/2831 z dne 13. decembra 2023 o uporabi členov 107 in 108 Pogodbe o delovanju Evropske unije pri pomoči de </w:t>
      </w:r>
      <w:proofErr w:type="spellStart"/>
      <w:r>
        <w:t>minimis</w:t>
      </w:r>
      <w:proofErr w:type="spellEnd"/>
      <w:r>
        <w:t>.</w:t>
      </w:r>
    </w:p>
    <w:p w14:paraId="03A9DC21" w14:textId="77777777" w:rsidR="00F4607F" w:rsidRDefault="00F4607F" w:rsidP="00F4607F">
      <w:r>
        <w:t xml:space="preserve"> </w:t>
      </w:r>
    </w:p>
    <w:p w14:paraId="266E8986" w14:textId="77777777" w:rsidR="00F4607F" w:rsidRDefault="00F4607F" w:rsidP="00F4607F">
      <w:r>
        <w:t>Vir: Ministrstvo za delo, družino, socialne zadeve in enake možnosti</w:t>
      </w:r>
    </w:p>
    <w:p w14:paraId="28DFF17B" w14:textId="77777777" w:rsidR="00F4607F" w:rsidRDefault="00F4607F" w:rsidP="00862B16"/>
    <w:p w14:paraId="3A7A42DC" w14:textId="00F9EFEB" w:rsidR="00EA7026" w:rsidRDefault="00EA7026" w:rsidP="008A7364">
      <w:pPr>
        <w:pStyle w:val="Naslov2"/>
      </w:pPr>
      <w:r>
        <w:t>Seznam upravičencev do osmega sklopa predplačil za obnovo stanovanj zaradi poplav in plazov iz avgusta 2023</w:t>
      </w:r>
    </w:p>
    <w:p w14:paraId="461B2E74" w14:textId="558E50A5" w:rsidR="008040F7" w:rsidRDefault="008040F7" w:rsidP="008040F7">
      <w:r>
        <w:t>Vlada se je seznanila s seznamom upravičencev do osmega sklopa predplačil za obnovo stanovanj zaradi poplav in plazov iz avgusta 2023.</w:t>
      </w:r>
    </w:p>
    <w:p w14:paraId="1BD1ED90" w14:textId="77777777" w:rsidR="008040F7" w:rsidRDefault="008040F7" w:rsidP="008040F7"/>
    <w:p w14:paraId="5F93637C" w14:textId="77777777" w:rsidR="008040F7" w:rsidRDefault="008040F7" w:rsidP="008040F7">
      <w:r>
        <w:t xml:space="preserve">V osmem sklopu bo 76 upravičencem nakazanih skupaj 337.815,80 evra predplačil. Seznam upravičencev je pripravilo Ministrstvo za naravne vire in prostor, pri čemer so bili upoštevani z zakonom določeni kriteriji, podatki, prejeti iz spletne aplikacije Ajda, in podatki katastra nepremičnin. Finančna uprava bo sredstva nakazala v prihodnjih dneh. Seznam upravičencev bo z namenom transparentne porabe javnih sredstev javno objavljen na osrednjem spletnem mestu državne uprave.                </w:t>
      </w:r>
    </w:p>
    <w:p w14:paraId="345C7266" w14:textId="77777777" w:rsidR="008040F7" w:rsidRDefault="008040F7" w:rsidP="008040F7"/>
    <w:p w14:paraId="599D918A" w14:textId="77777777" w:rsidR="008040F7" w:rsidRDefault="008040F7" w:rsidP="008040F7">
      <w:r>
        <w:t xml:space="preserve">Skupni znesek v osmih paketih predplačil doslej je tako 35,4 milijona evrov za skupaj 7.636 lastnikov poškodovanih stanovanjskih objektov. </w:t>
      </w:r>
    </w:p>
    <w:p w14:paraId="0CE536D9" w14:textId="77777777" w:rsidR="008040F7" w:rsidRDefault="008040F7" w:rsidP="008040F7"/>
    <w:p w14:paraId="4C14132B" w14:textId="5075E2E5" w:rsidR="008040F7" w:rsidRDefault="008040F7" w:rsidP="008040F7">
      <w:r>
        <w:t>Vlada je z novelo zakona o interventnih ukrepih za odpravo posledic poplav in zemeljskih plazov iz avgusta 2023 določila, da prvič doslej tudi fizičnim osebam, ki so lastniki poškodovanih stanovanj in hiš, zagotovi predplačila za obnovo. Predplačilo se izplača v višini 20 % ocenjene škode, ki je zavedena v spletni aplikaciji Ajda, ocenjena škoda mora biti več kot 6.000 evrov, objekt pa ne sme biti predviden za nadomestno ali nadomestitveno gradnjo.</w:t>
      </w:r>
    </w:p>
    <w:p w14:paraId="7919C534" w14:textId="77777777" w:rsidR="008040F7" w:rsidRDefault="008040F7" w:rsidP="008040F7"/>
    <w:p w14:paraId="58E85E33" w14:textId="0A481598" w:rsidR="008040F7" w:rsidRPr="008040F7" w:rsidRDefault="008040F7" w:rsidP="008040F7">
      <w:pPr>
        <w:rPr>
          <w:rFonts w:cs="Arial"/>
          <w:szCs w:val="20"/>
        </w:rPr>
      </w:pPr>
      <w:r w:rsidRPr="00E2592E">
        <w:rPr>
          <w:rFonts w:cs="Arial"/>
          <w:szCs w:val="20"/>
        </w:rPr>
        <w:t xml:space="preserve">V maju je vlada potrdila končni program odprave škode, tako da so v teku že </w:t>
      </w:r>
      <w:hyperlink r:id="rId10" w:history="1">
        <w:r w:rsidRPr="00434F26">
          <w:rPr>
            <w:rStyle w:val="Hiperpovezava"/>
            <w:rFonts w:cs="Arial"/>
            <w:szCs w:val="20"/>
          </w:rPr>
          <w:t>postopki za dodelitev končnega zneska</w:t>
        </w:r>
      </w:hyperlink>
      <w:r w:rsidRPr="00E2592E">
        <w:rPr>
          <w:rFonts w:cs="Arial"/>
          <w:szCs w:val="20"/>
        </w:rPr>
        <w:t>. Dejanska</w:t>
      </w:r>
      <w:r w:rsidRPr="008040F7">
        <w:t xml:space="preserve"> </w:t>
      </w:r>
      <w:r w:rsidRPr="008040F7">
        <w:rPr>
          <w:rFonts w:cs="Arial"/>
          <w:szCs w:val="20"/>
        </w:rPr>
        <w:t>višina, do katere bodo posamezniki upravičeni, bo predmet ugotovitvenega postopka za vsako stanovanje posebej. Vsem, ki so prejeli predplačila, se ta odštejejo od končne višine sredstev. Ob tem za vse upravičence velja ponovni poziv, da skrbno hranijo račune in druga dokazila o porabi proračunskih sredstev.</w:t>
      </w:r>
    </w:p>
    <w:p w14:paraId="6572AEB4" w14:textId="77777777" w:rsidR="008040F7" w:rsidRPr="008040F7" w:rsidRDefault="008040F7" w:rsidP="008040F7">
      <w:pPr>
        <w:pStyle w:val="Vir"/>
      </w:pPr>
      <w:r w:rsidRPr="008040F7">
        <w:t>Vir: Ministrstvo za naravne vire in prostor</w:t>
      </w:r>
    </w:p>
    <w:p w14:paraId="7BAF2265" w14:textId="1716FFAA" w:rsidR="00CA1E07" w:rsidRDefault="00CA1E07" w:rsidP="00CA1E07">
      <w:pPr>
        <w:pStyle w:val="Naslov2"/>
      </w:pPr>
      <w:r>
        <w:t xml:space="preserve">Vlada sprejela Akcijski načrt upravljanja energetske učinkovitosti v gospodarstvu do leta 2030 </w:t>
      </w:r>
    </w:p>
    <w:p w14:paraId="692EA201" w14:textId="77777777" w:rsidR="00CA1E07" w:rsidRDefault="00CA1E07" w:rsidP="00CA1E07">
      <w:r>
        <w:t>Vlada je na današnji seji sprejela Akcijski načrt upravljanja energetske učinkovitosti v gospodarstvu do leta 2030. Ta določa ukrepe, ki bi poleg doseganja še večje energetske učinkovitosti spodbudili tudi večjo transparentnost na tem področju, predvsem s pomočjo digitalizacije postopkov na področju energetskih pregledov.</w:t>
      </w:r>
    </w:p>
    <w:p w14:paraId="3D09EA9D" w14:textId="77777777" w:rsidR="00CA1E07" w:rsidRDefault="00CA1E07" w:rsidP="00CA1E07"/>
    <w:p w14:paraId="407A523E" w14:textId="77777777" w:rsidR="00CA1E07" w:rsidRDefault="00CA1E07" w:rsidP="00CA1E07">
      <w:r>
        <w:t>V Sloveniji se že vrsto let izvajajo številni spodbujevalni programi, usmerjeni v povečanje energetske učinkovitosti in večjo izrabo obnovljivih virov energije. Vendar pa je treba pot zelene in trajnostne transformacije gospodarstva še pospešiti.</w:t>
      </w:r>
    </w:p>
    <w:p w14:paraId="2FB1D9C2" w14:textId="77777777" w:rsidR="00CA1E07" w:rsidRDefault="00CA1E07" w:rsidP="00CA1E07"/>
    <w:p w14:paraId="54FBBB05" w14:textId="77777777" w:rsidR="00CA1E07" w:rsidRDefault="00CA1E07" w:rsidP="00CA1E07">
      <w:r>
        <w:t>Akcijski načrt upravljanja energetske učinkovitosti v gospodarstvu zajema ukrepe, ki se prvenstveno nanašajo na učinkovito rabo energije v gospodarstvu. Cilj je bistveno zmanjšati porabo energije, kar pomeni tudi zmanjšanje stroškov za energijo. To bo prispevalo tudi k povečani zanesljivosti oskrbe z energijo, večji konkurenčnosti gospodarstva in preko investicij na tem področju k novim delovnim mestom.</w:t>
      </w:r>
    </w:p>
    <w:p w14:paraId="58429CF6" w14:textId="77777777" w:rsidR="00CA1E07" w:rsidRDefault="00CA1E07" w:rsidP="00CA1E07"/>
    <w:p w14:paraId="0E8C63A9" w14:textId="77777777" w:rsidR="00CA1E07" w:rsidRDefault="00CA1E07" w:rsidP="00CA1E07">
      <w:r>
        <w:lastRenderedPageBreak/>
        <w:t>Poleg tega akcijski načrt določa ukrepe, namenjene spodbujanju večje transparentnosti, predvsem s pomočjo digitalizacije postopkov na področju energetskih pregledov. To bo omogočilo boljši vpogled v potenciale gospodarstva in finančno vrzel, kar je potrebno za zagotovitev hitrega ter učinkovitega zelenega prehoda, kot to določajo cilji Slovenske industrijske strategije 2021–2030 ter Celovitega nacionalnega energetskega in podnebnega načrta Republike Slovenije 2023.</w:t>
      </w:r>
    </w:p>
    <w:p w14:paraId="3AD7F927" w14:textId="77777777" w:rsidR="00CA1E07" w:rsidRDefault="00CA1E07" w:rsidP="00CA1E07"/>
    <w:p w14:paraId="0A7E0DD6" w14:textId="77777777" w:rsidR="00CA1E07" w:rsidRDefault="00CA1E07" w:rsidP="00CA1E07">
      <w:r>
        <w:t xml:space="preserve">Z akcijskim načrtom, ki velja za ukrepe, ki se bodo izvajali do leta 2030, bo Slovenija izpolnila tudi mejnik iz Načrta za okrevanje in odpornost. Finančni viri za izvedbo ukrepov so zagotovljeni v že sprejetih in potrjenih programih v okviru Načrta za okrevanje in odpornost, Kohezijske politike 2021–2027 in Sklada za podnebne spremembe. </w:t>
      </w:r>
    </w:p>
    <w:p w14:paraId="139D2232" w14:textId="77777777" w:rsidR="008D4B84" w:rsidRPr="008D4B84" w:rsidRDefault="008D4B84" w:rsidP="008D4B84">
      <w:pPr>
        <w:pStyle w:val="Vir"/>
      </w:pPr>
      <w:r w:rsidRPr="008D4B84">
        <w:t>Vir: Ministrstvo za gospodarstvo, turizem in šport</w:t>
      </w:r>
    </w:p>
    <w:p w14:paraId="7F6A35D8" w14:textId="2E91F70F" w:rsidR="008D4B84" w:rsidRDefault="008A7364" w:rsidP="008D4B84">
      <w:pPr>
        <w:pStyle w:val="Naslov2"/>
      </w:pPr>
      <w:r w:rsidRPr="008A7364">
        <w:t>Izhodišča za pripravo predlogov zakonov glede romske tematike</w:t>
      </w:r>
    </w:p>
    <w:p w14:paraId="62E759CE" w14:textId="3AA4D1EE" w:rsidR="008D4B84" w:rsidRDefault="008D4B84" w:rsidP="008D4B84">
      <w:r>
        <w:t xml:space="preserve">Vlada Republike Slovenije je seznanila z Izhodišči za pripravo predlogov zakonov glede romske tematike. Predlogi zakonov glede romske tematike naslavljajo ključne izzive romske skupnosti in vključujejo ukrepe na področju izobraževanja, zaposlovanja, urejanja bivalnih razmer ter krepitve sodelovanja med ključnimi deležniki. </w:t>
      </w:r>
      <w:r w:rsidR="0094488D">
        <w:t>Ukrepi</w:t>
      </w:r>
      <w:r>
        <w:t xml:space="preserve"> stremi</w:t>
      </w:r>
      <w:r w:rsidR="0094488D">
        <w:t>jo</w:t>
      </w:r>
      <w:r>
        <w:t xml:space="preserve"> k izboljšanju življenjskih pogojev in enakopravni vključitvi romske skupnosti v družbo.</w:t>
      </w:r>
    </w:p>
    <w:p w14:paraId="606D2C65" w14:textId="77777777" w:rsidR="008D4B84" w:rsidRDefault="008D4B84" w:rsidP="008D4B84"/>
    <w:p w14:paraId="574D027F" w14:textId="77777777" w:rsidR="008D4B84" w:rsidRDefault="008D4B84" w:rsidP="008D4B84">
      <w:r>
        <w:t>Glavni ukrepi:</w:t>
      </w:r>
    </w:p>
    <w:p w14:paraId="14CD1B1E" w14:textId="77777777" w:rsidR="008D4B84" w:rsidRDefault="008D4B84" w:rsidP="008D4B84">
      <w:r>
        <w:t>Izobraževanje: Vključevanje romskih otrok v sistem predšolske vzgoje v letu pred vstopom v obvezno osnovnošolsko izobraževanje, dodatna podpora pri vključevanju v VIZ sistem z učenjem slovenskega jezika in doslednejši ukrepi za zagotavljanje obiskovanja pouka (ZVrt, ZOsn).</w:t>
      </w:r>
    </w:p>
    <w:p w14:paraId="1B96013A" w14:textId="77777777" w:rsidR="008D4B84" w:rsidRDefault="008D4B84" w:rsidP="008D4B84"/>
    <w:p w14:paraId="64B9D1CE" w14:textId="77777777" w:rsidR="008D4B84" w:rsidRDefault="008D4B84" w:rsidP="008D4B84">
      <w:r>
        <w:t>Urejanje naselij: Hitrejša obravnava prostorske problematike romskih naselij za izboljšanje bivalnih razmer (ZRomS).</w:t>
      </w:r>
    </w:p>
    <w:p w14:paraId="47B2AD78" w14:textId="77777777" w:rsidR="008D4B84" w:rsidRDefault="008D4B84" w:rsidP="008D4B84"/>
    <w:p w14:paraId="2CB5A212" w14:textId="77777777" w:rsidR="008D4B84" w:rsidRDefault="008D4B84" w:rsidP="008D4B84">
      <w:r>
        <w:t>Spodbujanje vključevanja: Ukinitev 20-odstotnega zvišanja otroškega dodatka za otroke, ki ne obiskujejo vrtca, s čimer se spodbuja vključevanje v predšolsko izobraževanje (ZSDP).</w:t>
      </w:r>
    </w:p>
    <w:p w14:paraId="4F175F56" w14:textId="77777777" w:rsidR="008D4B84" w:rsidRDefault="008D4B84" w:rsidP="008D4B84"/>
    <w:p w14:paraId="4EB13511" w14:textId="77777777" w:rsidR="008D4B84" w:rsidRDefault="008D4B84" w:rsidP="008D4B84">
      <w:r>
        <w:t>Sodelovanje: Občine z romskimi naselji morajo zaposliti koordinatorja, ki povezuje institucije, lokalne oblasti in romsko skupnost ter skrbi za učinkovito izvajanje ukrepov (ZRomS, ZFO-1).</w:t>
      </w:r>
    </w:p>
    <w:p w14:paraId="7F4DAA4F" w14:textId="77777777" w:rsidR="008D4B84" w:rsidRDefault="008D4B84" w:rsidP="008D4B84"/>
    <w:p w14:paraId="618B906F" w14:textId="77777777" w:rsidR="008D4B84" w:rsidRDefault="008D4B84" w:rsidP="008D4B84">
      <w:r>
        <w:t xml:space="preserve">Predvidene spremembe Zakona o vrtcih prinašajo naslednje rešitve: </w:t>
      </w:r>
    </w:p>
    <w:p w14:paraId="669C2757" w14:textId="77777777" w:rsidR="008D4B84" w:rsidRDefault="008D4B84" w:rsidP="008D4B84">
      <w:pPr>
        <w:pStyle w:val="Odstavekseznama"/>
        <w:numPr>
          <w:ilvl w:val="0"/>
          <w:numId w:val="13"/>
        </w:numPr>
      </w:pPr>
      <w:r>
        <w:t>vključevanje romskih otrok v sistem predšolske vzgoje, ki v letu pred obveznim vstopom v osnovno šolo še niso bili vključeni vanj;</w:t>
      </w:r>
    </w:p>
    <w:p w14:paraId="0F9E1CFC" w14:textId="77777777" w:rsidR="008D4B84" w:rsidRDefault="008D4B84" w:rsidP="008D4B84">
      <w:pPr>
        <w:pStyle w:val="Odstavekseznama"/>
        <w:numPr>
          <w:ilvl w:val="0"/>
          <w:numId w:val="13"/>
        </w:numPr>
      </w:pPr>
      <w:r>
        <w:t xml:space="preserve">zbiranje podatkov na podlagi etnične pripadnosti zaradi omogočanja izvajanja pravice do vzgoje in izobraževanja ter </w:t>
      </w:r>
    </w:p>
    <w:p w14:paraId="3FCAA3FF" w14:textId="77777777" w:rsidR="008D4B84" w:rsidRDefault="008D4B84" w:rsidP="008D4B84">
      <w:pPr>
        <w:pStyle w:val="Odstavekseznama"/>
        <w:numPr>
          <w:ilvl w:val="0"/>
          <w:numId w:val="13"/>
        </w:numPr>
      </w:pPr>
      <w:r>
        <w:t>izvajanje odgovornega starševstva z vidika zagotavljanja enakih možnosti ter zajamčenih pravic pripadnikom romske skupnosti.</w:t>
      </w:r>
    </w:p>
    <w:p w14:paraId="5C024D2B" w14:textId="77777777" w:rsidR="008D4B84" w:rsidRDefault="008D4B84" w:rsidP="008D4B84">
      <w:r>
        <w:t xml:space="preserve"> </w:t>
      </w:r>
    </w:p>
    <w:p w14:paraId="5F575B29" w14:textId="77777777" w:rsidR="008D4B84" w:rsidRDefault="008D4B84" w:rsidP="008D4B84">
      <w:r>
        <w:t>Spremembe Zakona o osnovni šoli predvidevajo naslednje rešitve:</w:t>
      </w:r>
    </w:p>
    <w:p w14:paraId="0645C066" w14:textId="77777777" w:rsidR="008D4B84" w:rsidRDefault="008D4B84" w:rsidP="008D4B84">
      <w:pPr>
        <w:pStyle w:val="Odstavekseznama"/>
        <w:numPr>
          <w:ilvl w:val="0"/>
          <w:numId w:val="18"/>
        </w:numPr>
      </w:pPr>
      <w:r>
        <w:t>organizacijo pouka slovenskega jezika in kulture za romske učence v prvem vzgojno-izobraževalnem obdobju;</w:t>
      </w:r>
    </w:p>
    <w:p w14:paraId="3CF2AF58" w14:textId="77777777" w:rsidR="008D4B84" w:rsidRDefault="008D4B84" w:rsidP="008D4B84">
      <w:pPr>
        <w:pStyle w:val="Odstavekseznama"/>
        <w:numPr>
          <w:ilvl w:val="0"/>
          <w:numId w:val="18"/>
        </w:numPr>
      </w:pPr>
      <w:r>
        <w:t>zbiranje podatkov na podlagi etnične pripadnosti zaradi omogočanja izvajanja pravice romskih otrok do izobraževanja;</w:t>
      </w:r>
    </w:p>
    <w:p w14:paraId="453D95D7" w14:textId="77777777" w:rsidR="008D4B84" w:rsidRDefault="008D4B84" w:rsidP="008D4B84">
      <w:pPr>
        <w:pStyle w:val="Odstavekseznama"/>
        <w:numPr>
          <w:ilvl w:val="0"/>
          <w:numId w:val="18"/>
        </w:numPr>
      </w:pPr>
      <w:r>
        <w:t>zagotavljanje varnosti učencev na način, da šola lahko občasno zagotovi doseganje ciljev vzgoje in izobraževanja z drugimi oblikami organiziranega dela z učencem izven oddelka ali skupine, če je to potrebno;</w:t>
      </w:r>
    </w:p>
    <w:p w14:paraId="66AA2EE5" w14:textId="77777777" w:rsidR="008D4B84" w:rsidRDefault="008D4B84" w:rsidP="008D4B84">
      <w:pPr>
        <w:pStyle w:val="Odstavekseznama"/>
        <w:numPr>
          <w:ilvl w:val="0"/>
          <w:numId w:val="18"/>
        </w:numPr>
      </w:pPr>
      <w:r>
        <w:lastRenderedPageBreak/>
        <w:t>natančnejše opredelitve spremljanja in opravičevanja izostankov, z možnostjo zgodnejše vključitve centra za socialno delo v družinsko dinamiko.</w:t>
      </w:r>
    </w:p>
    <w:p w14:paraId="29D60692" w14:textId="77777777" w:rsidR="008D4B84" w:rsidRDefault="008D4B84" w:rsidP="008D4B84"/>
    <w:p w14:paraId="12C6E0CA" w14:textId="77777777" w:rsidR="008D4B84" w:rsidRDefault="008D4B84" w:rsidP="008D4B84">
      <w:r>
        <w:t>Spremembe Zakona o romski skupnosti predvidevajo naslednje rešitve:</w:t>
      </w:r>
    </w:p>
    <w:p w14:paraId="0D19D659" w14:textId="77777777" w:rsidR="008D4B84" w:rsidRDefault="008D4B84" w:rsidP="008D4B84">
      <w:pPr>
        <w:pStyle w:val="Odstavekseznama"/>
        <w:numPr>
          <w:ilvl w:val="0"/>
          <w:numId w:val="19"/>
        </w:numPr>
      </w:pPr>
      <w:r>
        <w:t>zaposlitev občinskega koordinatorja za izboljšanje položaja romske skupnosti - koordinator sodeluje s centri za socialno delo, vzgojnimi zavodi, zavodom za zaposlovanje, Upravo za probacijo, policijo in drugimi državnimi institucijami, državnim organom, pristojnim za narodnosti, romsko skupnostjo in njenimi predstavniki ter organi občine in njenimi delovnimi telesi; občina o delu koordinatorja enkrat mesečno za pretekli mesec poroča državnemu organu, pristojnemu za narodnosti;</w:t>
      </w:r>
    </w:p>
    <w:p w14:paraId="3340BA2C" w14:textId="77777777" w:rsidR="008D4B84" w:rsidRDefault="008D4B84" w:rsidP="008D4B84">
      <w:pPr>
        <w:pStyle w:val="Odstavekseznama"/>
        <w:numPr>
          <w:ilvl w:val="0"/>
          <w:numId w:val="19"/>
        </w:numPr>
      </w:pPr>
      <w:r>
        <w:t>zagotavljanje pogojev za urejanje prostorske problematike romskih naselij in izboljšanje bivalnih razmer pripadnikov romske skupnosti - nosilci urejanja prostora in ministrstvo, pristojno za celovito presojo vplivov na okolje v postopku priprave OPN, ki se nanaša samo na urejanje romskih naselij, morajo predložiti dokumente, informacije in mnenja najpozneje v 30 dneh od prejema zaprosila. Če dokumentov, informacij ali mnenj ne predložijo v tem roku, se šteje, da jih nimajo, oziroma da podajajo pozitivno mnenje. Ta izjema velja za obdobje dveh let od uveljavitve tega zakona;</w:t>
      </w:r>
    </w:p>
    <w:p w14:paraId="5532F968" w14:textId="77777777" w:rsidR="008D4B84" w:rsidRDefault="008D4B84" w:rsidP="008D4B84">
      <w:pPr>
        <w:pStyle w:val="Odstavekseznama"/>
        <w:numPr>
          <w:ilvl w:val="0"/>
          <w:numId w:val="19"/>
        </w:numPr>
      </w:pPr>
      <w:r>
        <w:t>izboljšanje reprezentativnosti Sveta romske skupnosti.</w:t>
      </w:r>
    </w:p>
    <w:p w14:paraId="1F96F94E" w14:textId="77777777" w:rsidR="008D4B84" w:rsidRDefault="008D4B84" w:rsidP="008D4B84"/>
    <w:p w14:paraId="7DE6D5BC" w14:textId="77777777" w:rsidR="008D4B84" w:rsidRDefault="008D4B84" w:rsidP="008D4B84">
      <w:r>
        <w:t xml:space="preserve">Sprememba zakona o starševskem varstvu in družinskih prejemkih: </w:t>
      </w:r>
    </w:p>
    <w:p w14:paraId="480F62BE" w14:textId="77777777" w:rsidR="008D4B84" w:rsidRDefault="008D4B84" w:rsidP="008D4B84">
      <w:r>
        <w:t xml:space="preserve">V predlogu novele Zakona o starševskem varstvu in družinskih prejemkih se črta določba o povečanju otroškega dodatka za 20 odstotkov, če predšolski otrok, mlajši od štirih let, ne obiskuje vrtca. Trenutno namreč velja, da se za  predšolskega otroka, mlajšega od štirih let, ki ni vključen v predšolsko vzgojo v skladu s predpisi, ki urejajo vrtce, posamezni znesek otroškega dodatka poveča za 20 odstotkov. Ker je v zadnjih letih v vrtcih dovolj prostora in je bila določba uvedena iz razloga, ker je bilo pred leti v vrtcu zelo težko dobiti mesto, sploh za mlajše otroke, je odpadel razlog za to povišanje. </w:t>
      </w:r>
    </w:p>
    <w:p w14:paraId="69CAE4DB" w14:textId="114BFF39" w:rsidR="008D4B84" w:rsidRDefault="008D4B84" w:rsidP="008D4B84">
      <w:pPr>
        <w:pStyle w:val="Vir"/>
      </w:pPr>
      <w:r>
        <w:t>Vir: Ministrstvo za delo, družino, socialne zadeve in enake možnosti</w:t>
      </w:r>
    </w:p>
    <w:p w14:paraId="2B7E1B89" w14:textId="2B3477C5" w:rsidR="001C04C6" w:rsidRDefault="001C04C6" w:rsidP="001C04C6">
      <w:pPr>
        <w:pStyle w:val="Naslov2"/>
      </w:pPr>
      <w:r>
        <w:t>Vlada se je seznanila z informacijo o izvajanju Načrta za okrevanje in odpornost</w:t>
      </w:r>
    </w:p>
    <w:p w14:paraId="4FE19F3D" w14:textId="14F5099D" w:rsidR="001C04C6" w:rsidRDefault="001C04C6" w:rsidP="001C04C6">
      <w:r>
        <w:t>Vlada se je danes  seznanila z Informacijo o izvajanju Načrta za okrevanje in odpornost in jo bo posredovala Državnemu zboru Republike Slovenije.</w:t>
      </w:r>
    </w:p>
    <w:p w14:paraId="1DA6D0BD" w14:textId="77777777" w:rsidR="001C04C6" w:rsidRDefault="001C04C6" w:rsidP="001C04C6"/>
    <w:p w14:paraId="23A29384" w14:textId="77777777" w:rsidR="001C04C6" w:rsidRDefault="001C04C6" w:rsidP="001C04C6">
      <w:r>
        <w:t xml:space="preserve">S prilivom izplačila tretjega zahtevka 23. oktobra 2024 je Slovenija za izvedbo Načrta za okrevanje in odpornost (NOO) doslej prejela 1,1 milijarde evrov iz Mehanizma za okrevanje in odpornost – finančno najobsežnejšega dela evropskega svežnja za okrevanje </w:t>
      </w:r>
      <w:proofErr w:type="spellStart"/>
      <w:r>
        <w:t>NextGenerationEU</w:t>
      </w:r>
      <w:proofErr w:type="spellEnd"/>
      <w:r>
        <w:t>. Gre za 673 milijonov evrov nepovratnih sredstev in 426 milijonov evrov posojil. To je 41 odstotkov vseh sredstev za okrevanje in odpornost, ki so državi na voljo do konca leta 2026.</w:t>
      </w:r>
    </w:p>
    <w:p w14:paraId="2F01F2EA" w14:textId="77777777" w:rsidR="001C04C6" w:rsidRDefault="001C04C6" w:rsidP="001C04C6"/>
    <w:p w14:paraId="78D0CB2E" w14:textId="77777777" w:rsidR="001C04C6" w:rsidRDefault="001C04C6" w:rsidP="001C04C6">
      <w:r>
        <w:t>Država je končnim prejemnikom od začetka izvajanja načrta leta 2021 do konca novembra 2024 za že izvedene projektne aktivnost izplačala 622 milijonov evrov, od tega letos 249 milijonov evrov. Glavnina sredstev v letu 2024 je bila izplačana za projekte železniške infrastrukture, gospodarstva, turizma in izobraževanja.</w:t>
      </w:r>
    </w:p>
    <w:p w14:paraId="7D0F8B2F" w14:textId="77777777" w:rsidR="001C04C6" w:rsidRDefault="001C04C6" w:rsidP="001C04C6"/>
    <w:p w14:paraId="585B846E" w14:textId="77777777" w:rsidR="001C04C6" w:rsidRDefault="001C04C6" w:rsidP="001C04C6">
      <w:r>
        <w:t>Po oceni ministrstev, ki so pristojna za izvedbo načrtovanih ukrepov, je od 203 mejnikov in ciljev izpolnjenih 87. Od tega je Evropska komisija v okviru obravnave prvih treh zahtevkov za plačilo kot zadovoljivo izpolnjene ocenila vseh 64 pripadajočih mejnikov in ciljev. Po oceni ministrstev je neformalno izpolnjenih še 23 mejnikov in ciljev, ki bodo predmet prihodnjih zahtevkov za plačilo.</w:t>
      </w:r>
    </w:p>
    <w:p w14:paraId="49F461A0" w14:textId="77777777" w:rsidR="001C04C6" w:rsidRDefault="001C04C6" w:rsidP="001C04C6"/>
    <w:p w14:paraId="3F522605" w14:textId="1C12B3D8" w:rsidR="001C04C6" w:rsidRDefault="001C04C6" w:rsidP="001C04C6">
      <w:r>
        <w:t>Svet Evropske unije v sestavi finančnih ministrov je v torek, 10. decembra 2024,</w:t>
      </w:r>
      <w:r w:rsidRPr="001C04C6">
        <w:rPr>
          <w:rFonts w:cs="Arial"/>
          <w:szCs w:val="20"/>
        </w:rPr>
        <w:t xml:space="preserve"> </w:t>
      </w:r>
      <w:r>
        <w:rPr>
          <w:rFonts w:cs="Arial"/>
          <w:szCs w:val="20"/>
        </w:rPr>
        <w:t xml:space="preserve">odobril </w:t>
      </w:r>
      <w:hyperlink r:id="rId11" w:history="1">
        <w:r w:rsidRPr="001E3C4C">
          <w:rPr>
            <w:rStyle w:val="Hiperpovezava"/>
            <w:rFonts w:cs="Arial"/>
            <w:szCs w:val="20"/>
          </w:rPr>
          <w:t>drugo spremembo NOO</w:t>
        </w:r>
      </w:hyperlink>
      <w:r>
        <w:rPr>
          <w:rFonts w:cs="Arial"/>
          <w:szCs w:val="20"/>
        </w:rPr>
        <w:t>.</w:t>
      </w:r>
      <w:r>
        <w:t xml:space="preserve"> Gre za manjšo spremembo načrta, ki ciljno naslavlja način izvedbe sedmih </w:t>
      </w:r>
      <w:r>
        <w:lastRenderedPageBreak/>
        <w:t>ukrepov. Pripravlja se tudi predlog tretje spremembe NOO, ki bo v formalno potrditev v Bruselj posredovan predvidoma v prvi tretjini prihodnjega leta.</w:t>
      </w:r>
    </w:p>
    <w:p w14:paraId="067BFDD3" w14:textId="77777777" w:rsidR="001C04C6" w:rsidRDefault="001C04C6" w:rsidP="00862B16"/>
    <w:p w14:paraId="5A288882" w14:textId="5C694175" w:rsidR="006F0564" w:rsidRDefault="006F0564" w:rsidP="006F0564">
      <w:pPr>
        <w:pStyle w:val="Naslov2"/>
      </w:pPr>
      <w:r>
        <w:t xml:space="preserve">Dvanajsto poročilo o napredku pri koriščenju sredstev evropske kohezijske politike v programskem obdobju 2014–2020 in 2021–2027 </w:t>
      </w:r>
    </w:p>
    <w:p w14:paraId="71CF1986" w14:textId="5A61CF3C" w:rsidR="006F0564" w:rsidRDefault="006F0564" w:rsidP="006F0564">
      <w:r>
        <w:t>Vlada Republike Slovenije se je seznanila z 12 poročilom o napredku pri koriščenju sredstev evropske kohezijske politike, ki zajema obdobje od 1. do 30. novembra 2024. Ministrstvo za kohezijo in regionalni razvoj (MKRR) je kot organ upravljanja do 30. novembra 2024 izdalo za 736,6  milijona evrov (EU del) odločitev o podpori. V poročanem obdobju za 5 mio evrov (EU del). Do 30. 11. 2024 je bilo potrjenih operacij za 508 mio evrov (EU del), izplačil iz proračuna pa 57,9 mio evrov (EU del).</w:t>
      </w:r>
    </w:p>
    <w:p w14:paraId="311326F6" w14:textId="77777777" w:rsidR="006F0564" w:rsidRDefault="006F0564" w:rsidP="006F0564"/>
    <w:p w14:paraId="46CA79D1" w14:textId="77777777" w:rsidR="006F0564" w:rsidRDefault="006F0564" w:rsidP="006F0564">
      <w:r>
        <w:t>MKRR je na podlagi pregleda napredka pri izvajanju načrtovanih ukrepov na ministrstvih, vključenih v izvajanje evropske kohezijske politike, in na podlagi pregleda absorpcijske sposobnosti terena za ukrepe, ki jih omogoča uredba STEP (platforma za strateške tehnologije za Evropo), pripravilo izhodišča za spremembo Programa evropske kohezijske politike v obdobju 2021–2027 (PEKP 2021-2027). Vlada RS se je v oktobru seznanila z izhodišči za spremembo in naložila MKRR da pripravi spremembo PEKP 2021–2027 v sodelovanju s posredniškimi telesi, ga tehnično uskladi z EK in predloži Vladi RS v sprejem najkasneje do konca februarja 2025.</w:t>
      </w:r>
    </w:p>
    <w:p w14:paraId="0DCA6859" w14:textId="60EB651B" w:rsidR="00862B16" w:rsidRDefault="006F0564" w:rsidP="006F0564">
      <w:pPr>
        <w:pStyle w:val="Vir"/>
      </w:pPr>
      <w:r>
        <w:t>Vir: Ministrstvo za kohezijo in regionalni razvoj</w:t>
      </w:r>
    </w:p>
    <w:p w14:paraId="40F1EE08" w14:textId="4F0E792F" w:rsidR="00134B49" w:rsidRDefault="00134B49" w:rsidP="00134B49">
      <w:pPr>
        <w:pStyle w:val="Naslov2"/>
      </w:pPr>
      <w:r>
        <w:t>Vlada prerazporeja sredstva državnega proračuna</w:t>
      </w:r>
    </w:p>
    <w:p w14:paraId="321486CB" w14:textId="77777777" w:rsidR="00134B49" w:rsidRDefault="00134B49" w:rsidP="00134B49">
      <w:r>
        <w:t xml:space="preserve">Vlada je na današnji seji na podlagi 45 vlog opravila prerazporeditve v državnem proračunu v skupni višini približno 101 milijonov evrov. </w:t>
      </w:r>
    </w:p>
    <w:p w14:paraId="5883DE3B" w14:textId="77777777" w:rsidR="00134B49" w:rsidRDefault="00134B49" w:rsidP="00134B49"/>
    <w:p w14:paraId="55F15805" w14:textId="77777777" w:rsidR="00134B49" w:rsidRDefault="00134B49" w:rsidP="00134B49">
      <w:r>
        <w:t xml:space="preserve">Med drugim bomo približno 17,7 milijona evrov prerazporedili Ministrstvu za delo, družino, socialne zadeve in enake možnosti. Sredstva bodo namenjena izplačilu otroških dodatkov. </w:t>
      </w:r>
    </w:p>
    <w:p w14:paraId="26CAA8CF" w14:textId="77777777" w:rsidR="00134B49" w:rsidRDefault="00134B49" w:rsidP="00134B49"/>
    <w:p w14:paraId="47BAE3BE" w14:textId="77777777" w:rsidR="00134B49" w:rsidRDefault="00134B49" w:rsidP="00134B49">
      <w:r>
        <w:t>V sodelovanju z Ministrstvom za kohezijo in regionalni razvoj prerazporejamo pravice porabe na Ministrstvo za okolje, podnebje in energijo, in sicer v višini 12,6 milijona evrov za namen povečanja namenskega premoženja Eko sklada za nadaljnje kreditiranje okolijskih naložb.</w:t>
      </w:r>
    </w:p>
    <w:p w14:paraId="67BFC1FE" w14:textId="77777777" w:rsidR="00134B49" w:rsidRDefault="00134B49" w:rsidP="00134B49"/>
    <w:p w14:paraId="42822289" w14:textId="77777777" w:rsidR="00134B49" w:rsidRDefault="00134B49" w:rsidP="00134B49">
      <w:r>
        <w:t>Poleg tega Ministrstvo za naravne vire in prostor znotraj lastnega finančnega načrta prerazporeja 15 milijonov evrov za namen zagotovitve zadostnih sredstev za izvedbo izplačil odškodnin upravičencem po lanskoletnih poplavah.</w:t>
      </w:r>
    </w:p>
    <w:p w14:paraId="7E0BB88F" w14:textId="1573C5E0" w:rsidR="008A7364" w:rsidRPr="008A7364" w:rsidRDefault="00134B49" w:rsidP="00134B49">
      <w:pPr>
        <w:pStyle w:val="Vir"/>
      </w:pPr>
      <w:r>
        <w:t>Vir: Ministrstvo za finance</w:t>
      </w:r>
    </w:p>
    <w:p w14:paraId="2B9C2A40" w14:textId="7E7339CD" w:rsidR="00EF6986" w:rsidRDefault="00EF6986" w:rsidP="00EF6986">
      <w:pPr>
        <w:pStyle w:val="Naslov2"/>
      </w:pPr>
      <w:r>
        <w:t>Soglasje k imenovanju direktorja javnega zavoda Centralna tehniška knjižnica Univerze v Ljubljani</w:t>
      </w:r>
    </w:p>
    <w:p w14:paraId="258DEBAD" w14:textId="7BFCE899" w:rsidR="00EF6986" w:rsidRDefault="00EF6986" w:rsidP="00EF6986">
      <w:r>
        <w:t>Vlada je dala soglasje k imenovanju mag. Mira Pušnika za direktorja javnega zavoda Centralna tehniška knjižnica (CTK) Univerze v Ljubljani za mandatno dobo petih let. Miro Pušnik, ki je magister znanosti naravoslovno tehnične informatike, je opravljal delo direktorja CTK že v predhodnem mandatnem obdobju.</w:t>
      </w:r>
    </w:p>
    <w:p w14:paraId="2D3256C4" w14:textId="77777777" w:rsidR="00EF6986" w:rsidRDefault="00EF6986" w:rsidP="00EF6986">
      <w:pPr>
        <w:pStyle w:val="Vir"/>
      </w:pPr>
      <w:r>
        <w:t>Vir: Ministrstvo za visoko šolstvo, znanost in inovacije</w:t>
      </w:r>
    </w:p>
    <w:p w14:paraId="6AF7F279" w14:textId="30A0E15F" w:rsidR="00287BD7" w:rsidRDefault="00287BD7" w:rsidP="00287BD7">
      <w:pPr>
        <w:pStyle w:val="Naslov2"/>
      </w:pPr>
      <w:r>
        <w:t xml:space="preserve">Imenovanje predstavnikov ustanovitelja v Svet javnega socialnovarstvenega zavoda Dom dr. Jožeta Potrča Poljčane </w:t>
      </w:r>
    </w:p>
    <w:p w14:paraId="228AD104" w14:textId="13B02BF1" w:rsidR="00287BD7" w:rsidRDefault="00287BD7" w:rsidP="00287BD7">
      <w:r>
        <w:lastRenderedPageBreak/>
        <w:t xml:space="preserve">Vlada je sprejela sklep o imenovanju predstavnikov v Svet javnega socialnovarstvenega zavoda Doma dr. Jožeta Potrča Poljčane za mandatno dobo štirih let, od ustanovitve seje sveta zavoda, kot predstavnike ustanovitelja imenuje naslednje člane: Ivan Kovačič, Vesna Lavrič, Tin Kampl, dr. Tanja Žmauc, Drago Mahorko, Karmen Babnik. </w:t>
      </w:r>
    </w:p>
    <w:p w14:paraId="4281405F" w14:textId="77777777" w:rsidR="00287BD7" w:rsidRDefault="00287BD7" w:rsidP="00287BD7"/>
    <w:p w14:paraId="5F495156" w14:textId="77777777" w:rsidR="00287BD7" w:rsidRDefault="00287BD7" w:rsidP="00287BD7">
      <w:r>
        <w:t xml:space="preserve">Na podlagi Sklepa o ustanovitvi Doma dr. Jožeta Potrča Poljčane sestavlja svet zavoda 11 članov, in sicer 6 predstavnikov ustanovitelja, 2 predstavnika delavcev, 1 predstavnik stanovalcev, 1 predstavnik lokalne skupnosti, v kateri ima zavod sedež ter 1 predstavnik lokalne skupnosti, v kateri ima zavod dislocirano enoto. </w:t>
      </w:r>
    </w:p>
    <w:p w14:paraId="1AC23EC4" w14:textId="77777777" w:rsidR="00287BD7" w:rsidRDefault="00287BD7" w:rsidP="00287BD7">
      <w:r>
        <w:t xml:space="preserve">  </w:t>
      </w:r>
    </w:p>
    <w:p w14:paraId="28EE959C" w14:textId="1A97BFC4" w:rsidR="00287BD7" w:rsidRDefault="00287BD7" w:rsidP="00287BD7">
      <w:r>
        <w:t xml:space="preserve">Mandat sveta zavoda traja 4 leta in začne teči od njegove konstitutivne seje. Ker sedanjim predstavnikom ustanovitelja v svetu javnega socialnovarstvenega zavoda Doma dr. Jožeta Potrča Poljčane 27. januarja 2025 poteče mandat, je pristojni organ imenoval nove predstavnike ustanovitelja v navedeni organ. </w:t>
      </w:r>
    </w:p>
    <w:p w14:paraId="2B89A364" w14:textId="466DEDF9" w:rsidR="00862B16" w:rsidRDefault="00287BD7" w:rsidP="00287BD7">
      <w:pPr>
        <w:pStyle w:val="Vir"/>
      </w:pPr>
      <w:r>
        <w:t>Vir: Ministrstvo za solidarno prihodnost</w:t>
      </w:r>
    </w:p>
    <w:p w14:paraId="6D240929" w14:textId="51B12160" w:rsidR="00984A74" w:rsidRDefault="00984A74" w:rsidP="00984A74">
      <w:pPr>
        <w:pStyle w:val="Naslov2"/>
      </w:pPr>
      <w:r>
        <w:t xml:space="preserve">Imenovanje predstavnikov ustanovitelja v Svet javnega posebnega socialnovarstvenega zavoda Prizma Ponikve </w:t>
      </w:r>
    </w:p>
    <w:p w14:paraId="496DAA1B" w14:textId="77777777" w:rsidR="00984A74" w:rsidRDefault="00984A74" w:rsidP="00984A74">
      <w:r>
        <w:t xml:space="preserve">Vlada je sprejela sklep o imenovanju predstavnikov v Svet javnega posebnega socialnovarstvenega zavoda Prizma Ponikve za mandatno dobo štirih let, od ustanovitvene sej javnega posebnega socialnovarstvenega sveta zavoda, kot predstavnika ustanovitelja imenujejo: Marko Marolt, Marija Nevenka Novak, Damjana Adamič, Ana Kaplan Novak, Martina Strnad. </w:t>
      </w:r>
    </w:p>
    <w:p w14:paraId="0F23BB0F" w14:textId="77777777" w:rsidR="00984A74" w:rsidRDefault="00984A74" w:rsidP="00984A74"/>
    <w:p w14:paraId="68CBDB7B" w14:textId="77777777" w:rsidR="00984A74" w:rsidRDefault="00984A74" w:rsidP="00984A74">
      <w:r>
        <w:t xml:space="preserve">Na podlagi Sklepa o ustanovitvi posebnega socialnovarstvenega zavoda Prizma Ponikve sestavlja svet zavoda 9 članov, in sicer 5 predstavnikov ustanovitelja, 1 predstavnik delavcev, 1 predstavnik oskrbovancev, 1 predstavnik invalidske organizacije in 1 predstavnik lokalne skupnosti. </w:t>
      </w:r>
    </w:p>
    <w:p w14:paraId="6FAFDDE4" w14:textId="77777777" w:rsidR="00984A74" w:rsidRDefault="00984A74" w:rsidP="00984A74">
      <w:r>
        <w:t xml:space="preserve">  </w:t>
      </w:r>
    </w:p>
    <w:p w14:paraId="48E0565C" w14:textId="2F7F1749" w:rsidR="00984A74" w:rsidRDefault="00984A74" w:rsidP="00984A74">
      <w:r>
        <w:t xml:space="preserve">Mandat sveta zavoda traja 4 leta in začne teči od njegove konstitutivne seje. Ker sedanjim predstavnikom ustanovitelja v svetu javnega posebnega socialnovarstvenega zavoda Prizma Ponikve 17. februarja  2025 poteče mandat, je pristojni organ imenoval nove predstavnike ustanovitelja v navedeni organ. </w:t>
      </w:r>
    </w:p>
    <w:p w14:paraId="7E7BC660" w14:textId="615DDBDD" w:rsidR="00862B16" w:rsidRDefault="00984A74" w:rsidP="00984A74">
      <w:pPr>
        <w:pStyle w:val="Vir"/>
      </w:pPr>
      <w:r>
        <w:t>Vir: Ministrstvo za solidarno prihodnost</w:t>
      </w:r>
    </w:p>
    <w:p w14:paraId="1E3E4704" w14:textId="30619571" w:rsidR="00B67566" w:rsidRDefault="00B67566" w:rsidP="00B67566">
      <w:pPr>
        <w:pStyle w:val="Naslov2"/>
      </w:pPr>
      <w:r>
        <w:t>Vlada imenovala predstavnika ustanovitelja v svet zavoda Srednje gradbene šole in gimnazije Maribor</w:t>
      </w:r>
    </w:p>
    <w:p w14:paraId="1AFF92BD" w14:textId="77777777" w:rsidR="00B67566" w:rsidRDefault="00B67566" w:rsidP="00B67566">
      <w:r>
        <w:t xml:space="preserve">Vlada je za preostanek mandata v svet javnega zavoda Srednje gradbene šole in gimnazije Maribor kot predstavnika ustanovitelja imenovala Natašo Šef in Davida Haložana. </w:t>
      </w:r>
    </w:p>
    <w:p w14:paraId="712DA5B2" w14:textId="59AD1D06" w:rsidR="00862B16" w:rsidRDefault="00B67566" w:rsidP="00B67566">
      <w:pPr>
        <w:pStyle w:val="Vir"/>
      </w:pPr>
      <w:r>
        <w:t>Vir: Ministrstvo za vzgojo in izobraževanje</w:t>
      </w:r>
    </w:p>
    <w:p w14:paraId="72235B79" w14:textId="69AE902E" w:rsidR="006E76D4" w:rsidRDefault="006E76D4" w:rsidP="006E76D4">
      <w:pPr>
        <w:pStyle w:val="Naslov2"/>
      </w:pPr>
      <w:r>
        <w:t>Vlada razrešila člana Sveta Javne agencije za civilno letalstvo Republike Slovenije in imenovala novega člana</w:t>
      </w:r>
    </w:p>
    <w:p w14:paraId="2CD39818" w14:textId="77777777" w:rsidR="006E76D4" w:rsidRDefault="006E76D4" w:rsidP="006E76D4">
      <w:r>
        <w:t xml:space="preserve">Član Sveta Javne agencije za civilno letalstvo Republike Slovenije dr. Branko Lučovnik je podal odstopno izjavo z mesta člana. Vlada je izdala odločbo o razrešitvi dr. Branka Lučovnika z mesta člana Sveta Javne agencije za civilno letalstvo Republike Slovenije. </w:t>
      </w:r>
    </w:p>
    <w:p w14:paraId="4C7EA516" w14:textId="77777777" w:rsidR="006E76D4" w:rsidRDefault="006E76D4" w:rsidP="006E76D4"/>
    <w:p w14:paraId="31902B10" w14:textId="77777777" w:rsidR="006E76D4" w:rsidRDefault="006E76D4" w:rsidP="006E76D4">
      <w:r>
        <w:t xml:space="preserve">Vlada je v Svet Javne agencije za civilno letalstvo Republike Slovenije za mandatno dobo </w:t>
      </w:r>
    </w:p>
    <w:p w14:paraId="02D0D823" w14:textId="77777777" w:rsidR="006E76D4" w:rsidRDefault="006E76D4" w:rsidP="006E76D4">
      <w:r>
        <w:lastRenderedPageBreak/>
        <w:t>petih let, in sicer od 13. 12. 2024 do 12. 12. 2029, z možnostjo ponovnega imenovanja, imenovala Tomaža Pečnika.</w:t>
      </w:r>
    </w:p>
    <w:p w14:paraId="21006998" w14:textId="77777777" w:rsidR="006E76D4" w:rsidRDefault="006E76D4" w:rsidP="006E76D4"/>
    <w:p w14:paraId="27DFAC83" w14:textId="77777777" w:rsidR="006E76D4" w:rsidRDefault="006E76D4" w:rsidP="006E76D4">
      <w:r>
        <w:t xml:space="preserve">Tomaž Pečnik je magister poslovnih ved, organizacijske in vodstvene sposobnosti je pridobival na različnih delovnih mestih, kot so vodja oddelka in izvršne funkcije pri vodenju poslov v družbah Adria Airways, Adria Airways Tehnika, </w:t>
      </w:r>
      <w:proofErr w:type="spellStart"/>
      <w:r>
        <w:t>Elitavia</w:t>
      </w:r>
      <w:proofErr w:type="spellEnd"/>
      <w:r>
        <w:t xml:space="preserve"> d. o. o., v letih od 2002 do 2010 je bil član in podpredsednik nadzornega sveta Adria Airways, d. d. Od aprila 2020 opravlja naloge pomočnika direktorja za logistično operativo v družbi BTC, d. o. o.. </w:t>
      </w:r>
    </w:p>
    <w:p w14:paraId="4AE9E239" w14:textId="77777777" w:rsidR="006E76D4" w:rsidRDefault="006E76D4" w:rsidP="006E76D4">
      <w:pPr>
        <w:pStyle w:val="Vir"/>
      </w:pPr>
      <w:r>
        <w:t>Vir: Ministrstvo za infrastrukturo</w:t>
      </w:r>
    </w:p>
    <w:p w14:paraId="65BA7B8A" w14:textId="55FA61B3" w:rsidR="00072B6A" w:rsidRDefault="00072B6A" w:rsidP="00072B6A">
      <w:pPr>
        <w:pStyle w:val="Naslov2"/>
      </w:pPr>
      <w:r>
        <w:t>Imenovan Odbor za podeljevanje Bloudkovih priznanj 2024–2028</w:t>
      </w:r>
    </w:p>
    <w:p w14:paraId="43F1059E" w14:textId="77777777" w:rsidR="00072B6A" w:rsidRDefault="00072B6A" w:rsidP="00072B6A">
      <w:r>
        <w:t xml:space="preserve">Vlada je na današnji seji imenovala Odbor za podeljevanje Bloudkovih priznanj za naslednje mandatno obdobje 2024–2028. </w:t>
      </w:r>
    </w:p>
    <w:p w14:paraId="107156F8" w14:textId="77777777" w:rsidR="00072B6A" w:rsidRDefault="00072B6A" w:rsidP="00072B6A"/>
    <w:p w14:paraId="67221007" w14:textId="77777777" w:rsidR="00072B6A" w:rsidRDefault="00072B6A" w:rsidP="00072B6A">
      <w:r>
        <w:t xml:space="preserve">Zakon o Bloudkovih priznanjih določa, da ima Odbor za podeljevanje Bloudkovih priznanj predsednika in osem članov, ki jih izmed priznanih športnih delavcev in športnikov imenuje Vlada Republike Slovenije na predlog ministra, pristojnega za šport. Mandat predsednika in članov odbora traja štiri leta. </w:t>
      </w:r>
    </w:p>
    <w:p w14:paraId="20CDD5A1" w14:textId="77777777" w:rsidR="00072B6A" w:rsidRDefault="00072B6A" w:rsidP="00072B6A"/>
    <w:p w14:paraId="13894959" w14:textId="77777777" w:rsidR="00072B6A" w:rsidRDefault="00072B6A" w:rsidP="00072B6A">
      <w:r>
        <w:t xml:space="preserve">Dosedanjemu predsedniku in članom ter članicam je štiriletni mandat potekel 5. novembra 2024. Minister, pristojen za šport, Matjaž Han, je vladi predlagal imenovanje novega odbora za mandatno obdobje 2024–2028. Ob imenovanju novega predsednika in članov ter članic odbora je upošteval, da ima šport več pojavnih oblik in je potrebno odbor sestaviti tako, da se doseže čim bolj enakomerno zastopanost celotnega področja športa. </w:t>
      </w:r>
    </w:p>
    <w:p w14:paraId="14CF963B" w14:textId="77777777" w:rsidR="00072B6A" w:rsidRDefault="00072B6A" w:rsidP="00072B6A"/>
    <w:p w14:paraId="7AC30011" w14:textId="77777777" w:rsidR="00072B6A" w:rsidRDefault="00072B6A" w:rsidP="00072B6A">
      <w:r>
        <w:t>Vlada je tako imenovala Odbor za podeljevanje Bloudkovih priznanj v naslednji sestavi:</w:t>
      </w:r>
    </w:p>
    <w:p w14:paraId="25E67394" w14:textId="77777777" w:rsidR="00072B6A" w:rsidRDefault="00072B6A" w:rsidP="00072B6A"/>
    <w:p w14:paraId="14ECC1B8" w14:textId="4AA1734C" w:rsidR="00072B6A" w:rsidRDefault="00072B6A" w:rsidP="00072B6A">
      <w:pPr>
        <w:pStyle w:val="Odstavekseznama"/>
        <w:numPr>
          <w:ilvl w:val="0"/>
          <w:numId w:val="11"/>
        </w:numPr>
      </w:pPr>
      <w:r>
        <w:t>Viktor Grošelj - predsednik,</w:t>
      </w:r>
    </w:p>
    <w:p w14:paraId="59D07839" w14:textId="229BEAED" w:rsidR="00072B6A" w:rsidRDefault="00072B6A" w:rsidP="00072B6A">
      <w:pPr>
        <w:pStyle w:val="Odstavekseznama"/>
        <w:numPr>
          <w:ilvl w:val="0"/>
          <w:numId w:val="11"/>
        </w:numPr>
      </w:pPr>
      <w:r>
        <w:t>Iztok Čop - član,</w:t>
      </w:r>
    </w:p>
    <w:p w14:paraId="2DA10E61" w14:textId="7C2D5ADB" w:rsidR="00072B6A" w:rsidRDefault="00072B6A" w:rsidP="00072B6A">
      <w:pPr>
        <w:pStyle w:val="Odstavekseznama"/>
        <w:numPr>
          <w:ilvl w:val="0"/>
          <w:numId w:val="11"/>
        </w:numPr>
      </w:pPr>
      <w:r>
        <w:t>Marija Kardinar - članica,</w:t>
      </w:r>
    </w:p>
    <w:p w14:paraId="16B179C1" w14:textId="6CF2957A" w:rsidR="00072B6A" w:rsidRDefault="00072B6A" w:rsidP="00072B6A">
      <w:pPr>
        <w:pStyle w:val="Odstavekseznama"/>
        <w:numPr>
          <w:ilvl w:val="0"/>
          <w:numId w:val="11"/>
        </w:numPr>
      </w:pPr>
      <w:r>
        <w:t>Jože Okoren - član,</w:t>
      </w:r>
    </w:p>
    <w:p w14:paraId="3198A4C6" w14:textId="169A0E81" w:rsidR="00072B6A" w:rsidRDefault="00072B6A" w:rsidP="00072B6A">
      <w:pPr>
        <w:pStyle w:val="Odstavekseznama"/>
        <w:numPr>
          <w:ilvl w:val="0"/>
          <w:numId w:val="11"/>
        </w:numPr>
      </w:pPr>
      <w:r>
        <w:t>dr. Samo Masleša - član,</w:t>
      </w:r>
    </w:p>
    <w:p w14:paraId="47F61A98" w14:textId="3E8EA9AB" w:rsidR="00072B6A" w:rsidRDefault="00072B6A" w:rsidP="00072B6A">
      <w:pPr>
        <w:pStyle w:val="Odstavekseznama"/>
        <w:numPr>
          <w:ilvl w:val="0"/>
          <w:numId w:val="11"/>
        </w:numPr>
      </w:pPr>
      <w:r>
        <w:t>Irena Avbelj - članica,</w:t>
      </w:r>
    </w:p>
    <w:p w14:paraId="47670AD1" w14:textId="1FC9EB76" w:rsidR="00072B6A" w:rsidRDefault="00072B6A" w:rsidP="00072B6A">
      <w:pPr>
        <w:pStyle w:val="Odstavekseznama"/>
        <w:numPr>
          <w:ilvl w:val="0"/>
          <w:numId w:val="11"/>
        </w:numPr>
      </w:pPr>
      <w:r>
        <w:t>Jože Zidar - član,</w:t>
      </w:r>
    </w:p>
    <w:p w14:paraId="5716C659" w14:textId="60AE3E8B" w:rsidR="00072B6A" w:rsidRDefault="00072B6A" w:rsidP="00072B6A">
      <w:pPr>
        <w:pStyle w:val="Odstavekseznama"/>
        <w:numPr>
          <w:ilvl w:val="0"/>
          <w:numId w:val="11"/>
        </w:numPr>
      </w:pPr>
      <w:r>
        <w:t xml:space="preserve">mag. Beno Lapajne - član, </w:t>
      </w:r>
    </w:p>
    <w:p w14:paraId="1FC416AE" w14:textId="34A67587" w:rsidR="00072B6A" w:rsidRDefault="00072B6A" w:rsidP="00072B6A">
      <w:pPr>
        <w:pStyle w:val="Odstavekseznama"/>
        <w:numPr>
          <w:ilvl w:val="0"/>
          <w:numId w:val="11"/>
        </w:numPr>
      </w:pPr>
      <w:r>
        <w:t>dr. Anton Jagodic – član.</w:t>
      </w:r>
    </w:p>
    <w:p w14:paraId="40A6DC97" w14:textId="77777777" w:rsidR="00072B6A" w:rsidRDefault="00072B6A" w:rsidP="00072B6A"/>
    <w:p w14:paraId="5C695C5A" w14:textId="77777777" w:rsidR="00072B6A" w:rsidRDefault="00072B6A" w:rsidP="00072B6A">
      <w:r>
        <w:t>Z imenovanjem članov v tej sestavi bo pokrito področje športa otrok in mladine ter šolskega športa, športne rekreacije in področje vrhunskega športa. Minister je pri oblikovanju predloga novega odbora upošteval tudi cilje, zapisane v vseh doslej sprejetih strateških dokumentih na področju športa. Gre za cilje, kot so doseganje vrhunskih športnih rezultatov, razvoj športa v Sloveniji nasploh, kot tudi osnovni cilj, da postane slovenski narod športna nacija.</w:t>
      </w:r>
    </w:p>
    <w:p w14:paraId="029AE7F8" w14:textId="5108DE2F" w:rsidR="00862B16" w:rsidRDefault="00072B6A" w:rsidP="00072B6A">
      <w:pPr>
        <w:pStyle w:val="Vir"/>
      </w:pPr>
      <w:r>
        <w:t>Vir: Ministrstvo za gospodarstvo, turizem in šport</w:t>
      </w:r>
    </w:p>
    <w:p w14:paraId="509D0FE1" w14:textId="3C724A6A" w:rsidR="00892F68" w:rsidRDefault="00892F68" w:rsidP="00892F68">
      <w:pPr>
        <w:pStyle w:val="Naslov2"/>
      </w:pPr>
      <w:r>
        <w:t>Vlada imenovala člane Sveta Vlade Republike Slovenije za spodbujanje razvoja prostovoljstva, prostovoljskih in nevladnih organizacij</w:t>
      </w:r>
    </w:p>
    <w:p w14:paraId="0D1FFE7F" w14:textId="114249A7" w:rsidR="0029371E" w:rsidRDefault="0029371E" w:rsidP="0029371E">
      <w:r>
        <w:t xml:space="preserve">Vlada Republike Slovenije je na današnji redni seji sprejela </w:t>
      </w:r>
      <w:r>
        <w:t>s</w:t>
      </w:r>
      <w:r>
        <w:t xml:space="preserve">klep o imenovanju članov Sveta Vlade Republike Slovenije za spodbujanje razvoja prostovoljstva, prostovoljskih in nevladnih organizacij. </w:t>
      </w:r>
    </w:p>
    <w:p w14:paraId="1F72FCBF" w14:textId="77777777" w:rsidR="0029371E" w:rsidRDefault="0029371E" w:rsidP="0029371E"/>
    <w:p w14:paraId="26B58E7D" w14:textId="103AB832" w:rsidR="0029371E" w:rsidRDefault="0029371E" w:rsidP="0029371E">
      <w:r>
        <w:lastRenderedPageBreak/>
        <w:t xml:space="preserve">Vlada Republike Slovenije je s sklepom 19. </w:t>
      </w:r>
      <w:r>
        <w:t>oktobra</w:t>
      </w:r>
      <w:r>
        <w:t xml:space="preserve"> 2022 imenovala predstavnike Sveta Vlade Republike Slovenije za spodbujanje razvoja prostovoljstva, prostovoljskih in nevladnih organizacij. Zaradi menjave Vlade in spremembe 4. člena Odloka o Svetu Vlade Republike Slovenije za spodbujanje razvoja prostovoljstva, prostovoljskih in nevladnih organizacij na podlagi katerega se je v Svetu spremenilo število predstavnikov ministrstev, nevladnih ter prostovoljskih organizacij, je treba skladno s 27. členom Zakona o nevladnih organizacijah imenovati nove člane in namestnike v Svet. </w:t>
      </w:r>
    </w:p>
    <w:p w14:paraId="1E281BE4" w14:textId="77777777" w:rsidR="0029371E" w:rsidRDefault="0029371E" w:rsidP="0029371E"/>
    <w:p w14:paraId="03C2C270" w14:textId="77777777" w:rsidR="0029371E" w:rsidRDefault="0029371E" w:rsidP="0029371E">
      <w:r>
        <w:t>Predstavniki nevladnih organizacij, prostovoljskih organizacij, ministrstev in Kabineta predsednika Vlade Republike Slovenije so bili predlagani s strani pristojnih organov oziroma predlagateljev.</w:t>
      </w:r>
    </w:p>
    <w:p w14:paraId="61A9F689" w14:textId="77777777" w:rsidR="0029371E" w:rsidRDefault="0029371E" w:rsidP="0029371E"/>
    <w:p w14:paraId="5063DA48" w14:textId="77777777" w:rsidR="0029371E" w:rsidRDefault="0029371E" w:rsidP="0029371E">
      <w:r>
        <w:t>Svet Vlade Republike Slovenije za spodbujanje razvoja prostovoljstva, prostovoljskih in nevladnih organizacij (v nadaljevanju: svet) sestavljajo naslednji člani :</w:t>
      </w:r>
    </w:p>
    <w:p w14:paraId="21B9E74E" w14:textId="77777777" w:rsidR="0029371E" w:rsidRDefault="0029371E" w:rsidP="0029371E"/>
    <w:p w14:paraId="73EB6B6E" w14:textId="7D875DA1" w:rsidR="0029371E" w:rsidRDefault="0029371E" w:rsidP="0029371E">
      <w:pPr>
        <w:pStyle w:val="Odstavekseznama"/>
        <w:numPr>
          <w:ilvl w:val="0"/>
          <w:numId w:val="20"/>
        </w:numPr>
      </w:pPr>
      <w:r>
        <w:t xml:space="preserve">osem predstavnikov ministrstev in vladnih služb: </w:t>
      </w:r>
    </w:p>
    <w:p w14:paraId="298561D5" w14:textId="035A61BA" w:rsidR="0029371E" w:rsidRDefault="0029371E" w:rsidP="0029371E">
      <w:pPr>
        <w:pStyle w:val="Odstavekseznama"/>
        <w:numPr>
          <w:ilvl w:val="0"/>
          <w:numId w:val="21"/>
        </w:numPr>
      </w:pPr>
      <w:r>
        <w:t>Jure Leben, državni sekretar, Kabinet predsednika Vlade Republike Slovenije,</w:t>
      </w:r>
    </w:p>
    <w:p w14:paraId="7D07006B" w14:textId="2256BA8D" w:rsidR="0029371E" w:rsidRDefault="0029371E" w:rsidP="0029371E">
      <w:pPr>
        <w:pStyle w:val="Odstavekseznama"/>
        <w:numPr>
          <w:ilvl w:val="0"/>
          <w:numId w:val="21"/>
        </w:numPr>
      </w:pPr>
      <w:r>
        <w:t>Jure Trbič, državni sekretar, Ministrstvo za javno upravo,</w:t>
      </w:r>
    </w:p>
    <w:p w14:paraId="10A7F31F" w14:textId="0E6D88E5" w:rsidR="0029371E" w:rsidRDefault="0029371E" w:rsidP="0029371E">
      <w:pPr>
        <w:pStyle w:val="Odstavekseznama"/>
        <w:numPr>
          <w:ilvl w:val="0"/>
          <w:numId w:val="21"/>
        </w:numPr>
      </w:pPr>
      <w:r>
        <w:t>Dejan Židan, državni sekretar, Ministrstvo za gospodarstvo, turizem in šport,</w:t>
      </w:r>
    </w:p>
    <w:p w14:paraId="1626B59F" w14:textId="1A58B7B5" w:rsidR="0029371E" w:rsidRDefault="0029371E" w:rsidP="0029371E">
      <w:pPr>
        <w:pStyle w:val="Odstavekseznama"/>
        <w:numPr>
          <w:ilvl w:val="0"/>
          <w:numId w:val="21"/>
        </w:numPr>
      </w:pPr>
      <w:r>
        <w:t>Janja Zupančič, državna sekretarka, Ministrstvo za v vzgojo in izobraževanje,</w:t>
      </w:r>
    </w:p>
    <w:p w14:paraId="66124191" w14:textId="5C567EF0" w:rsidR="0029371E" w:rsidRDefault="0029371E" w:rsidP="0029371E">
      <w:pPr>
        <w:pStyle w:val="Odstavekseznama"/>
        <w:numPr>
          <w:ilvl w:val="0"/>
          <w:numId w:val="21"/>
        </w:numPr>
      </w:pPr>
      <w:r>
        <w:t>Marko Rusjan, državni sekretar, Ministrstvo za kulturo,</w:t>
      </w:r>
    </w:p>
    <w:p w14:paraId="656A4957" w14:textId="081F4B36" w:rsidR="0029371E" w:rsidRDefault="0029371E" w:rsidP="0029371E">
      <w:pPr>
        <w:pStyle w:val="Odstavekseznama"/>
        <w:numPr>
          <w:ilvl w:val="0"/>
          <w:numId w:val="21"/>
        </w:numPr>
      </w:pPr>
      <w:r>
        <w:t>Eva Knez, državna sekretarka, Ministrstvo za kmetijstvo, gozdarstvo in prehrano,</w:t>
      </w:r>
    </w:p>
    <w:p w14:paraId="398C7D80" w14:textId="19354FD5" w:rsidR="0029371E" w:rsidRDefault="0029371E" w:rsidP="0029371E">
      <w:pPr>
        <w:pStyle w:val="Odstavekseznama"/>
        <w:numPr>
          <w:ilvl w:val="0"/>
          <w:numId w:val="21"/>
        </w:numPr>
      </w:pPr>
      <w:r>
        <w:t>Dan Juvan, državni sekretar, Ministrstvo za delo, družino, socialne zadeve in enake možnosti,</w:t>
      </w:r>
    </w:p>
    <w:p w14:paraId="5DB76ABE" w14:textId="6E5CC5E0" w:rsidR="0029371E" w:rsidRDefault="0029371E" w:rsidP="0029371E">
      <w:pPr>
        <w:pStyle w:val="Odstavekseznama"/>
        <w:numPr>
          <w:ilvl w:val="0"/>
          <w:numId w:val="21"/>
        </w:numPr>
      </w:pPr>
      <w:r>
        <w:t>mag. Marko Lovše, državni sekretar, Ministrstvo za obrambo.</w:t>
      </w:r>
    </w:p>
    <w:p w14:paraId="6086F3A8" w14:textId="77777777" w:rsidR="0029371E" w:rsidRDefault="0029371E" w:rsidP="0029371E"/>
    <w:p w14:paraId="343E5ECE" w14:textId="2FAB157E" w:rsidR="0029371E" w:rsidRDefault="0029371E" w:rsidP="0029371E">
      <w:pPr>
        <w:pStyle w:val="Odstavekseznama"/>
        <w:numPr>
          <w:ilvl w:val="0"/>
          <w:numId w:val="20"/>
        </w:numPr>
      </w:pPr>
      <w:r>
        <w:t xml:space="preserve">štirje predstavniki nevladnih organizacij: </w:t>
      </w:r>
    </w:p>
    <w:p w14:paraId="57C7D874" w14:textId="77777777" w:rsidR="0029371E" w:rsidRDefault="0029371E" w:rsidP="0029371E"/>
    <w:p w14:paraId="28C7CF41" w14:textId="73B74ACA" w:rsidR="0029371E" w:rsidRDefault="0029371E" w:rsidP="0029371E">
      <w:pPr>
        <w:pStyle w:val="Odstavekseznama"/>
        <w:numPr>
          <w:ilvl w:val="0"/>
          <w:numId w:val="22"/>
        </w:numPr>
      </w:pPr>
      <w:r>
        <w:t xml:space="preserve">Kristina Cigler, </w:t>
      </w:r>
    </w:p>
    <w:p w14:paraId="1466C6C9" w14:textId="36C0582E" w:rsidR="0029371E" w:rsidRDefault="0029371E" w:rsidP="0029371E">
      <w:pPr>
        <w:pStyle w:val="Odstavekseznama"/>
        <w:numPr>
          <w:ilvl w:val="0"/>
          <w:numId w:val="22"/>
        </w:numPr>
      </w:pPr>
      <w:r>
        <w:t xml:space="preserve">Goran Forbici, </w:t>
      </w:r>
    </w:p>
    <w:p w14:paraId="45E4BC26" w14:textId="05336683" w:rsidR="0029371E" w:rsidRDefault="0029371E" w:rsidP="0029371E">
      <w:pPr>
        <w:pStyle w:val="Odstavekseznama"/>
        <w:numPr>
          <w:ilvl w:val="0"/>
          <w:numId w:val="22"/>
        </w:numPr>
      </w:pPr>
      <w:r>
        <w:t xml:space="preserve">Blaž Perko, </w:t>
      </w:r>
    </w:p>
    <w:p w14:paraId="7312E14F" w14:textId="12FB2783" w:rsidR="0029371E" w:rsidRDefault="0029371E" w:rsidP="0029371E">
      <w:pPr>
        <w:pStyle w:val="Odstavekseznama"/>
        <w:numPr>
          <w:ilvl w:val="0"/>
          <w:numId w:val="22"/>
        </w:numPr>
      </w:pPr>
      <w:r>
        <w:t>Breda Krašna</w:t>
      </w:r>
      <w:r>
        <w:t>.</w:t>
      </w:r>
      <w:r>
        <w:t xml:space="preserve"> </w:t>
      </w:r>
    </w:p>
    <w:p w14:paraId="365A75EE" w14:textId="77777777" w:rsidR="0029371E" w:rsidRDefault="0029371E" w:rsidP="0029371E"/>
    <w:p w14:paraId="476B0A65" w14:textId="132A1878" w:rsidR="0029371E" w:rsidRDefault="0029371E" w:rsidP="0029371E">
      <w:pPr>
        <w:pStyle w:val="Odstavekseznama"/>
        <w:numPr>
          <w:ilvl w:val="0"/>
          <w:numId w:val="20"/>
        </w:numPr>
      </w:pPr>
      <w:r>
        <w:t xml:space="preserve">štirje predstavniki prostovoljskih organizacij: </w:t>
      </w:r>
    </w:p>
    <w:p w14:paraId="707AA3D9" w14:textId="06E46C25" w:rsidR="0029371E" w:rsidRDefault="0029371E" w:rsidP="0029371E">
      <w:pPr>
        <w:pStyle w:val="Odstavekseznama"/>
        <w:numPr>
          <w:ilvl w:val="0"/>
          <w:numId w:val="23"/>
        </w:numPr>
      </w:pPr>
      <w:r>
        <w:t xml:space="preserve">Tjaša Arko, </w:t>
      </w:r>
    </w:p>
    <w:p w14:paraId="2BECAFE6" w14:textId="1723F0BB" w:rsidR="0029371E" w:rsidRDefault="0029371E" w:rsidP="0029371E">
      <w:pPr>
        <w:pStyle w:val="Odstavekseznama"/>
        <w:numPr>
          <w:ilvl w:val="0"/>
          <w:numId w:val="23"/>
        </w:numPr>
      </w:pPr>
      <w:r>
        <w:t xml:space="preserve">Matej </w:t>
      </w:r>
      <w:proofErr w:type="spellStart"/>
      <w:r>
        <w:t>Plenko</w:t>
      </w:r>
      <w:proofErr w:type="spellEnd"/>
      <w:r>
        <w:t xml:space="preserve">, </w:t>
      </w:r>
    </w:p>
    <w:p w14:paraId="3224CBF8" w14:textId="7A5AF8C2" w:rsidR="0029371E" w:rsidRDefault="0029371E" w:rsidP="0029371E">
      <w:pPr>
        <w:pStyle w:val="Odstavekseznama"/>
        <w:numPr>
          <w:ilvl w:val="0"/>
          <w:numId w:val="23"/>
        </w:numPr>
      </w:pPr>
      <w:r>
        <w:t xml:space="preserve">Darinka Kerin Kiler, </w:t>
      </w:r>
    </w:p>
    <w:p w14:paraId="48B1B286" w14:textId="5286F9C9" w:rsidR="0029371E" w:rsidRDefault="0029371E" w:rsidP="0029371E">
      <w:pPr>
        <w:pStyle w:val="Odstavekseznama"/>
        <w:numPr>
          <w:ilvl w:val="0"/>
          <w:numId w:val="23"/>
        </w:numPr>
      </w:pPr>
      <w:r>
        <w:t>Rok Pandel</w:t>
      </w:r>
      <w:r>
        <w:t>.</w:t>
      </w:r>
      <w:r>
        <w:t xml:space="preserve"> </w:t>
      </w:r>
    </w:p>
    <w:p w14:paraId="641A98D1" w14:textId="77777777" w:rsidR="0029371E" w:rsidRDefault="0029371E" w:rsidP="0029371E"/>
    <w:p w14:paraId="426E4F83" w14:textId="6B657778" w:rsidR="0029371E" w:rsidRPr="0029371E" w:rsidRDefault="0029371E" w:rsidP="0029371E">
      <w:r>
        <w:t>Poleg članov so v svetu tudi njihovi namestniki.</w:t>
      </w:r>
    </w:p>
    <w:p w14:paraId="22CE2B03" w14:textId="6C31DEFF" w:rsidR="00862B16" w:rsidRDefault="00892F68" w:rsidP="00892F68">
      <w:pPr>
        <w:pStyle w:val="Vir"/>
      </w:pPr>
      <w:r>
        <w:t>Vir: Ministrstvo za javno upravo</w:t>
      </w:r>
    </w:p>
    <w:p w14:paraId="77328D04" w14:textId="0D56C5BB" w:rsidR="001C5790" w:rsidRDefault="001C5790" w:rsidP="001C5790">
      <w:pPr>
        <w:pStyle w:val="Naslov2"/>
      </w:pPr>
      <w:r>
        <w:t>Vlada razrešila in imenovala nove predstavnike v Svet Vlade Republike Slovenije za mladino</w:t>
      </w:r>
    </w:p>
    <w:p w14:paraId="0C0151F6" w14:textId="77777777" w:rsidR="001C5790" w:rsidRDefault="001C5790" w:rsidP="001C5790">
      <w:r>
        <w:t>Vlada je iz Sveta Vlade Republike Slovenije za mladino razrešila dr. Darja Feldo, dr. Emilijo Stojmenovo Duh, dr. Matjaža Kranjca, Evo Vodnik in Niko Rojc.</w:t>
      </w:r>
    </w:p>
    <w:p w14:paraId="29B207A9" w14:textId="77777777" w:rsidR="001C5790" w:rsidRDefault="001C5790" w:rsidP="001C5790"/>
    <w:p w14:paraId="2DDCA833" w14:textId="77777777" w:rsidR="001C5790" w:rsidRDefault="001C5790" w:rsidP="001C5790">
      <w:r>
        <w:t>V svet je do 4. novembra 2025 namesto njih imenovala ministra za vzgojo in izobraževanje dr. Vinka Logaja, državno sekretarko na Ministrstvu za digitalno preobrazbo dr. Aido Kamišalić, generalnega direktorja in namestnika ministra za visoko šolstvo, znanost in  inovacije Urbana Kodriča, državnega sekretarja na Ministrstvu za zdravje Iztoka Kosa in predstavnika Dijaške organizacije Slovenije Taia Žnidarčiča.</w:t>
      </w:r>
    </w:p>
    <w:p w14:paraId="01E0D93B" w14:textId="052D8326" w:rsidR="00862B16" w:rsidRDefault="001C5790" w:rsidP="001C5790">
      <w:pPr>
        <w:pStyle w:val="Vir"/>
      </w:pPr>
      <w:r>
        <w:t>Vir: Ministrstvo za vzgojo in izobraževanje</w:t>
      </w:r>
    </w:p>
    <w:p w14:paraId="03DB68A3" w14:textId="41F41A2C" w:rsidR="0027293B" w:rsidRDefault="0027293B" w:rsidP="0027293B">
      <w:pPr>
        <w:pStyle w:val="Naslov2"/>
      </w:pPr>
      <w:r>
        <w:lastRenderedPageBreak/>
        <w:t xml:space="preserve">Vlada se je seznanila z informacijo o nameravani sklenitvi sodnih poravnav s pripadniki Slovenske vojske iz naslova pripravljenosti na delovnem mestu </w:t>
      </w:r>
    </w:p>
    <w:p w14:paraId="1608F91F" w14:textId="77777777" w:rsidR="0027293B" w:rsidRDefault="0027293B" w:rsidP="0027293B">
      <w:r>
        <w:t>Vlada Republike Slovenije je na seji vlade sprejela Informacijo o nameravani sklenitvi sodnih poravnav s tožniki, pripadniki Slovenske vojske, zaradi prikrajšanja iz naslova pripravljenosti na delovnem mestu ali na določenem kraju.</w:t>
      </w:r>
    </w:p>
    <w:p w14:paraId="7149D90D" w14:textId="77777777" w:rsidR="0027293B" w:rsidRDefault="0027293B" w:rsidP="0027293B"/>
    <w:p w14:paraId="3918A9CE" w14:textId="56C97DB3" w:rsidR="0027293B" w:rsidRDefault="0027293B" w:rsidP="0027293B">
      <w:r>
        <w:t xml:space="preserve">Vlada Republike Slovenije je s sklepom, z dne 20. 6. 2019, naložila ministrstvom, organom v sestavi ministrstev in vladnim službam, da pred sklenitvijo sodne oziroma izvensodne poravnave, ki presega vrednost 10.000,00 evrov (skupaj s stroški in morebitnimi pripadajočimi obrestmi in drugimi dajatvami), Vlado Republike Slovenije seznanijo z vsebino poravnave. </w:t>
      </w:r>
    </w:p>
    <w:p w14:paraId="023714D6" w14:textId="77777777" w:rsidR="0027293B" w:rsidRDefault="0027293B" w:rsidP="0027293B"/>
    <w:p w14:paraId="162716C8" w14:textId="34824AA9" w:rsidR="0027293B" w:rsidRDefault="0027293B" w:rsidP="0027293B">
      <w:r>
        <w:t>Državno odvetništvo (kot pooblaščenec Ministrstva za obrambo) je zato pozvalo Ministrstvo za obrambo, da od Vlade RS pridobi sklep, s katerim se bo Vlada RS na generalni ravni seznanila s sklepanjem sodnih poravnav v sporih, katerih tožbeni zahtevek presega 10.000 evrov. V posameznem individualnem delovnem sporu sklepa vlade o seznanitvi s predlagano sodno poravnavo tako več ne bo potrebno pridobivati, s ciljem pospešitve postopkov sklepanja poravnav in z namenom preprečitve dodatnih ter nepotrebnih stroškov.</w:t>
      </w:r>
    </w:p>
    <w:p w14:paraId="4DA500EB" w14:textId="74A1C39B" w:rsidR="00874E43" w:rsidRDefault="0027293B" w:rsidP="0027293B">
      <w:pPr>
        <w:pStyle w:val="Vir"/>
      </w:pPr>
      <w:r>
        <w:t>Vir: Ministrstvo za obrambo</w:t>
      </w:r>
    </w:p>
    <w:p w14:paraId="3CED005D" w14:textId="1481FC9B" w:rsidR="00074828" w:rsidRDefault="00074828" w:rsidP="00074828">
      <w:pPr>
        <w:pStyle w:val="Naslov2"/>
      </w:pPr>
      <w:r>
        <w:t>Vlada se je seznanila z namero o sklenitvi izvensodne poravnave med Republiko Slovenijo in družbo GOLOB podjetje za veterino, medicino in trgovino d. o. o.</w:t>
      </w:r>
    </w:p>
    <w:p w14:paraId="3AF08623" w14:textId="77777777" w:rsidR="00074828" w:rsidRDefault="00074828" w:rsidP="00074828">
      <w:r>
        <w:t>Vlada Republike Slovenije se je seznanila z namero o sklenitvi izvensodne poravnave, ki jo bo Republika Slovenija (Ministrstvo za naravne vire in prostor) sklenila z družbo Golob, podjetje za veterino, medicino in trgovino d. o. o., zaradi ureditve plačila za opravljene naloge zatočišča za živali prosto živečih vrst v obdobju od 1. 2. 2023 do 31. 5. 2024.</w:t>
      </w:r>
    </w:p>
    <w:p w14:paraId="3856BB9D" w14:textId="77777777" w:rsidR="00074828" w:rsidRDefault="00074828" w:rsidP="00074828"/>
    <w:p w14:paraId="72685A23" w14:textId="77777777" w:rsidR="00074828" w:rsidRDefault="00074828" w:rsidP="00074828">
      <w:r>
        <w:t xml:space="preserve">Z družbo Golob d. o. o. je bila na podlagi Uredbe o zatočišču za živali prosto živečih vrst 20. februarja 2013 sklenjena petletna pogodba o opravljanju dejavnosti zatočišča za prosto živeče živali. Pozneje je bilo sklenjenih deset aneksov, veljavnost zadnjega je potekla 31. januarja 2023. Družba Golob d. o. o. je nadaljevala z opravljanjem nalog zatočišča tudi po poteku navedene pogodbe in za obdobje od 1. 2. 2023 do 31. 8. 2024 zahteva plačilo v višini nekaj več kot 570 tisoč evrov, katerega pa ministrstvo ne priznava v celoti. Zato je bilo z družbo Golob d.o.o. dogovorjeno, da se pristopi k poravnavi zgolj za nesporni del, ki ga ministrstvo priznava. Tako se z izvensodno poravnavo ureja plačilo za opravljene naloge v obdobju od 1. 2. 2023 do 31. 5. 2024, in sicer v znesku, ki ga ministrstvo priznava kot nespornega in se z njim družba Golob d. o. o. strinja. Na podlagi sklenjene izvensodne poravnave bo poplačan izvajalec, družba Golob d. o. o. v višini 86.247 evrov, in njegov podizvajalec Veterinarska ambulanta Koper v višini 11.689,37 evrov. Skupna obveznost ministrstva tako znaša 97.936,37 evrov. </w:t>
      </w:r>
    </w:p>
    <w:p w14:paraId="2856E455" w14:textId="77777777" w:rsidR="00074828" w:rsidRDefault="00074828" w:rsidP="00074828"/>
    <w:p w14:paraId="4D84E22E" w14:textId="28824ED9" w:rsidR="008A7364" w:rsidRDefault="00074828" w:rsidP="00074828">
      <w:r>
        <w:t>Ker nameravana sklenitev poravnave presega vrednost deset tisoč evrov, mora ministrstvo, v skladu s sklepom vlade, o vsebini poravnave seznaniti vlado. Pri pripravi in usklajevanju predmetnega sporazuma o izvensodni poravnavi sta sodelovala Državno odvetništvo Republike Slovenije in pooblaščena odvetnica družbe Golob d. o. o.</w:t>
      </w:r>
    </w:p>
    <w:p w14:paraId="5F08C96A" w14:textId="77777777" w:rsidR="00074828" w:rsidRPr="00693A32" w:rsidRDefault="00074828" w:rsidP="00074828">
      <w:pPr>
        <w:pStyle w:val="Vir"/>
      </w:pPr>
      <w:r w:rsidRPr="004B698A">
        <w:t>Vir: Ministrstvo za naravne vire in prostor</w:t>
      </w:r>
    </w:p>
    <w:p w14:paraId="174B05C5" w14:textId="77777777" w:rsidR="00074828" w:rsidRPr="008A7364" w:rsidRDefault="00074828" w:rsidP="00074828"/>
    <w:sectPr w:rsidR="00074828" w:rsidRPr="008A736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56082" w14:textId="77777777" w:rsidR="001C3560" w:rsidRDefault="001C3560" w:rsidP="00750D01">
      <w:pPr>
        <w:spacing w:line="240" w:lineRule="auto"/>
      </w:pPr>
      <w:r>
        <w:separator/>
      </w:r>
    </w:p>
  </w:endnote>
  <w:endnote w:type="continuationSeparator" w:id="0">
    <w:p w14:paraId="77E0A0DB" w14:textId="77777777" w:rsidR="001C3560" w:rsidRDefault="001C3560"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Impact"/>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27551" w14:textId="77777777" w:rsidR="001C3560" w:rsidRDefault="001C3560" w:rsidP="00750D01">
      <w:pPr>
        <w:spacing w:line="240" w:lineRule="auto"/>
      </w:pPr>
      <w:r>
        <w:separator/>
      </w:r>
    </w:p>
  </w:footnote>
  <w:footnote w:type="continuationSeparator" w:id="0">
    <w:p w14:paraId="51F1B1B0" w14:textId="77777777" w:rsidR="001C3560" w:rsidRDefault="001C3560"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10ED"/>
    <w:multiLevelType w:val="hybridMultilevel"/>
    <w:tmpl w:val="8E003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25C01"/>
    <w:multiLevelType w:val="hybridMultilevel"/>
    <w:tmpl w:val="F2044C0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D22F63"/>
    <w:multiLevelType w:val="hybridMultilevel"/>
    <w:tmpl w:val="E210F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055B35"/>
    <w:multiLevelType w:val="hybridMultilevel"/>
    <w:tmpl w:val="10E09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1C39C4"/>
    <w:multiLevelType w:val="hybridMultilevel"/>
    <w:tmpl w:val="37A64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571B9A"/>
    <w:multiLevelType w:val="hybridMultilevel"/>
    <w:tmpl w:val="1AB84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A34A1D"/>
    <w:multiLevelType w:val="hybridMultilevel"/>
    <w:tmpl w:val="5F58120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361956"/>
    <w:multiLevelType w:val="hybridMultilevel"/>
    <w:tmpl w:val="9FF62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BD115E"/>
    <w:multiLevelType w:val="hybridMultilevel"/>
    <w:tmpl w:val="98CE988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5B1828"/>
    <w:multiLevelType w:val="hybridMultilevel"/>
    <w:tmpl w:val="5B5C4D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606C61"/>
    <w:multiLevelType w:val="hybridMultilevel"/>
    <w:tmpl w:val="3326B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2647C8"/>
    <w:multiLevelType w:val="hybridMultilevel"/>
    <w:tmpl w:val="70DE93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127C29"/>
    <w:multiLevelType w:val="hybridMultilevel"/>
    <w:tmpl w:val="459863F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FE139C1"/>
    <w:multiLevelType w:val="hybridMultilevel"/>
    <w:tmpl w:val="2582757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19"/>
  </w:num>
  <w:num w:numId="2" w16cid:durableId="984821814">
    <w:abstractNumId w:val="12"/>
  </w:num>
  <w:num w:numId="3" w16cid:durableId="150218247">
    <w:abstractNumId w:val="1"/>
  </w:num>
  <w:num w:numId="4" w16cid:durableId="1026903286">
    <w:abstractNumId w:val="13"/>
  </w:num>
  <w:num w:numId="5" w16cid:durableId="231817878">
    <w:abstractNumId w:val="6"/>
  </w:num>
  <w:num w:numId="6" w16cid:durableId="2110814889">
    <w:abstractNumId w:val="21"/>
  </w:num>
  <w:num w:numId="7" w16cid:durableId="695153758">
    <w:abstractNumId w:val="7"/>
  </w:num>
  <w:num w:numId="8" w16cid:durableId="853298866">
    <w:abstractNumId w:val="11"/>
  </w:num>
  <w:num w:numId="9" w16cid:durableId="1789348953">
    <w:abstractNumId w:val="5"/>
  </w:num>
  <w:num w:numId="10" w16cid:durableId="1903563929">
    <w:abstractNumId w:val="16"/>
  </w:num>
  <w:num w:numId="11" w16cid:durableId="1046637479">
    <w:abstractNumId w:val="4"/>
  </w:num>
  <w:num w:numId="12" w16cid:durableId="1412197350">
    <w:abstractNumId w:val="9"/>
  </w:num>
  <w:num w:numId="13" w16cid:durableId="1230967770">
    <w:abstractNumId w:val="14"/>
  </w:num>
  <w:num w:numId="14" w16cid:durableId="979529823">
    <w:abstractNumId w:val="8"/>
  </w:num>
  <w:num w:numId="15" w16cid:durableId="448856569">
    <w:abstractNumId w:val="15"/>
  </w:num>
  <w:num w:numId="16" w16cid:durableId="499465672">
    <w:abstractNumId w:val="18"/>
  </w:num>
  <w:num w:numId="17" w16cid:durableId="521095509">
    <w:abstractNumId w:val="22"/>
  </w:num>
  <w:num w:numId="18" w16cid:durableId="612520247">
    <w:abstractNumId w:val="0"/>
  </w:num>
  <w:num w:numId="19" w16cid:durableId="797987110">
    <w:abstractNumId w:val="17"/>
  </w:num>
  <w:num w:numId="20" w16cid:durableId="490752411">
    <w:abstractNumId w:val="3"/>
  </w:num>
  <w:num w:numId="21" w16cid:durableId="993949673">
    <w:abstractNumId w:val="20"/>
  </w:num>
  <w:num w:numId="22" w16cid:durableId="1096251356">
    <w:abstractNumId w:val="2"/>
  </w:num>
  <w:num w:numId="23" w16cid:durableId="1593658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72B6A"/>
    <w:rsid w:val="00074828"/>
    <w:rsid w:val="00076DF7"/>
    <w:rsid w:val="00085D04"/>
    <w:rsid w:val="00087069"/>
    <w:rsid w:val="00097B85"/>
    <w:rsid w:val="000D1D80"/>
    <w:rsid w:val="00110B8F"/>
    <w:rsid w:val="001246B8"/>
    <w:rsid w:val="0013016C"/>
    <w:rsid w:val="00134B49"/>
    <w:rsid w:val="00154E49"/>
    <w:rsid w:val="001602C9"/>
    <w:rsid w:val="001652A0"/>
    <w:rsid w:val="001B01DD"/>
    <w:rsid w:val="001B7763"/>
    <w:rsid w:val="001C04C6"/>
    <w:rsid w:val="001C3560"/>
    <w:rsid w:val="001C5790"/>
    <w:rsid w:val="001F51BC"/>
    <w:rsid w:val="00203F5F"/>
    <w:rsid w:val="00215140"/>
    <w:rsid w:val="00231021"/>
    <w:rsid w:val="002501CE"/>
    <w:rsid w:val="0027293B"/>
    <w:rsid w:val="00287BD7"/>
    <w:rsid w:val="0029371E"/>
    <w:rsid w:val="0031216D"/>
    <w:rsid w:val="0032428F"/>
    <w:rsid w:val="00335922"/>
    <w:rsid w:val="00346E22"/>
    <w:rsid w:val="00357DC0"/>
    <w:rsid w:val="00361255"/>
    <w:rsid w:val="003742F7"/>
    <w:rsid w:val="003847C8"/>
    <w:rsid w:val="003877EB"/>
    <w:rsid w:val="00390DF7"/>
    <w:rsid w:val="00390ED0"/>
    <w:rsid w:val="0039662C"/>
    <w:rsid w:val="003D64D8"/>
    <w:rsid w:val="003E17B6"/>
    <w:rsid w:val="003E5F8E"/>
    <w:rsid w:val="003E6170"/>
    <w:rsid w:val="003F2CCC"/>
    <w:rsid w:val="00413CB4"/>
    <w:rsid w:val="00415527"/>
    <w:rsid w:val="004403EC"/>
    <w:rsid w:val="0044642C"/>
    <w:rsid w:val="00460370"/>
    <w:rsid w:val="00481344"/>
    <w:rsid w:val="004A7CAD"/>
    <w:rsid w:val="004B219B"/>
    <w:rsid w:val="004B2907"/>
    <w:rsid w:val="004B7346"/>
    <w:rsid w:val="00522637"/>
    <w:rsid w:val="00527AA5"/>
    <w:rsid w:val="005314D7"/>
    <w:rsid w:val="005515BD"/>
    <w:rsid w:val="0059143B"/>
    <w:rsid w:val="005C1523"/>
    <w:rsid w:val="005E1ABB"/>
    <w:rsid w:val="00614FFD"/>
    <w:rsid w:val="006274BB"/>
    <w:rsid w:val="00634EFA"/>
    <w:rsid w:val="00635A79"/>
    <w:rsid w:val="0066249C"/>
    <w:rsid w:val="00675BA3"/>
    <w:rsid w:val="006E76D4"/>
    <w:rsid w:val="006F0564"/>
    <w:rsid w:val="007130E1"/>
    <w:rsid w:val="00717E59"/>
    <w:rsid w:val="0073796B"/>
    <w:rsid w:val="00750D01"/>
    <w:rsid w:val="007669A3"/>
    <w:rsid w:val="00770F74"/>
    <w:rsid w:val="00781345"/>
    <w:rsid w:val="00786DEE"/>
    <w:rsid w:val="007B0ADD"/>
    <w:rsid w:val="007C6B62"/>
    <w:rsid w:val="007E198F"/>
    <w:rsid w:val="008040F7"/>
    <w:rsid w:val="008336E7"/>
    <w:rsid w:val="00847AD3"/>
    <w:rsid w:val="008624E8"/>
    <w:rsid w:val="00862B16"/>
    <w:rsid w:val="0087084B"/>
    <w:rsid w:val="00874E43"/>
    <w:rsid w:val="00892F68"/>
    <w:rsid w:val="008A7364"/>
    <w:rsid w:val="008B7AF2"/>
    <w:rsid w:val="008D4B84"/>
    <w:rsid w:val="00905C96"/>
    <w:rsid w:val="009174DA"/>
    <w:rsid w:val="0094488D"/>
    <w:rsid w:val="009540E4"/>
    <w:rsid w:val="00974186"/>
    <w:rsid w:val="00984A74"/>
    <w:rsid w:val="009900DE"/>
    <w:rsid w:val="009908E7"/>
    <w:rsid w:val="009A41AA"/>
    <w:rsid w:val="009C2C98"/>
    <w:rsid w:val="009C2D77"/>
    <w:rsid w:val="009D10D1"/>
    <w:rsid w:val="00A0055D"/>
    <w:rsid w:val="00A06971"/>
    <w:rsid w:val="00A16A6E"/>
    <w:rsid w:val="00A30052"/>
    <w:rsid w:val="00A34FC4"/>
    <w:rsid w:val="00A445DF"/>
    <w:rsid w:val="00A50429"/>
    <w:rsid w:val="00A5415F"/>
    <w:rsid w:val="00A60A37"/>
    <w:rsid w:val="00A67305"/>
    <w:rsid w:val="00A7412B"/>
    <w:rsid w:val="00A86EE6"/>
    <w:rsid w:val="00AD1AFD"/>
    <w:rsid w:val="00AE6CD6"/>
    <w:rsid w:val="00B26DD2"/>
    <w:rsid w:val="00B47F61"/>
    <w:rsid w:val="00B60E9F"/>
    <w:rsid w:val="00B60F58"/>
    <w:rsid w:val="00B67566"/>
    <w:rsid w:val="00B70F5B"/>
    <w:rsid w:val="00B753A8"/>
    <w:rsid w:val="00B84862"/>
    <w:rsid w:val="00BA743D"/>
    <w:rsid w:val="00BB73C0"/>
    <w:rsid w:val="00C3152B"/>
    <w:rsid w:val="00C354D9"/>
    <w:rsid w:val="00C458C2"/>
    <w:rsid w:val="00C5678D"/>
    <w:rsid w:val="00CA1E07"/>
    <w:rsid w:val="00CA428D"/>
    <w:rsid w:val="00CA5624"/>
    <w:rsid w:val="00CC37B3"/>
    <w:rsid w:val="00CF487A"/>
    <w:rsid w:val="00D15B43"/>
    <w:rsid w:val="00D25803"/>
    <w:rsid w:val="00D650E2"/>
    <w:rsid w:val="00D7373E"/>
    <w:rsid w:val="00D83628"/>
    <w:rsid w:val="00D9208E"/>
    <w:rsid w:val="00D95BC6"/>
    <w:rsid w:val="00DD6C96"/>
    <w:rsid w:val="00DE199D"/>
    <w:rsid w:val="00E02AB3"/>
    <w:rsid w:val="00E14AAE"/>
    <w:rsid w:val="00E2036F"/>
    <w:rsid w:val="00E2577D"/>
    <w:rsid w:val="00E3507E"/>
    <w:rsid w:val="00E7132A"/>
    <w:rsid w:val="00E83E60"/>
    <w:rsid w:val="00E86C78"/>
    <w:rsid w:val="00E948BD"/>
    <w:rsid w:val="00EA7026"/>
    <w:rsid w:val="00EE5225"/>
    <w:rsid w:val="00EF6986"/>
    <w:rsid w:val="00F01966"/>
    <w:rsid w:val="00F1625C"/>
    <w:rsid w:val="00F23144"/>
    <w:rsid w:val="00F4607F"/>
    <w:rsid w:val="00F93A56"/>
    <w:rsid w:val="00FA792D"/>
    <w:rsid w:val="00FB28E0"/>
    <w:rsid w:val="00FC2D38"/>
    <w:rsid w:val="00FD300B"/>
    <w:rsid w:val="00FD6F18"/>
    <w:rsid w:val="00FE5604"/>
    <w:rsid w:val="00FF60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804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novice/2024-12-10-financni-ministri-odobrili-drugo-spremembo-slovenskega-nacrta-za-okrevanje-in-odpornost/" TargetMode="External"/><Relationship Id="rId5" Type="http://schemas.openxmlformats.org/officeDocument/2006/relationships/webSettings" Target="webSettings.xml"/><Relationship Id="rId10" Type="http://schemas.openxmlformats.org/officeDocument/2006/relationships/hyperlink" Target="https://www.gov.si/novice/2024-09-20-poziv-lastnikom-v-poplavah-poskodovanih-stanovanj-za-posredovanje-dokazil-za-dolocitev-sredstev/"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10728</Words>
  <Characters>61152</Characters>
  <Application>Microsoft Office Word</Application>
  <DocSecurity>0</DocSecurity>
  <Lines>509</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2024-12-11T12:48:00Z</dcterms:created>
  <dcterms:modified xsi:type="dcterms:W3CDTF">2024-12-12T13:54:00Z</dcterms:modified>
</cp:coreProperties>
</file>