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AA7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2D26638E" wp14:editId="34C60AB7">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1EE5657D" w14:textId="77777777" w:rsidR="003E17B6" w:rsidRDefault="003E17B6" w:rsidP="00750D01">
      <w:pPr>
        <w:autoSpaceDE w:val="0"/>
        <w:autoSpaceDN w:val="0"/>
        <w:adjustRightInd w:val="0"/>
        <w:spacing w:line="240" w:lineRule="auto"/>
        <w:ind w:left="-1701"/>
      </w:pPr>
    </w:p>
    <w:p w14:paraId="61732B59" w14:textId="77777777" w:rsidR="0073796B" w:rsidRPr="009D10D1" w:rsidRDefault="0073796B" w:rsidP="009D10D1">
      <w:pPr>
        <w:pStyle w:val="Naslov"/>
      </w:pPr>
      <w:r w:rsidRPr="009D10D1">
        <w:t>SPOROČILO ZA JAVNOST</w:t>
      </w:r>
    </w:p>
    <w:p w14:paraId="1A52E55A" w14:textId="172E8C34" w:rsidR="0073796B" w:rsidRPr="0039662C" w:rsidRDefault="0073796B" w:rsidP="0039662C">
      <w:pPr>
        <w:pStyle w:val="Naslov1"/>
      </w:pPr>
      <w:r w:rsidRPr="0039662C">
        <w:t>1</w:t>
      </w:r>
      <w:r w:rsidR="00463118">
        <w:t>2</w:t>
      </w:r>
      <w:r w:rsidR="00660E38">
        <w:t>1</w:t>
      </w:r>
      <w:r w:rsidRPr="0039662C">
        <w:t>. redna seja Vlade Republike Slovenije</w:t>
      </w:r>
    </w:p>
    <w:p w14:paraId="4F3BF264" w14:textId="080464A2" w:rsidR="00660E38" w:rsidRDefault="00463118" w:rsidP="001B39F4">
      <w:pPr>
        <w:pStyle w:val="DatumSZJ"/>
      </w:pPr>
      <w:r>
        <w:t>1</w:t>
      </w:r>
      <w:r w:rsidR="00660E38">
        <w:t>9</w:t>
      </w:r>
      <w:r w:rsidR="0073796B" w:rsidRPr="008B7AF2">
        <w:t>. september 202</w:t>
      </w:r>
      <w:r>
        <w:t>4</w:t>
      </w:r>
    </w:p>
    <w:p w14:paraId="1B354F51" w14:textId="77777777" w:rsidR="001B39F4" w:rsidRDefault="001B39F4" w:rsidP="00660E38">
      <w:pPr>
        <w:rPr>
          <w:b/>
          <w:bCs/>
          <w:color w:val="FF0000"/>
        </w:rPr>
      </w:pPr>
    </w:p>
    <w:p w14:paraId="6625E226" w14:textId="531B6699" w:rsidR="009B6D4C" w:rsidRPr="009B6D4C" w:rsidRDefault="009B6D4C" w:rsidP="009B6D4C">
      <w:pPr>
        <w:pStyle w:val="Naslov2"/>
      </w:pPr>
      <w:r w:rsidRPr="009B6D4C">
        <w:t xml:space="preserve">Vlada je izdala Uredbo o dopolnitvah Uredbe o plačah in drugih prejemkih javnih uslužbencev za delo v tujini </w:t>
      </w:r>
    </w:p>
    <w:p w14:paraId="5661B4C7" w14:textId="5D3BE275" w:rsidR="009B6D4C" w:rsidRPr="009B6D4C" w:rsidRDefault="009B6D4C" w:rsidP="009B6D4C">
      <w:pPr>
        <w:rPr>
          <w:color w:val="000000" w:themeColor="text1"/>
        </w:rPr>
      </w:pPr>
      <w:r w:rsidRPr="009B6D4C">
        <w:rPr>
          <w:color w:val="000000" w:themeColor="text1"/>
        </w:rPr>
        <w:t>Vlada je izdala Uredbo o dopolnitvah Uredbe o plačah in drugih prejemkih javnih uslužbencev za delo v tujini in jo objavi v Uradnem listu Republike Slovenije.</w:t>
      </w:r>
    </w:p>
    <w:p w14:paraId="7D61227C" w14:textId="77777777" w:rsidR="009B6D4C" w:rsidRPr="009B6D4C" w:rsidRDefault="009B6D4C" w:rsidP="009B6D4C">
      <w:pPr>
        <w:rPr>
          <w:color w:val="000000" w:themeColor="text1"/>
        </w:rPr>
      </w:pPr>
    </w:p>
    <w:p w14:paraId="1274FA57" w14:textId="77777777" w:rsidR="009B6D4C" w:rsidRPr="009B6D4C" w:rsidRDefault="009B6D4C" w:rsidP="009B6D4C">
      <w:pPr>
        <w:rPr>
          <w:color w:val="000000" w:themeColor="text1"/>
        </w:rPr>
      </w:pPr>
      <w:r w:rsidRPr="009B6D4C">
        <w:rPr>
          <w:color w:val="000000" w:themeColor="text1"/>
        </w:rPr>
        <w:t>Z novelo Uredbe o plačah in drugih prejemkih javnih uslužbencev za delo v tujini se dopolnjuje Priloga 4 uredbe oziroma se določata stopnji nominalne osnove za dve novi delovni mesti.  Na predlog Ministrstva za zdravje se dodaja delovno mesto »zdravnik specializant«, na predlog Ministrstva za vzgojo in izobraževanje pa se dodaja novo delovno mesto »učitelj višji svetnik«.</w:t>
      </w:r>
    </w:p>
    <w:p w14:paraId="2CB4A8DC" w14:textId="77777777" w:rsidR="009B6D4C" w:rsidRPr="009B6D4C" w:rsidRDefault="009B6D4C" w:rsidP="009B6D4C">
      <w:pPr>
        <w:rPr>
          <w:color w:val="000000" w:themeColor="text1"/>
        </w:rPr>
      </w:pPr>
    </w:p>
    <w:p w14:paraId="1584AFC1" w14:textId="24C0C785" w:rsidR="009B6D4C" w:rsidRPr="009B6D4C" w:rsidRDefault="009B6D4C" w:rsidP="009B6D4C">
      <w:pPr>
        <w:rPr>
          <w:color w:val="000000" w:themeColor="text1"/>
        </w:rPr>
      </w:pPr>
      <w:r w:rsidRPr="009B6D4C">
        <w:rPr>
          <w:color w:val="000000" w:themeColor="text1"/>
        </w:rPr>
        <w:t>Uredba začne veljati naslednji dan po objavi v Uradnem listu Republike Slovenije.</w:t>
      </w:r>
    </w:p>
    <w:p w14:paraId="060E903E" w14:textId="5557FF07" w:rsidR="00660E38" w:rsidRPr="005A72D9" w:rsidRDefault="009B6D4C" w:rsidP="005A72D9">
      <w:pPr>
        <w:pStyle w:val="Vir"/>
      </w:pPr>
      <w:r w:rsidRPr="009B6D4C">
        <w:t>Vir: Ministrstvo za javno upravo</w:t>
      </w:r>
    </w:p>
    <w:p w14:paraId="33BE4E5B" w14:textId="19C62771" w:rsidR="005A72D9" w:rsidRPr="005A72D9" w:rsidRDefault="005A72D9" w:rsidP="005A72D9">
      <w:pPr>
        <w:pStyle w:val="Naslov2"/>
      </w:pPr>
      <w:r w:rsidRPr="005A72D9">
        <w:t xml:space="preserve">Vlada sprejela sklep o določitvi upravičencev do donacij za leto 2024 </w:t>
      </w:r>
    </w:p>
    <w:p w14:paraId="34E12B99" w14:textId="77777777" w:rsidR="005A72D9" w:rsidRPr="005A72D9" w:rsidRDefault="005A72D9" w:rsidP="005A72D9">
      <w:pPr>
        <w:rPr>
          <w:color w:val="000000" w:themeColor="text1"/>
        </w:rPr>
      </w:pPr>
      <w:r w:rsidRPr="005A72D9">
        <w:rPr>
          <w:color w:val="000000" w:themeColor="text1"/>
        </w:rPr>
        <w:t>Vlada je s sklepom določila seznam upravičencev do donacij za leto 2024 in ga objavila v Uradnem listu Republike Slovenije.</w:t>
      </w:r>
    </w:p>
    <w:p w14:paraId="3D525902" w14:textId="77777777" w:rsidR="005A72D9" w:rsidRPr="005A72D9" w:rsidRDefault="005A72D9" w:rsidP="005A72D9">
      <w:pPr>
        <w:rPr>
          <w:color w:val="000000" w:themeColor="text1"/>
        </w:rPr>
      </w:pPr>
    </w:p>
    <w:p w14:paraId="1B2D860F" w14:textId="77777777" w:rsidR="005A72D9" w:rsidRPr="005A72D9" w:rsidRDefault="005A72D9" w:rsidP="005A72D9">
      <w:pPr>
        <w:rPr>
          <w:color w:val="000000" w:themeColor="text1"/>
        </w:rPr>
      </w:pPr>
      <w:r w:rsidRPr="005A72D9">
        <w:rPr>
          <w:color w:val="000000" w:themeColor="text1"/>
        </w:rPr>
        <w:t>Davčni zavezanci, ki so rezidenti Republike Slovenije, lahko v skladu z Zakonom o dohodnini zahtevajo, da se do en odstotek odmerjene dohodnine, od dohodkov, ki se vštevajo v letno davčno osnovo, nameni za financiranje upravičencev do donacij. Seznam upravičencev določi vlada vsako leto do konca septembra. Seznam vključuje nevladne organizacije, politične stranke, šole in vrtci, reprezentativni sindikati, registrirane cerkve in druge verske skupnosti ter sestavne dele registriranih cerkva in drugih verskih skupnosti, ki do 31. decembra prejšnjega leta izpolnjujejo pogoje iz 142. člena Zakona o dohodnini.</w:t>
      </w:r>
    </w:p>
    <w:p w14:paraId="3C7CA93E" w14:textId="77777777" w:rsidR="005A72D9" w:rsidRPr="005A72D9" w:rsidRDefault="005A72D9" w:rsidP="005A72D9">
      <w:pPr>
        <w:rPr>
          <w:color w:val="000000" w:themeColor="text1"/>
        </w:rPr>
      </w:pPr>
    </w:p>
    <w:p w14:paraId="58D8C9D1" w14:textId="1332BFF9" w:rsidR="005A72D9" w:rsidRPr="005A72D9" w:rsidRDefault="005A72D9" w:rsidP="005A72D9">
      <w:pPr>
        <w:rPr>
          <w:color w:val="000000" w:themeColor="text1"/>
        </w:rPr>
      </w:pPr>
      <w:r w:rsidRPr="005A72D9">
        <w:rPr>
          <w:color w:val="000000" w:themeColor="text1"/>
        </w:rPr>
        <w:t>Za leto 2024 je na seznamu 6.105 nevladnih organizacij v javnem interesu, 59 registriranih cerkva in drugih verskih skupnosti, 1.033 sestavnih delov registriranih cerkva oziroma drugih verskih skupnosti, 88 reprezentativnih sindikatov, 87 političnih strank ter 642 šol in vrtcev.</w:t>
      </w:r>
    </w:p>
    <w:p w14:paraId="23C2492C" w14:textId="6730A240" w:rsidR="005A72D9" w:rsidRPr="001B39F4" w:rsidRDefault="005A72D9" w:rsidP="001B39F4">
      <w:pPr>
        <w:pStyle w:val="Vir"/>
      </w:pPr>
      <w:r w:rsidRPr="005A72D9">
        <w:t>Vir: Ministrstvo za finance</w:t>
      </w:r>
      <w:r w:rsidR="00660E38" w:rsidRPr="005A72D9">
        <w:t xml:space="preserve"> </w:t>
      </w:r>
    </w:p>
    <w:p w14:paraId="58A226A7" w14:textId="77777777" w:rsidR="003D0C91" w:rsidRPr="008A33A9" w:rsidRDefault="003D0C91" w:rsidP="003D0C91">
      <w:pPr>
        <w:pStyle w:val="Naslov2"/>
        <w:rPr>
          <w:lang w:eastAsia="sl-SI"/>
        </w:rPr>
      </w:pPr>
      <w:bookmarkStart w:id="0" w:name="_Hlk88465377"/>
      <w:r w:rsidRPr="008A33A9">
        <w:rPr>
          <w:lang w:eastAsia="sl-SI"/>
        </w:rPr>
        <w:t xml:space="preserve">Sklep o določitvi deležev odpadne embalaže za oktober, november in december 2024 </w:t>
      </w:r>
    </w:p>
    <w:p w14:paraId="3DEDE97F" w14:textId="77777777" w:rsidR="003D0C91" w:rsidRPr="008A33A9" w:rsidRDefault="003D0C91" w:rsidP="003D0C91">
      <w:pPr>
        <w:rPr>
          <w:lang w:eastAsia="sl-SI"/>
        </w:rPr>
      </w:pPr>
      <w:r>
        <w:rPr>
          <w:lang w:eastAsia="sl-SI"/>
        </w:rPr>
        <w:t xml:space="preserve">Vlada je sprejela </w:t>
      </w:r>
      <w:bookmarkEnd w:id="0"/>
      <w:r w:rsidRPr="008A33A9">
        <w:rPr>
          <w:lang w:eastAsia="sl-SI"/>
        </w:rPr>
        <w:t>Sklep o določitvi deležev odpadne embalaže za oktober, november in december 2024, ki se objavi v Uradnem listu Republike Slovenije.</w:t>
      </w:r>
    </w:p>
    <w:p w14:paraId="6B237285" w14:textId="77777777" w:rsidR="003D0C91" w:rsidRPr="00F32494" w:rsidRDefault="003D0C91" w:rsidP="003D0C91"/>
    <w:p w14:paraId="49ED39CC" w14:textId="77777777" w:rsidR="003D0C91" w:rsidRDefault="003D0C91" w:rsidP="003D0C91">
      <w:r>
        <w:t>Deleži odpadne embalaže za oktober, november in december 2024 so:</w:t>
      </w:r>
    </w:p>
    <w:p w14:paraId="2CCF2D17" w14:textId="77777777" w:rsidR="003D0C91" w:rsidRDefault="003D0C91" w:rsidP="003D0C91">
      <w:r>
        <w:t>za odpadno embalažo iz embalažnega materiala PAPIR:</w:t>
      </w:r>
    </w:p>
    <w:p w14:paraId="23018700" w14:textId="77777777" w:rsidR="003D0C91" w:rsidRDefault="003D0C91" w:rsidP="003D0C91">
      <w:r>
        <w:t>za družbo Dinos, d. o. o.,</w:t>
      </w:r>
      <w:r>
        <w:tab/>
        <w:t>15,77 %,</w:t>
      </w:r>
    </w:p>
    <w:p w14:paraId="0CA4D4F5" w14:textId="77777777" w:rsidR="003D0C91" w:rsidRDefault="003D0C91" w:rsidP="003D0C91">
      <w:r>
        <w:t>za družbo Embakom, d. o. o.,</w:t>
      </w:r>
      <w:r>
        <w:tab/>
        <w:t>9,22 %,</w:t>
      </w:r>
    </w:p>
    <w:p w14:paraId="2A8A7932" w14:textId="77777777" w:rsidR="003D0C91" w:rsidRDefault="003D0C91" w:rsidP="003D0C91">
      <w:r>
        <w:t>za družbo Surovina, d. o. o.,</w:t>
      </w:r>
      <w:r>
        <w:tab/>
        <w:t>28,07 %,</w:t>
      </w:r>
    </w:p>
    <w:p w14:paraId="1D5843DD" w14:textId="77777777" w:rsidR="003D0C91" w:rsidRDefault="003D0C91" w:rsidP="003D0C91">
      <w:r>
        <w:lastRenderedPageBreak/>
        <w:t>za družbo Interzero, d. o. o.,</w:t>
      </w:r>
      <w:r>
        <w:tab/>
        <w:t>11,78 %,</w:t>
      </w:r>
    </w:p>
    <w:p w14:paraId="5E3040D0" w14:textId="77777777" w:rsidR="003D0C91" w:rsidRDefault="003D0C91" w:rsidP="003D0C91">
      <w:r>
        <w:t>za družbo Recikel, d. o. o.,</w:t>
      </w:r>
      <w:r>
        <w:tab/>
        <w:t>24,35 %,</w:t>
      </w:r>
    </w:p>
    <w:p w14:paraId="7C3348FF" w14:textId="77777777" w:rsidR="003D0C91" w:rsidRDefault="003D0C91" w:rsidP="003D0C91">
      <w:r>
        <w:t>za družbo Slopak, d. o. o.,</w:t>
      </w:r>
      <w:r>
        <w:tab/>
        <w:t>10,81 %,</w:t>
      </w:r>
    </w:p>
    <w:p w14:paraId="56844BE2" w14:textId="77777777" w:rsidR="003D0C91" w:rsidRDefault="003D0C91" w:rsidP="003D0C91">
      <w:r>
        <w:t>za družbo Tisa, d. o. o.,</w:t>
      </w:r>
      <w:r>
        <w:tab/>
        <w:t>0,00 %;</w:t>
      </w:r>
    </w:p>
    <w:p w14:paraId="2C5FF0A6" w14:textId="77777777" w:rsidR="003D0C91" w:rsidRDefault="003D0C91" w:rsidP="003D0C91">
      <w:r>
        <w:t>za odpadno embalažo iz embalažnega materiala STEKLO:</w:t>
      </w:r>
    </w:p>
    <w:p w14:paraId="779FD815" w14:textId="77777777" w:rsidR="003D0C91" w:rsidRDefault="003D0C91" w:rsidP="003D0C91">
      <w:r>
        <w:t>za družbo Dinos, d. o. o.,</w:t>
      </w:r>
      <w:r>
        <w:tab/>
        <w:t>3,18 %,</w:t>
      </w:r>
    </w:p>
    <w:p w14:paraId="4A319E48" w14:textId="77777777" w:rsidR="003D0C91" w:rsidRDefault="003D0C91" w:rsidP="003D0C91">
      <w:r>
        <w:t>za družbo Embakom, d. o. o.,</w:t>
      </w:r>
      <w:r>
        <w:tab/>
        <w:t>4,54 %,</w:t>
      </w:r>
    </w:p>
    <w:p w14:paraId="6C920559" w14:textId="77777777" w:rsidR="003D0C91" w:rsidRDefault="003D0C91" w:rsidP="003D0C91">
      <w:r>
        <w:t>za družbo Surovina, d. o. o.,</w:t>
      </w:r>
      <w:r>
        <w:tab/>
        <w:t>19,41 %,</w:t>
      </w:r>
    </w:p>
    <w:p w14:paraId="38E41554" w14:textId="77777777" w:rsidR="003D0C91" w:rsidRDefault="003D0C91" w:rsidP="003D0C91">
      <w:r>
        <w:t>za družbo Interzero, d. o. o.,</w:t>
      </w:r>
      <w:r>
        <w:tab/>
        <w:t>6,12 %,</w:t>
      </w:r>
    </w:p>
    <w:p w14:paraId="211303DF" w14:textId="77777777" w:rsidR="003D0C91" w:rsidRDefault="003D0C91" w:rsidP="003D0C91">
      <w:r>
        <w:t>za družbo Recikel, d. o. o.,</w:t>
      </w:r>
      <w:r>
        <w:tab/>
        <w:t>34,03 %,</w:t>
      </w:r>
    </w:p>
    <w:p w14:paraId="71883902" w14:textId="77777777" w:rsidR="003D0C91" w:rsidRDefault="003D0C91" w:rsidP="003D0C91">
      <w:r>
        <w:t>za družbo Slopak, d. o. o.</w:t>
      </w:r>
      <w:r>
        <w:tab/>
        <w:t>32,72 %,</w:t>
      </w:r>
    </w:p>
    <w:p w14:paraId="11FFE802" w14:textId="77777777" w:rsidR="003D0C91" w:rsidRDefault="003D0C91" w:rsidP="003D0C91">
      <w:r>
        <w:t>za družbo Tisa, d. o. o.,</w:t>
      </w:r>
      <w:r>
        <w:tab/>
        <w:t>0,00 %;</w:t>
      </w:r>
    </w:p>
    <w:p w14:paraId="217445F5" w14:textId="77777777" w:rsidR="003D0C91" w:rsidRDefault="003D0C91" w:rsidP="003D0C91">
      <w:r>
        <w:t>za odpadno embalažo iz embalažnih materialov PLASTIKA IN KOVINE</w:t>
      </w:r>
      <w:r>
        <w:br/>
        <w:t>(mešana embalaža):</w:t>
      </w:r>
    </w:p>
    <w:p w14:paraId="04AC8872" w14:textId="77777777" w:rsidR="003D0C91" w:rsidRDefault="003D0C91" w:rsidP="003D0C91">
      <w:r>
        <w:t>za družbo Dinos, d. o. o.,</w:t>
      </w:r>
      <w:r>
        <w:tab/>
        <w:t>15,78 %,</w:t>
      </w:r>
    </w:p>
    <w:p w14:paraId="69FB38FB" w14:textId="77777777" w:rsidR="003D0C91" w:rsidRDefault="003D0C91" w:rsidP="003D0C91">
      <w:r>
        <w:t>za družbo Embakom, d. o. o.,</w:t>
      </w:r>
      <w:r>
        <w:tab/>
        <w:t>4,83 %,</w:t>
      </w:r>
    </w:p>
    <w:p w14:paraId="65C5DE88" w14:textId="77777777" w:rsidR="003D0C91" w:rsidRDefault="003D0C91" w:rsidP="003D0C91">
      <w:r>
        <w:t>za družbo Surovina, d. o. o.,</w:t>
      </w:r>
      <w:r>
        <w:tab/>
        <w:t>21,19 %,</w:t>
      </w:r>
    </w:p>
    <w:p w14:paraId="72F6F014" w14:textId="77777777" w:rsidR="003D0C91" w:rsidRDefault="003D0C91" w:rsidP="003D0C91">
      <w:r>
        <w:t>za družbo Interzero, d. o. o.,</w:t>
      </w:r>
      <w:r>
        <w:tab/>
        <w:t>10,47 %,</w:t>
      </w:r>
    </w:p>
    <w:p w14:paraId="066525F5" w14:textId="77777777" w:rsidR="003D0C91" w:rsidRDefault="003D0C91" w:rsidP="003D0C91">
      <w:r>
        <w:t>za družbo Recikel, d. o. o.,</w:t>
      </w:r>
      <w:r>
        <w:tab/>
        <w:t>25,72 %,</w:t>
      </w:r>
    </w:p>
    <w:p w14:paraId="716DD0B0" w14:textId="77777777" w:rsidR="003D0C91" w:rsidRDefault="003D0C91" w:rsidP="003D0C91">
      <w:r>
        <w:t>za družbo Slopak, d. o. o.,</w:t>
      </w:r>
      <w:r>
        <w:tab/>
        <w:t>22,01 %,</w:t>
      </w:r>
    </w:p>
    <w:p w14:paraId="1CEBE1FB" w14:textId="77777777" w:rsidR="003D0C91" w:rsidRDefault="003D0C91" w:rsidP="003D0C91">
      <w:r>
        <w:t>za družbo Tisa, d. o. o.,</w:t>
      </w:r>
      <w:r>
        <w:tab/>
        <w:t>0,00 %;</w:t>
      </w:r>
    </w:p>
    <w:p w14:paraId="20491F58" w14:textId="77777777" w:rsidR="003D0C91" w:rsidRDefault="003D0C91" w:rsidP="003D0C91">
      <w:bookmarkStart w:id="1" w:name="_Hlk90534321"/>
      <w:r>
        <w:t>za odpadno embalažo iz embalažnega materiala LES:</w:t>
      </w:r>
    </w:p>
    <w:p w14:paraId="30443F8C" w14:textId="77777777" w:rsidR="003D0C91" w:rsidRDefault="003D0C91" w:rsidP="003D0C91">
      <w:r>
        <w:t>za družbo Dinos, d. o. o.,</w:t>
      </w:r>
      <w:r>
        <w:tab/>
        <w:t>38,09 %,</w:t>
      </w:r>
    </w:p>
    <w:p w14:paraId="4546A9C3" w14:textId="77777777" w:rsidR="003D0C91" w:rsidRDefault="003D0C91" w:rsidP="003D0C91">
      <w:r>
        <w:t>za družbo Embakom, d. o. o.,</w:t>
      </w:r>
      <w:r>
        <w:tab/>
        <w:t>5,47 %,</w:t>
      </w:r>
    </w:p>
    <w:p w14:paraId="42EB77C1" w14:textId="77777777" w:rsidR="003D0C91" w:rsidRDefault="003D0C91" w:rsidP="003D0C91">
      <w:r>
        <w:t>za družbo Surovina, d. o. o.,</w:t>
      </w:r>
      <w:r>
        <w:tab/>
        <w:t>23,31 %,</w:t>
      </w:r>
    </w:p>
    <w:p w14:paraId="5E5DFFC0" w14:textId="77777777" w:rsidR="003D0C91" w:rsidRDefault="003D0C91" w:rsidP="003D0C91">
      <w:r>
        <w:t>za družbo Interzero, d. o. o.,</w:t>
      </w:r>
      <w:r>
        <w:tab/>
        <w:t>12,84 %,</w:t>
      </w:r>
    </w:p>
    <w:p w14:paraId="57296461" w14:textId="77777777" w:rsidR="003D0C91" w:rsidRDefault="003D0C91" w:rsidP="003D0C91">
      <w:r>
        <w:t>za družbo Recikel, d. o. o.,</w:t>
      </w:r>
      <w:r>
        <w:tab/>
        <w:t>12,00 %,</w:t>
      </w:r>
    </w:p>
    <w:p w14:paraId="69FCD233" w14:textId="77777777" w:rsidR="003D0C91" w:rsidRDefault="003D0C91" w:rsidP="003D0C91">
      <w:r>
        <w:t>za družbo Slopak, d. o. o.,</w:t>
      </w:r>
      <w:r>
        <w:tab/>
        <w:t>8,29 %,</w:t>
      </w:r>
    </w:p>
    <w:p w14:paraId="3D82A935" w14:textId="5D6B8B67" w:rsidR="003D0C91" w:rsidRPr="00462EAC" w:rsidRDefault="003D0C91" w:rsidP="00660E38">
      <w:r>
        <w:t>za družbo Tisa, d. o. o.,</w:t>
      </w:r>
      <w:r>
        <w:tab/>
        <w:t>0,00 %.</w:t>
      </w:r>
      <w:bookmarkEnd w:id="1"/>
    </w:p>
    <w:p w14:paraId="354F9047" w14:textId="60057E61" w:rsidR="003D0C91" w:rsidRPr="00660E38" w:rsidRDefault="003D0C91" w:rsidP="003D0C91">
      <w:pPr>
        <w:pStyle w:val="Vir"/>
      </w:pPr>
      <w:r>
        <w:t>Vir: Ministrstvo za okolje, podnebje in energijo</w:t>
      </w:r>
    </w:p>
    <w:p w14:paraId="1A7DAAD7" w14:textId="0020E748" w:rsidR="0016190C" w:rsidRPr="0016190C" w:rsidRDefault="0016190C" w:rsidP="0016190C">
      <w:pPr>
        <w:pStyle w:val="Naslov2"/>
        <w:rPr>
          <w:color w:val="FF0000"/>
        </w:rPr>
      </w:pPr>
      <w:r w:rsidRPr="0016190C">
        <w:t xml:space="preserve">Sklep o spremembi </w:t>
      </w:r>
      <w:r w:rsidRPr="0016190C">
        <w:rPr>
          <w:iCs/>
        </w:rPr>
        <w:t xml:space="preserve">Sklepa o določitvi </w:t>
      </w:r>
      <w:r w:rsidRPr="0016190C">
        <w:t>deležev posameznih vrst plastičnih proizvodov za enkratno uporabo, danih na trg v Republiki Sloveniji v letu 2023</w:t>
      </w:r>
    </w:p>
    <w:p w14:paraId="2008F987" w14:textId="77777777" w:rsidR="0016190C" w:rsidRPr="000D08AA" w:rsidRDefault="0016190C" w:rsidP="0016190C">
      <w:r w:rsidRPr="000D08AA">
        <w:rPr>
          <w:lang w:eastAsia="sl-SI"/>
        </w:rPr>
        <w:t xml:space="preserve">Vlada je sprejela </w:t>
      </w:r>
      <w:bookmarkStart w:id="2" w:name="_Hlk163482935"/>
      <w:r w:rsidRPr="000D08AA">
        <w:rPr>
          <w:lang w:eastAsia="sl-SI"/>
        </w:rPr>
        <w:t xml:space="preserve">Sklep o spremembi Sklepa o določitvi </w:t>
      </w:r>
      <w:r w:rsidRPr="000D08AA">
        <w:t>deležev posameznih vrst plastičnih proizvodov za enkratno uporabo, danih na trg v Republiki Sloveniji v letu 2023</w:t>
      </w:r>
      <w:bookmarkEnd w:id="2"/>
      <w:r w:rsidRPr="000D08AA">
        <w:t xml:space="preserve">, </w:t>
      </w:r>
      <w:r w:rsidRPr="000D08AA">
        <w:rPr>
          <w:lang w:eastAsia="sl-SI"/>
        </w:rPr>
        <w:t xml:space="preserve">ki se objavi v Uradnem listu Republike Slovenije. Spremembe so posledica </w:t>
      </w:r>
      <w:r w:rsidRPr="000D08AA">
        <w:t>popravljenega letnega poročila enega nosilca skupnega načrta, zaradi česar je bilo potrebno izračunati nove deleže vsebnikov pijač in PET plastenk pijač, danih na trg v Republiki Sloveniji v letu 2023.</w:t>
      </w:r>
    </w:p>
    <w:p w14:paraId="1CF749FE" w14:textId="77777777" w:rsidR="00462EAC" w:rsidRDefault="00462EAC" w:rsidP="0016190C"/>
    <w:p w14:paraId="13597D99" w14:textId="01CFD3A6" w:rsidR="0016190C" w:rsidRDefault="0016190C" w:rsidP="0016190C">
      <w:r>
        <w:t xml:space="preserve">Posledično se v Sklepu o </w:t>
      </w:r>
      <w:r>
        <w:rPr>
          <w:lang w:eastAsia="sl-SI"/>
        </w:rPr>
        <w:t xml:space="preserve">določitvi </w:t>
      </w:r>
      <w:r>
        <w:t>deležev posameznih vrst plastičnih proizvodov za enkratno uporabo, danih na trg v Republiki Sloveniji v letu 2023, pod I 3. in 3.1. točka spremenita tako, da se glasita:</w:t>
      </w:r>
    </w:p>
    <w:p w14:paraId="6B3409FB" w14:textId="77777777" w:rsidR="0016190C" w:rsidRDefault="0016190C" w:rsidP="0016190C">
      <w:r>
        <w:t>3. za vsebnike za pijačo:</w:t>
      </w:r>
    </w:p>
    <w:p w14:paraId="466FD340" w14:textId="77777777" w:rsidR="0016190C" w:rsidRDefault="0016190C" w:rsidP="0016190C">
      <w:r>
        <w:t>za družbo Dinos, d. o. o.,</w:t>
      </w:r>
      <w:r>
        <w:tab/>
        <w:t>2,56 %</w:t>
      </w:r>
    </w:p>
    <w:p w14:paraId="4B081BD6" w14:textId="77777777" w:rsidR="0016190C" w:rsidRDefault="0016190C" w:rsidP="0016190C">
      <w:r>
        <w:t>za družbo Embakom, d. o. o.,</w:t>
      </w:r>
      <w:r>
        <w:tab/>
        <w:t>0,14 %</w:t>
      </w:r>
    </w:p>
    <w:p w14:paraId="1120B590" w14:textId="77777777" w:rsidR="0016190C" w:rsidRDefault="0016190C" w:rsidP="0016190C">
      <w:r>
        <w:t>za družbo Surovina, d. o. o.,</w:t>
      </w:r>
      <w:r>
        <w:tab/>
        <w:t>7,49 %</w:t>
      </w:r>
    </w:p>
    <w:p w14:paraId="2EE22078" w14:textId="77777777" w:rsidR="0016190C" w:rsidRDefault="0016190C" w:rsidP="0016190C">
      <w:r>
        <w:t>za družbo Interzero, d. o. o.,</w:t>
      </w:r>
      <w:r>
        <w:tab/>
        <w:t>1,04 %</w:t>
      </w:r>
    </w:p>
    <w:p w14:paraId="34045630" w14:textId="77777777" w:rsidR="0016190C" w:rsidRDefault="0016190C" w:rsidP="0016190C">
      <w:r>
        <w:t>za družbo Recikel, d. o. o.,</w:t>
      </w:r>
      <w:r>
        <w:tab/>
        <w:t xml:space="preserve"> 44,67 %</w:t>
      </w:r>
    </w:p>
    <w:p w14:paraId="256B4AED" w14:textId="77777777" w:rsidR="0016190C" w:rsidRDefault="0016190C" w:rsidP="0016190C">
      <w:r>
        <w:t>za družbo Slopak, d. o. o.,</w:t>
      </w:r>
      <w:r>
        <w:tab/>
        <w:t>44,10%</w:t>
      </w:r>
    </w:p>
    <w:p w14:paraId="2026379F" w14:textId="77777777" w:rsidR="0016190C" w:rsidRPr="00EF5BCA" w:rsidRDefault="0016190C" w:rsidP="0016190C"/>
    <w:p w14:paraId="75309A36" w14:textId="77777777" w:rsidR="0016190C" w:rsidRDefault="0016190C" w:rsidP="0016190C">
      <w:r>
        <w:t xml:space="preserve">3.1. za plastenke iz polimera </w:t>
      </w:r>
      <w:proofErr w:type="spellStart"/>
      <w:r>
        <w:rPr>
          <w:color w:val="111111"/>
          <w:shd w:val="clear" w:color="auto" w:fill="FFFFFF"/>
          <w:lang w:val="it-IT"/>
        </w:rPr>
        <w:t>polietilena</w:t>
      </w:r>
      <w:proofErr w:type="spellEnd"/>
      <w:r>
        <w:rPr>
          <w:color w:val="111111"/>
          <w:shd w:val="clear" w:color="auto" w:fill="FFFFFF"/>
          <w:lang w:val="it-IT"/>
        </w:rPr>
        <w:t xml:space="preserve"> </w:t>
      </w:r>
      <w:proofErr w:type="spellStart"/>
      <w:r>
        <w:rPr>
          <w:color w:val="111111"/>
          <w:shd w:val="clear" w:color="auto" w:fill="FFFFFF"/>
          <w:lang w:val="it-IT"/>
        </w:rPr>
        <w:t>tereftalata</w:t>
      </w:r>
      <w:proofErr w:type="spellEnd"/>
      <w:r>
        <w:rPr>
          <w:color w:val="111111"/>
          <w:shd w:val="clear" w:color="auto" w:fill="FFFFFF"/>
          <w:lang w:val="it-IT"/>
        </w:rPr>
        <w:t xml:space="preserve"> (PET):</w:t>
      </w:r>
    </w:p>
    <w:p w14:paraId="64990672" w14:textId="77777777" w:rsidR="0016190C" w:rsidRDefault="0016190C" w:rsidP="0016190C">
      <w:r>
        <w:lastRenderedPageBreak/>
        <w:t>za družbo Dinos, d. o. o.,</w:t>
      </w:r>
      <w:r>
        <w:tab/>
        <w:t>2,03 %</w:t>
      </w:r>
    </w:p>
    <w:p w14:paraId="5D9934EE" w14:textId="77777777" w:rsidR="0016190C" w:rsidRDefault="0016190C" w:rsidP="0016190C">
      <w:r>
        <w:t>za družbo Embakom, d. o. o.,</w:t>
      </w:r>
      <w:r>
        <w:tab/>
        <w:t>0,21 %</w:t>
      </w:r>
    </w:p>
    <w:p w14:paraId="59906F6B" w14:textId="77777777" w:rsidR="0016190C" w:rsidRDefault="0016190C" w:rsidP="0016190C">
      <w:r>
        <w:t>za družbo Surovina, d. o. o.,</w:t>
      </w:r>
      <w:r>
        <w:tab/>
        <w:t>8,48 %</w:t>
      </w:r>
    </w:p>
    <w:p w14:paraId="150F375D" w14:textId="77777777" w:rsidR="0016190C" w:rsidRDefault="0016190C" w:rsidP="0016190C">
      <w:r>
        <w:t>za družbo Interzero, d. o. o.,</w:t>
      </w:r>
      <w:r>
        <w:tab/>
        <w:t>1,41 %</w:t>
      </w:r>
    </w:p>
    <w:p w14:paraId="03CB95F3" w14:textId="77777777" w:rsidR="0016190C" w:rsidRDefault="0016190C" w:rsidP="0016190C">
      <w:r>
        <w:t>za družbo Recikel, d. o. o.,</w:t>
      </w:r>
      <w:r>
        <w:tab/>
        <w:t>23,69 %</w:t>
      </w:r>
    </w:p>
    <w:p w14:paraId="23EDE467" w14:textId="55DE6214" w:rsidR="0016190C" w:rsidRPr="00462EAC" w:rsidRDefault="0016190C" w:rsidP="00462EAC">
      <w:r>
        <w:t>za družbo Slopak, d. o. o.,</w:t>
      </w:r>
      <w:r>
        <w:tab/>
        <w:t>64,18 %</w:t>
      </w:r>
    </w:p>
    <w:p w14:paraId="6219500D" w14:textId="3BCD8852" w:rsidR="0016190C" w:rsidRPr="00462EAC" w:rsidRDefault="0016190C" w:rsidP="00462EAC">
      <w:pPr>
        <w:pStyle w:val="Vir"/>
      </w:pPr>
      <w:r>
        <w:t>Vir: Ministrstvo za okolje, podnebje in energijo</w:t>
      </w:r>
    </w:p>
    <w:p w14:paraId="62F9AFD7" w14:textId="4455950E" w:rsidR="00392B69" w:rsidRPr="00392B69" w:rsidRDefault="00392B69" w:rsidP="00392B69">
      <w:pPr>
        <w:pStyle w:val="Naslov2"/>
      </w:pPr>
      <w:r w:rsidRPr="00392B69">
        <w:t>Program odprave posledic neposredne škode na stvareh zaradi posledic neurij z dežjem, vetrom, zemeljskimi plazovi in poplavami med 17. julijem in 3. avgustom 2023 na področju javnih socialnovarstvenih zavodov</w:t>
      </w:r>
    </w:p>
    <w:p w14:paraId="4BA9632D" w14:textId="31734729" w:rsidR="00392B69" w:rsidRPr="00392B69" w:rsidRDefault="00392B69" w:rsidP="00392B69">
      <w:pPr>
        <w:rPr>
          <w:color w:val="000000" w:themeColor="text1"/>
        </w:rPr>
      </w:pPr>
      <w:r w:rsidRPr="00392B69">
        <w:rPr>
          <w:color w:val="000000" w:themeColor="text1"/>
        </w:rPr>
        <w:t>Ministrstvo za solidarno prihodnost je na podlagi Zakona o odpravi naravnih nesreč pripravilo Program odprave posledic neposredne škode na stvareh zaradi posledic neurij z dežjem, vetrom, zemeljskimi plazovi in poplavami med 17. julijem in 3. avgustom 2023 na objektu Koroškega doma starostnikov v Dravogradu. Ocena škode, ki jo je pripravila pristojna komisija, je 60 tisoč evrov.</w:t>
      </w:r>
    </w:p>
    <w:p w14:paraId="5AB91057" w14:textId="2E7DBB33" w:rsidR="00660E38" w:rsidRPr="00392B69" w:rsidRDefault="00392B69" w:rsidP="00392B69">
      <w:pPr>
        <w:pStyle w:val="Vir"/>
      </w:pPr>
      <w:r w:rsidRPr="00392B69">
        <w:t>Vir: Ministrstvo za solidarno prihodnost</w:t>
      </w:r>
    </w:p>
    <w:p w14:paraId="16BBC5DC" w14:textId="17C9A0AB" w:rsidR="00EE5BE8" w:rsidRPr="00392B69" w:rsidRDefault="00EE5BE8" w:rsidP="00392B69">
      <w:pPr>
        <w:pStyle w:val="Naslov2"/>
      </w:pPr>
      <w:r w:rsidRPr="00EE5BE8">
        <w:t>Dopolnitev programa odprave posledic neposredne škode zaradi požara na Krasu</w:t>
      </w:r>
    </w:p>
    <w:p w14:paraId="3CA2464A" w14:textId="77777777" w:rsidR="00EE5BE8" w:rsidRPr="00EE5BE8" w:rsidRDefault="00EE5BE8" w:rsidP="00EE5BE8">
      <w:pPr>
        <w:rPr>
          <w:color w:val="000000" w:themeColor="text1"/>
        </w:rPr>
      </w:pPr>
      <w:r w:rsidRPr="00EE5BE8">
        <w:rPr>
          <w:color w:val="000000" w:themeColor="text1"/>
        </w:rPr>
        <w:t>Vlada je na današnji seji dopolnila Program odprave posledic neposredne škode na stvareh zaradi požara na Krasu med 17. julijem in 1. avgustom 2022, ki ga je potrdila 3. avgusta 2023.</w:t>
      </w:r>
    </w:p>
    <w:p w14:paraId="386F55A8" w14:textId="77777777" w:rsidR="00EE5BE8" w:rsidRPr="00EE5BE8" w:rsidRDefault="00EE5BE8" w:rsidP="00EE5BE8">
      <w:pPr>
        <w:rPr>
          <w:color w:val="000000" w:themeColor="text1"/>
        </w:rPr>
      </w:pPr>
    </w:p>
    <w:p w14:paraId="2235E088" w14:textId="77777777" w:rsidR="00EE5BE8" w:rsidRPr="00EE5BE8" w:rsidRDefault="00EE5BE8" w:rsidP="00EE5BE8">
      <w:pPr>
        <w:rPr>
          <w:color w:val="000000" w:themeColor="text1"/>
        </w:rPr>
      </w:pPr>
      <w:r w:rsidRPr="00EE5BE8">
        <w:rPr>
          <w:color w:val="000000" w:themeColor="text1"/>
        </w:rPr>
        <w:t>Program se dopolnjuje zaradi vsebinske uskladitve s priglasitvijo sheme državne pomoči »Nadomestitev škode kmetijskih rastlin zaradi požara na Krasu med 17. julijem in 1. avgustom 2022«.</w:t>
      </w:r>
    </w:p>
    <w:p w14:paraId="07F3745C" w14:textId="77777777" w:rsidR="00EE5BE8" w:rsidRPr="00EE5BE8" w:rsidRDefault="00EE5BE8" w:rsidP="00EE5BE8">
      <w:pPr>
        <w:rPr>
          <w:color w:val="000000" w:themeColor="text1"/>
        </w:rPr>
      </w:pPr>
    </w:p>
    <w:p w14:paraId="21C3B4AE" w14:textId="77777777" w:rsidR="00EE5BE8" w:rsidRPr="00EE5BE8" w:rsidRDefault="00EE5BE8" w:rsidP="00EE5BE8">
      <w:pPr>
        <w:rPr>
          <w:color w:val="000000" w:themeColor="text1"/>
        </w:rPr>
      </w:pPr>
      <w:r w:rsidRPr="00EE5BE8">
        <w:rPr>
          <w:color w:val="000000" w:themeColor="text1"/>
        </w:rPr>
        <w:t>Dopolnjeni program določa, da je v skladu z Zakonom o odpravi posledic naravnih nesreč (ZOPNN), upravičenec do državne pomoči po programu:</w:t>
      </w:r>
    </w:p>
    <w:p w14:paraId="6BF74715" w14:textId="0CD49465" w:rsidR="00EE5BE8" w:rsidRPr="00462EAC" w:rsidRDefault="00EE5BE8" w:rsidP="00462EAC">
      <w:pPr>
        <w:pStyle w:val="Odstavekseznama"/>
        <w:numPr>
          <w:ilvl w:val="0"/>
          <w:numId w:val="14"/>
        </w:numPr>
        <w:rPr>
          <w:color w:val="000000" w:themeColor="text1"/>
        </w:rPr>
      </w:pPr>
      <w:r w:rsidRPr="00462EAC">
        <w:rPr>
          <w:color w:val="000000" w:themeColor="text1"/>
        </w:rPr>
        <w:t>oseba, ki na ozemlju Republike Slovenije obdeluje kmetijska zemljišča in je v času nastanka naravne nesreče kot nosilec kmetijskega gospodarstva vpisana v register kmetijskih gospodarstev (RKG), ki ga vodi Ministrstvo za kmetijstvo, gozdarstvo in prehrano (MKGP);</w:t>
      </w:r>
    </w:p>
    <w:p w14:paraId="086EE299" w14:textId="0C9D48F2" w:rsidR="00EE5BE8" w:rsidRPr="00462EAC" w:rsidRDefault="00EE5BE8" w:rsidP="00462EAC">
      <w:pPr>
        <w:pStyle w:val="Odstavekseznama"/>
        <w:numPr>
          <w:ilvl w:val="0"/>
          <w:numId w:val="14"/>
        </w:numPr>
        <w:rPr>
          <w:color w:val="000000" w:themeColor="text1"/>
        </w:rPr>
      </w:pPr>
      <w:r w:rsidRPr="00462EAC">
        <w:rPr>
          <w:color w:val="000000" w:themeColor="text1"/>
        </w:rPr>
        <w:t>pravna oseba, ki na ozemlju Republike Slovenije proizvaja kmetijske pridelke in je v času nastanka naravne nesreče kot nosilec kmetijskega gospodarstva vpisana v RKG, ki ga vodi MKGP.</w:t>
      </w:r>
    </w:p>
    <w:p w14:paraId="20F7C5B3" w14:textId="77777777" w:rsidR="00EE5BE8" w:rsidRPr="00462EAC" w:rsidRDefault="00EE5BE8" w:rsidP="00462EAC">
      <w:pPr>
        <w:pStyle w:val="Odstavekseznama"/>
        <w:numPr>
          <w:ilvl w:val="0"/>
          <w:numId w:val="14"/>
        </w:numPr>
        <w:rPr>
          <w:color w:val="000000" w:themeColor="text1"/>
        </w:rPr>
      </w:pPr>
      <w:r w:rsidRPr="00462EAC">
        <w:rPr>
          <w:color w:val="000000" w:themeColor="text1"/>
        </w:rPr>
        <w:t>Program nadalje podrobneje določa merila za upravičenost do državne pomoči.</w:t>
      </w:r>
    </w:p>
    <w:p w14:paraId="5C682DC1" w14:textId="77777777" w:rsidR="00EE5BE8" w:rsidRPr="00EE5BE8" w:rsidRDefault="00EE5BE8" w:rsidP="00EE5BE8">
      <w:pPr>
        <w:rPr>
          <w:color w:val="000000" w:themeColor="text1"/>
        </w:rPr>
      </w:pPr>
    </w:p>
    <w:p w14:paraId="23B03B21" w14:textId="77777777" w:rsidR="00EE5BE8" w:rsidRPr="00EE5BE8" w:rsidRDefault="00EE5BE8" w:rsidP="00EE5BE8">
      <w:pPr>
        <w:rPr>
          <w:color w:val="000000" w:themeColor="text1"/>
        </w:rPr>
      </w:pPr>
      <w:r w:rsidRPr="00EE5BE8">
        <w:rPr>
          <w:color w:val="000000" w:themeColor="text1"/>
        </w:rPr>
        <w:t xml:space="preserve">Ocenjena višina potrebnih sredstev, ki bodo zagotovljena iz integralnih sredstev ministrstva, znaša 32.705 evrov. </w:t>
      </w:r>
    </w:p>
    <w:p w14:paraId="3AD917B0" w14:textId="77777777" w:rsidR="00EE5BE8" w:rsidRPr="00EE5BE8" w:rsidRDefault="00EE5BE8" w:rsidP="00EE5BE8">
      <w:pPr>
        <w:rPr>
          <w:color w:val="000000" w:themeColor="text1"/>
        </w:rPr>
      </w:pPr>
    </w:p>
    <w:p w14:paraId="6BFE429B" w14:textId="3FF970A7" w:rsidR="00EE5BE8" w:rsidRPr="00EE5BE8" w:rsidRDefault="00EE5BE8" w:rsidP="00EE5BE8">
      <w:pPr>
        <w:rPr>
          <w:color w:val="000000" w:themeColor="text1"/>
        </w:rPr>
      </w:pPr>
      <w:r w:rsidRPr="00EE5BE8">
        <w:rPr>
          <w:color w:val="000000" w:themeColor="text1"/>
        </w:rPr>
        <w:t>Požar na Krasu je bil tako obsežen, da je bila v decembru leta 2022 uveljavljena sprememba ZOPNN, ki je določila, da je požar v naravnem okolju, povzročen z naravnimi dejavniki, če povzroči škodo na stvareh ali trajnih nasadih ali škodo v gospodarstvu, opredeljen kot naravna nesreča. Tako je Vlada avgusta 2023 potrdila program odprave posledic neposredne škode, danes pa ga vsebinsko dopolnila zaradi priglasitve sheme državne pomoči. Ostale vsebine programa se ne spreminjajo.</w:t>
      </w:r>
    </w:p>
    <w:p w14:paraId="2DBC25C9" w14:textId="3F91E2E6" w:rsidR="00660E38" w:rsidRPr="00912875" w:rsidRDefault="00EE5BE8" w:rsidP="00912875">
      <w:pPr>
        <w:pStyle w:val="Vir"/>
      </w:pPr>
      <w:r w:rsidRPr="00EE5BE8">
        <w:t>Vir: Ministrstvo za naravne vire in prostor</w:t>
      </w:r>
    </w:p>
    <w:p w14:paraId="6CBDDED9" w14:textId="326FE15E" w:rsidR="00390720" w:rsidRPr="00390720" w:rsidRDefault="00390720" w:rsidP="00390720">
      <w:pPr>
        <w:pStyle w:val="Naslov2"/>
      </w:pPr>
      <w:r w:rsidRPr="00390720">
        <w:t>Pogodba o financiranju izvedbe investicije Obnova maneže na hipodromu Lipica</w:t>
      </w:r>
    </w:p>
    <w:p w14:paraId="6A188391" w14:textId="77777777" w:rsidR="00390720" w:rsidRPr="00390720" w:rsidRDefault="00390720" w:rsidP="00390720">
      <w:pPr>
        <w:rPr>
          <w:color w:val="000000" w:themeColor="text1"/>
        </w:rPr>
      </w:pPr>
      <w:r w:rsidRPr="00390720">
        <w:rPr>
          <w:color w:val="000000" w:themeColor="text1"/>
        </w:rPr>
        <w:t xml:space="preserve">Vlada je sprejela sklep, da z družbo Kobilarna Lipica, d.o.o., sklene Pogodbo o financiranju izvedbe investicijskega projekta Obnova maneže na hipodromu v Lipici, v okviru katerega je predvidena </w:t>
      </w:r>
      <w:r w:rsidRPr="00390720">
        <w:rPr>
          <w:color w:val="000000" w:themeColor="text1"/>
        </w:rPr>
        <w:lastRenderedPageBreak/>
        <w:t xml:space="preserve">drenažna ureditev. Za podpis pogodbe je pooblastila ministra za gospodarstvo, turizem in šport Matjaža Hana. </w:t>
      </w:r>
    </w:p>
    <w:p w14:paraId="497C3F38" w14:textId="77777777" w:rsidR="00390720" w:rsidRPr="00390720" w:rsidRDefault="00390720" w:rsidP="00390720">
      <w:pPr>
        <w:rPr>
          <w:color w:val="000000" w:themeColor="text1"/>
        </w:rPr>
      </w:pPr>
    </w:p>
    <w:p w14:paraId="3E92369D" w14:textId="77777777" w:rsidR="00390720" w:rsidRPr="00390720" w:rsidRDefault="00390720" w:rsidP="00390720">
      <w:pPr>
        <w:rPr>
          <w:color w:val="000000" w:themeColor="text1"/>
        </w:rPr>
      </w:pPr>
      <w:r w:rsidRPr="00390720">
        <w:rPr>
          <w:color w:val="000000" w:themeColor="text1"/>
        </w:rPr>
        <w:t>Namen investicijskega projekta je zagotovitev potrebnih prostorov za izvajanje dejavnosti, zlasti primarne dejavnosti - vzreje konj.</w:t>
      </w:r>
    </w:p>
    <w:p w14:paraId="2489B2B8" w14:textId="77777777" w:rsidR="00462EAC" w:rsidRDefault="00462EAC" w:rsidP="00390720">
      <w:pPr>
        <w:rPr>
          <w:color w:val="000000" w:themeColor="text1"/>
        </w:rPr>
      </w:pPr>
    </w:p>
    <w:p w14:paraId="0A45F4C3" w14:textId="1B4AED98" w:rsidR="00390720" w:rsidRPr="00390720" w:rsidRDefault="00390720" w:rsidP="00390720">
      <w:pPr>
        <w:rPr>
          <w:color w:val="000000" w:themeColor="text1"/>
        </w:rPr>
      </w:pPr>
      <w:r w:rsidRPr="00390720">
        <w:rPr>
          <w:color w:val="000000" w:themeColor="text1"/>
        </w:rPr>
        <w:t>Cilji projekta so obnova hipodroma, omogočiti nadaljnji razvoj konjereje in konjeništva v družbi, regiji in državi, zagotavljanje potrebnih prostorov za izvajanje dejavnosti, zagotoviti dobro počutje konj, zagotavljanje infrastrukture za izvajanje dejavnosti družbe, zagotoviti možnost varovanja, ohranjanja in razvoja kulturne in naravne dediščine, zagotavljati udobje uporabnikov hipodroma, zagotavljanje vrhunskih storitev na področju reje lipicanca in konjeništva.</w:t>
      </w:r>
    </w:p>
    <w:p w14:paraId="19912C5E" w14:textId="77777777" w:rsidR="00462EAC" w:rsidRDefault="00462EAC" w:rsidP="00390720">
      <w:pPr>
        <w:rPr>
          <w:color w:val="000000" w:themeColor="text1"/>
        </w:rPr>
      </w:pPr>
    </w:p>
    <w:p w14:paraId="38CB9A82" w14:textId="5199EFCB" w:rsidR="00390720" w:rsidRPr="00390720" w:rsidRDefault="00390720" w:rsidP="00390720">
      <w:pPr>
        <w:rPr>
          <w:color w:val="000000" w:themeColor="text1"/>
        </w:rPr>
      </w:pPr>
      <w:r w:rsidRPr="00390720">
        <w:rPr>
          <w:color w:val="000000" w:themeColor="text1"/>
        </w:rPr>
        <w:t xml:space="preserve">Z izvedbo projekta bo preprečeno propadanje hipodroma, ki je bil predmet obnove leta 2017. Ker pa prenova ni bila temeljita, prihaja do zastajanja vode. Z izvedbo investicije bo investitor zagotovil zmanjšanje tveganja za izvajanje turistične ponudbe Kobilarne Lipica, d.o.o. </w:t>
      </w:r>
    </w:p>
    <w:p w14:paraId="066ECBC9" w14:textId="77777777" w:rsidR="00462EAC" w:rsidRDefault="00462EAC" w:rsidP="00390720">
      <w:pPr>
        <w:rPr>
          <w:color w:val="000000" w:themeColor="text1"/>
        </w:rPr>
      </w:pPr>
    </w:p>
    <w:p w14:paraId="75F33382" w14:textId="715FE205" w:rsidR="00390720" w:rsidRPr="00390720" w:rsidRDefault="00390720" w:rsidP="00390720">
      <w:pPr>
        <w:rPr>
          <w:color w:val="000000" w:themeColor="text1"/>
        </w:rPr>
      </w:pPr>
      <w:r w:rsidRPr="00390720">
        <w:rPr>
          <w:color w:val="000000" w:themeColor="text1"/>
        </w:rPr>
        <w:t xml:space="preserve">V skladu s popisom del in oceno vrednosti znaša skupna vrednost investicije po stalnih cenah 408.740 evrov brez DDV. Sredstva za izvedbo investicije so planirana v proračunu ministrstva za gospodarstvo, turizem in šport za leto 2024. </w:t>
      </w:r>
    </w:p>
    <w:p w14:paraId="0E0BEA9B" w14:textId="77777777" w:rsidR="00390720" w:rsidRPr="00390720" w:rsidRDefault="00390720" w:rsidP="00390720">
      <w:pPr>
        <w:rPr>
          <w:color w:val="000000" w:themeColor="text1"/>
        </w:rPr>
      </w:pPr>
    </w:p>
    <w:p w14:paraId="35AB01E2" w14:textId="21D775DD" w:rsidR="00390720" w:rsidRPr="00390720" w:rsidRDefault="00390720" w:rsidP="00390720">
      <w:pPr>
        <w:rPr>
          <w:color w:val="000000" w:themeColor="text1"/>
        </w:rPr>
      </w:pPr>
      <w:r w:rsidRPr="00390720">
        <w:rPr>
          <w:color w:val="000000" w:themeColor="text1"/>
        </w:rPr>
        <w:t xml:space="preserve">Sklep o potrditvi investicijskega projekta je skladen s Koncesijsko pogodbo in Poslovnim načrtom Kobilarne Lipica, d. o. o. </w:t>
      </w:r>
    </w:p>
    <w:p w14:paraId="10993AB2" w14:textId="76C6C6D2" w:rsidR="00660E38" w:rsidRPr="00DB14B1" w:rsidRDefault="00390720" w:rsidP="00DB14B1">
      <w:pPr>
        <w:pStyle w:val="Vir"/>
      </w:pPr>
      <w:r w:rsidRPr="00390720">
        <w:t>Vir: Ministrstvo za gospodarstvo, turizem in šport</w:t>
      </w:r>
    </w:p>
    <w:p w14:paraId="21FB02FC" w14:textId="0DBA926A" w:rsidR="008562A7" w:rsidRPr="00DB14B1" w:rsidRDefault="008562A7" w:rsidP="00DB14B1">
      <w:pPr>
        <w:pStyle w:val="Naslov2"/>
        <w:rPr>
          <w:color w:val="FF0000"/>
        </w:rPr>
      </w:pPr>
      <w:r w:rsidRPr="008562A7">
        <w:t>Vlada dala soglasje k Spremembam in dopolnitvam Statuta Zavoda za zdravstveno zavarovanje Slovenije</w:t>
      </w:r>
    </w:p>
    <w:p w14:paraId="35AE3F8F" w14:textId="638C9C22" w:rsidR="008562A7" w:rsidRPr="008562A7" w:rsidRDefault="008562A7" w:rsidP="008562A7">
      <w:pPr>
        <w:rPr>
          <w:color w:val="000000" w:themeColor="text1"/>
        </w:rPr>
      </w:pPr>
      <w:r w:rsidRPr="008562A7">
        <w:rPr>
          <w:color w:val="000000" w:themeColor="text1"/>
        </w:rPr>
        <w:t>Vlada je dala soglasje k Spremembam in dopolnitvam Statuta Zavoda za zdravstveno zavarovanje Slovenije (statut), ki ga je skupščina Zavoda za zdravstveno zavarovanje Slovenije (ZZZS) sprejela na seji 4. septembra 2024.</w:t>
      </w:r>
    </w:p>
    <w:p w14:paraId="7A6D490F" w14:textId="77777777" w:rsidR="00462EAC" w:rsidRDefault="00462EAC" w:rsidP="008562A7">
      <w:pPr>
        <w:rPr>
          <w:color w:val="000000" w:themeColor="text1"/>
        </w:rPr>
      </w:pPr>
    </w:p>
    <w:p w14:paraId="78C92BC2" w14:textId="244EB472" w:rsidR="008562A7" w:rsidRPr="008562A7" w:rsidRDefault="008562A7" w:rsidP="008562A7">
      <w:pPr>
        <w:rPr>
          <w:color w:val="000000" w:themeColor="text1"/>
        </w:rPr>
      </w:pPr>
      <w:r w:rsidRPr="008562A7">
        <w:rPr>
          <w:color w:val="000000" w:themeColor="text1"/>
        </w:rPr>
        <w:t>Spremembe statuta so potrebne zaradi uveljavitve Zakona o dolgotrajni oskrbi (ZDOsk-1), Zakona o spremembah in dopolnitvah Zakona o zdravstvenem varstvu in zdravstvenem zavarovanju in uskladitve statutarne materije s predpisi.</w:t>
      </w:r>
    </w:p>
    <w:p w14:paraId="7938A6ED" w14:textId="77777777" w:rsidR="00462EAC" w:rsidRDefault="00462EAC" w:rsidP="008562A7">
      <w:pPr>
        <w:rPr>
          <w:color w:val="000000" w:themeColor="text1"/>
        </w:rPr>
      </w:pPr>
    </w:p>
    <w:p w14:paraId="28A7A821" w14:textId="4D98C7DF" w:rsidR="008562A7" w:rsidRPr="008562A7" w:rsidRDefault="008562A7" w:rsidP="008562A7">
      <w:pPr>
        <w:rPr>
          <w:color w:val="000000" w:themeColor="text1"/>
        </w:rPr>
      </w:pPr>
      <w:r w:rsidRPr="008562A7">
        <w:rPr>
          <w:color w:val="000000" w:themeColor="text1"/>
        </w:rPr>
        <w:t>Ker je ZZZS po ZDOsk-1 izvajalec obveznega zavarovanja za dolgotrajno oskrbo, se z novelo statuta določijo naloge ZZZS na področju dolgotrajne oskrbe, ki jih ne določa sam ZDOsk-1 in na njegovi podlagi sprejeti predpisi, naloge in pristojnosti organov zavoda na področju obveznega zavarovanja za dolgotrajno oskrbo in pogoji, ki jih mora izpolnjevati direktor za področje dolgotrajne oskrbe. Posebej so dodane tiste vsebine glede izvajanja obveznega zavarovanja za dolgotrajno oskrbo, ki jih ni mogoče urediti enotno za obvezno zdravstveno zavarovanje in obvezno zavarovanje za dolgotrajno oskrbo.</w:t>
      </w:r>
    </w:p>
    <w:p w14:paraId="0B20101A" w14:textId="40DFC9C4" w:rsidR="00660E38" w:rsidRPr="0044468B" w:rsidRDefault="008562A7" w:rsidP="0044468B">
      <w:pPr>
        <w:pStyle w:val="Vir"/>
      </w:pPr>
      <w:r w:rsidRPr="008562A7">
        <w:t>Vir: Ministrstvo za zdravje</w:t>
      </w:r>
    </w:p>
    <w:p w14:paraId="4739A9B3" w14:textId="42DC9E74" w:rsidR="00ED46B4" w:rsidRPr="00ED46B4" w:rsidRDefault="00ED46B4" w:rsidP="00ED46B4">
      <w:pPr>
        <w:pStyle w:val="Naslov2"/>
      </w:pPr>
      <w:r w:rsidRPr="00ED46B4">
        <w:t>Za nemoteno opravljanje nalog policije se do 31. decembra 2024 vpokličejo pomožni policisti</w:t>
      </w:r>
    </w:p>
    <w:p w14:paraId="73D94469" w14:textId="0D68C80A" w:rsidR="00ED46B4" w:rsidRPr="00ED46B4" w:rsidRDefault="00ED46B4" w:rsidP="00ED46B4">
      <w:pPr>
        <w:rPr>
          <w:color w:val="000000" w:themeColor="text1"/>
        </w:rPr>
      </w:pPr>
      <w:r w:rsidRPr="00ED46B4">
        <w:rPr>
          <w:color w:val="000000" w:themeColor="text1"/>
        </w:rPr>
        <w:t>Vlada je sklenila, da se zaradi nemotenega opravljanja nalog policije, ker je treba nadomestiti odsotnosti večjega števila aktivnih policistov, za opravljanje teh nalog do 31. decembra 2024 vpokličejo pomožni policisti.</w:t>
      </w:r>
    </w:p>
    <w:p w14:paraId="7122560B" w14:textId="77777777" w:rsidR="00ED46B4" w:rsidRPr="00ED46B4" w:rsidRDefault="00ED46B4" w:rsidP="00ED46B4">
      <w:pPr>
        <w:rPr>
          <w:color w:val="000000" w:themeColor="text1"/>
        </w:rPr>
      </w:pPr>
    </w:p>
    <w:p w14:paraId="4D4BE566" w14:textId="77777777" w:rsidR="00ED46B4" w:rsidRPr="00ED46B4" w:rsidRDefault="00ED46B4" w:rsidP="00ED46B4">
      <w:pPr>
        <w:rPr>
          <w:color w:val="000000" w:themeColor="text1"/>
        </w:rPr>
      </w:pPr>
      <w:r w:rsidRPr="00ED46B4">
        <w:rPr>
          <w:color w:val="000000" w:themeColor="text1"/>
        </w:rPr>
        <w:lastRenderedPageBreak/>
        <w:t>Sistem pomožne policije je namenjen popolnjevanju policijskih sil v obdobjih, ko je zaradi povečanih varnostnih obremenitev, varnostnih dogodkov večjih razsežnosti in kriznih razmer redne sestave policije treba popolniti za izvedbo nalog policije. Sistem pomožne policije je eden temeljnih mehanizmov zagotavljanja zadostnih in ustrezno usposobljenih resursov v primeru spopadanja s kompleksnejšimi varnostnimi izzivi.</w:t>
      </w:r>
    </w:p>
    <w:p w14:paraId="73AC4834" w14:textId="77777777" w:rsidR="00ED46B4" w:rsidRPr="00ED46B4" w:rsidRDefault="00ED46B4" w:rsidP="00ED46B4">
      <w:pPr>
        <w:rPr>
          <w:color w:val="000000" w:themeColor="text1"/>
        </w:rPr>
      </w:pPr>
    </w:p>
    <w:p w14:paraId="335ADE0A" w14:textId="77777777" w:rsidR="00ED46B4" w:rsidRPr="00ED46B4" w:rsidRDefault="00ED46B4" w:rsidP="00ED46B4">
      <w:pPr>
        <w:rPr>
          <w:color w:val="000000" w:themeColor="text1"/>
        </w:rPr>
      </w:pPr>
      <w:r w:rsidRPr="00ED46B4">
        <w:rPr>
          <w:color w:val="000000" w:themeColor="text1"/>
        </w:rPr>
        <w:t>Analizirani podatki vpoklicev pomožnih policistov v obdobju od 1. januarja do 30. junija 2024 po posameznih policijskih upravah kažejo, da je več kot polovica vpoklicanih pomožnih policistov na več policijskih upravah že opravila 15 dni službe v policiji ali več, kar znaša polovico zakonsko omejenih dni vpoklicev. Vlada bo vpoklicala pomožno policijo za daljše obdobje, s katerim se lahko preseže zakonsko določena omejitev vpoklica pomožnih policistov na 30 dni.</w:t>
      </w:r>
    </w:p>
    <w:p w14:paraId="4004F5E2" w14:textId="77777777" w:rsidR="00ED46B4" w:rsidRPr="00ED46B4" w:rsidRDefault="00ED46B4" w:rsidP="00ED46B4">
      <w:pPr>
        <w:rPr>
          <w:color w:val="000000" w:themeColor="text1"/>
        </w:rPr>
      </w:pPr>
    </w:p>
    <w:p w14:paraId="1F6F85E0" w14:textId="2BD699E4" w:rsidR="00ED46B4" w:rsidRPr="00ED46B4" w:rsidRDefault="00ED46B4" w:rsidP="00ED46B4">
      <w:pPr>
        <w:rPr>
          <w:color w:val="000000" w:themeColor="text1"/>
        </w:rPr>
      </w:pPr>
      <w:r w:rsidRPr="00ED46B4">
        <w:rPr>
          <w:color w:val="000000" w:themeColor="text1"/>
        </w:rPr>
        <w:t>Policija bo v drugi polovici leta pomožne policiste med drugim vključevala v skupne oblike dela na notranjih mejah (mešane patrulje), obvladovanje kršitev in kriminalitete na varnostno obremenjenih območjih, delo na območjih večetničnih skupnosti in obvladovanje večjega števila športnih in drugih večjih prireditev.</w:t>
      </w:r>
    </w:p>
    <w:p w14:paraId="76A0EB45" w14:textId="7485C67A" w:rsidR="00660E38" w:rsidRPr="00ED46B4" w:rsidRDefault="00ED46B4" w:rsidP="00ED46B4">
      <w:pPr>
        <w:pStyle w:val="Vir"/>
      </w:pPr>
      <w:r w:rsidRPr="00ED46B4">
        <w:t>Vir: Ministrstvo za notranje zadeve</w:t>
      </w:r>
    </w:p>
    <w:p w14:paraId="6665C4F9" w14:textId="67965029" w:rsidR="008F52DD" w:rsidRPr="008F52DD" w:rsidRDefault="008F52DD" w:rsidP="008F52DD">
      <w:pPr>
        <w:pStyle w:val="Naslov2"/>
      </w:pPr>
      <w:r w:rsidRPr="008F52DD">
        <w:t xml:space="preserve">Vlada ne nasprotuje odobritvi kredita Evropske investicijske banke podjetju Universal </w:t>
      </w:r>
      <w:proofErr w:type="spellStart"/>
      <w:r w:rsidRPr="008F52DD">
        <w:t>Diagnostics</w:t>
      </w:r>
      <w:proofErr w:type="spellEnd"/>
      <w:r w:rsidRPr="008F52DD">
        <w:t xml:space="preserve"> SA</w:t>
      </w:r>
    </w:p>
    <w:p w14:paraId="35CE9140" w14:textId="77777777" w:rsidR="008F52DD" w:rsidRPr="008F52DD" w:rsidRDefault="008F52DD" w:rsidP="008F52DD">
      <w:pPr>
        <w:rPr>
          <w:color w:val="000000" w:themeColor="text1"/>
        </w:rPr>
      </w:pPr>
      <w:r w:rsidRPr="008F52DD">
        <w:rPr>
          <w:color w:val="000000" w:themeColor="text1"/>
        </w:rPr>
        <w:t xml:space="preserve">Statut Evropske investicijske banke (EIB) določa, da se o prošnjah za kredit pridobi mnenje države članice, na ozemlju katere bo projekt izveden, in Evropske komisije. </w:t>
      </w:r>
    </w:p>
    <w:p w14:paraId="252E990E" w14:textId="77777777" w:rsidR="00462EAC" w:rsidRDefault="00462EAC" w:rsidP="008F52DD">
      <w:pPr>
        <w:rPr>
          <w:color w:val="000000" w:themeColor="text1"/>
        </w:rPr>
      </w:pPr>
    </w:p>
    <w:p w14:paraId="50A72103" w14:textId="07CED784" w:rsidR="008F52DD" w:rsidRPr="008F52DD" w:rsidRDefault="008F52DD" w:rsidP="008F52DD">
      <w:pPr>
        <w:rPr>
          <w:color w:val="000000" w:themeColor="text1"/>
        </w:rPr>
      </w:pPr>
      <w:r w:rsidRPr="008F52DD">
        <w:rPr>
          <w:color w:val="000000" w:themeColor="text1"/>
        </w:rPr>
        <w:t xml:space="preserve">EIB se s podjetjem Universal </w:t>
      </w:r>
      <w:proofErr w:type="spellStart"/>
      <w:r w:rsidRPr="008F52DD">
        <w:rPr>
          <w:color w:val="000000" w:themeColor="text1"/>
        </w:rPr>
        <w:t>Diagnostics</w:t>
      </w:r>
      <w:proofErr w:type="spellEnd"/>
      <w:r w:rsidRPr="008F52DD">
        <w:rPr>
          <w:color w:val="000000" w:themeColor="text1"/>
        </w:rPr>
        <w:t xml:space="preserve"> SA dogovarja za financiranje investicijskega programa na področju molekularne diagnostike za raziskave in razvoj presejalnih testov na osnovi krvi za zgodnje odkrivanje raka, s ciljem pospeševati proizvodnjo in plasiranje produktov na zdravstveni trg. Kredit bo na voljo matični družbi, ki bo predvidoma uporabila 50% sredstev v Španiji in 50% sredstev v Sloveniji. </w:t>
      </w:r>
    </w:p>
    <w:p w14:paraId="3D2549AB" w14:textId="7CDD14BC" w:rsidR="008F52DD" w:rsidRPr="008F52DD" w:rsidRDefault="008F52DD" w:rsidP="008F52DD">
      <w:pPr>
        <w:rPr>
          <w:color w:val="000000" w:themeColor="text1"/>
        </w:rPr>
      </w:pPr>
      <w:r w:rsidRPr="008F52DD">
        <w:rPr>
          <w:color w:val="000000" w:themeColor="text1"/>
        </w:rPr>
        <w:t xml:space="preserve">Projekt se bo financiral preko posebne EIB sheme, ki je namenjeno podpori naložbam, ki spadajo pod tematsko okno »inovacije - raziskave, inovacije in digitalizacija« v okviru pobude </w:t>
      </w:r>
      <w:proofErr w:type="spellStart"/>
      <w:r w:rsidRPr="008F52DD">
        <w:rPr>
          <w:color w:val="000000" w:themeColor="text1"/>
        </w:rPr>
        <w:t>InvestEU</w:t>
      </w:r>
      <w:proofErr w:type="spellEnd"/>
      <w:r w:rsidRPr="008F52DD">
        <w:rPr>
          <w:color w:val="000000" w:themeColor="text1"/>
        </w:rPr>
        <w:t>. Preko sheme se financirajo podjetja na področjih, kot so inovacije v zdravstvu, tehnologije prihodnosti in drugi strateško pomembni sektorji v državah članicah EU. Shema je namenjena zlasti malim in srednje velikim podjetjem ter majhnim podjetjem s srednjo tržno kapitalizacijo z do 499 zaposlenimi. EIB shemo zagotavlja za odpravljanje tržnih pomanjkljivosti, kot so nepopolna konkurenca in izzivi vstopa na trg z visoko inovativnimi tehnologijami. Sodelovanje EIB zagotavlja dolgoročne naložbe z visokim tveganjem, ki jih je sicer težko financirati prek tradicionalnih tržnih poti. Strokovno znanje banke pri strukturiranju in spremljanju teh transakcij lastniškega tipa je ključno za uspeh tovrstnih inovativnih in strateških projektov.</w:t>
      </w:r>
    </w:p>
    <w:p w14:paraId="7DDA7236" w14:textId="3F8617D2" w:rsidR="00660E38" w:rsidRPr="008F52DD" w:rsidRDefault="008F52DD" w:rsidP="008F52DD">
      <w:pPr>
        <w:pStyle w:val="Vir"/>
      </w:pPr>
      <w:r w:rsidRPr="008F52DD">
        <w:t>Vir: Ministrstvo za finance</w:t>
      </w:r>
    </w:p>
    <w:p w14:paraId="33EF455F" w14:textId="6263A7A7" w:rsidR="007F00B7" w:rsidRPr="007F00B7" w:rsidRDefault="007F00B7" w:rsidP="007F00B7">
      <w:pPr>
        <w:pStyle w:val="Naslov2"/>
      </w:pPr>
      <w:r w:rsidRPr="007F00B7">
        <w:t xml:space="preserve">Soglasje Atletski zvezi Slovenije za vložitev kandidature za organizacijo Evropskega ekipnega prvenstva v atletiki – 2. in 3. divizije </w:t>
      </w:r>
    </w:p>
    <w:p w14:paraId="606B2038" w14:textId="7937CEAB" w:rsidR="007F00B7" w:rsidRPr="007F00B7" w:rsidRDefault="007F00B7" w:rsidP="007F00B7">
      <w:pPr>
        <w:rPr>
          <w:color w:val="000000" w:themeColor="text1"/>
        </w:rPr>
      </w:pPr>
      <w:r w:rsidRPr="007F00B7">
        <w:rPr>
          <w:color w:val="000000" w:themeColor="text1"/>
        </w:rPr>
        <w:t xml:space="preserve">Vlada je Atletski zvezi Slovenije dala soglasje k vlogi za vložitev kandidature in za sofinanciranje organizacije Evropskega ekipnega prvenstva v atletiki – 2. in 3. divizije, ki bo potekalo od 24. do 30. junija 2025 v Mariboru. Z vlogo Atletske zveze Slovenije se je na 13. dopisni seji dne 26. junija 2024 seznanil tudi Strokovni svet Republike Slovenije za šport in podal pozitivno mnenje k vlogi. </w:t>
      </w:r>
    </w:p>
    <w:p w14:paraId="08BFF869" w14:textId="77777777" w:rsidR="007F00B7" w:rsidRPr="007F00B7" w:rsidRDefault="007F00B7" w:rsidP="007F00B7">
      <w:pPr>
        <w:rPr>
          <w:color w:val="000000" w:themeColor="text1"/>
        </w:rPr>
      </w:pPr>
    </w:p>
    <w:p w14:paraId="47A9957B" w14:textId="77777777" w:rsidR="007F00B7" w:rsidRPr="007F00B7" w:rsidRDefault="007F00B7" w:rsidP="007F00B7">
      <w:pPr>
        <w:rPr>
          <w:color w:val="000000" w:themeColor="text1"/>
        </w:rPr>
      </w:pPr>
      <w:r w:rsidRPr="007F00B7">
        <w:rPr>
          <w:color w:val="000000" w:themeColor="text1"/>
        </w:rPr>
        <w:t xml:space="preserve">V skladu z Zakonom o športu morajo kandidati za organizacijo velikih mednarodnih športnih prireditev v Republiki Sloveniji pred vložitvijo kandidature za evropska prvenstva pri mednarodni športni zvezi </w:t>
      </w:r>
      <w:r w:rsidRPr="007F00B7">
        <w:rPr>
          <w:color w:val="000000" w:themeColor="text1"/>
        </w:rPr>
        <w:lastRenderedPageBreak/>
        <w:t xml:space="preserve">pridobiti soglasje Vlade Republike Slovenije ter soglasje za morebitno financiranje iz državnih sredstev. </w:t>
      </w:r>
    </w:p>
    <w:p w14:paraId="4FD87882" w14:textId="77777777" w:rsidR="007F00B7" w:rsidRPr="007F00B7" w:rsidRDefault="007F00B7" w:rsidP="007F00B7">
      <w:pPr>
        <w:rPr>
          <w:color w:val="000000" w:themeColor="text1"/>
        </w:rPr>
      </w:pPr>
    </w:p>
    <w:p w14:paraId="3E93F17D" w14:textId="77777777" w:rsidR="007F00B7" w:rsidRPr="007F00B7" w:rsidRDefault="007F00B7" w:rsidP="007F00B7">
      <w:pPr>
        <w:rPr>
          <w:color w:val="000000" w:themeColor="text1"/>
        </w:rPr>
      </w:pPr>
      <w:r w:rsidRPr="007F00B7">
        <w:rPr>
          <w:color w:val="000000" w:themeColor="text1"/>
        </w:rPr>
        <w:t xml:space="preserve">Pri odločanju o soglasju h kandidaturi za organizacijo je Vlada Republike Slovenije upoštevala tudi načela iz V. točke Sklepa o postopku za kandidiranje, ter ugotovila, da bo organizacija prireditve pozitivno prispevala k načelu razvoja in širjenja športa oziroma športne panoge v državi ter k načelu uveljavljanja slovenskega športa in države. Iz vloge Atletske zveze Slovenije namreč izhaja, da bo prireditev predstavljala priložnost za preboj slovenske reprezentance v 1. divizijo, v katero se uvrstijo prve tri reprezentance, ter da bo šlo za največje atletsko tekmovanje v zgodovini Republike Slovenije. </w:t>
      </w:r>
    </w:p>
    <w:p w14:paraId="4CA40F38" w14:textId="77777777" w:rsidR="007F00B7" w:rsidRPr="007F00B7" w:rsidRDefault="007F00B7" w:rsidP="007F00B7">
      <w:pPr>
        <w:rPr>
          <w:color w:val="000000" w:themeColor="text1"/>
        </w:rPr>
      </w:pPr>
    </w:p>
    <w:p w14:paraId="13DFA0E6" w14:textId="1AF4D019" w:rsidR="007F00B7" w:rsidRPr="007F00B7" w:rsidRDefault="007F00B7" w:rsidP="007F00B7">
      <w:pPr>
        <w:rPr>
          <w:color w:val="000000" w:themeColor="text1"/>
        </w:rPr>
      </w:pPr>
      <w:r w:rsidRPr="007F00B7">
        <w:rPr>
          <w:color w:val="000000" w:themeColor="text1"/>
        </w:rPr>
        <w:t xml:space="preserve">Na podlagi sklepa vlade bo Atletska zveza Slovenije lahko zaprosila za organizacijo evropskega prvenstva pri Evropski atletiki in v primeru odobrene organizacije tudi kandidirala na javnem razpisu za sofinanciranje organizacije. Organizacija Evropskega ekipnega prvenstva v atletiki – 2. in 3. divizije se sofinancira skladno z letnim programom športa na državni ravni za posamezno koledarsko leto na podlagi Pravilnika o sofinanciranju izvajanja letnega programa športa na državni ravni. </w:t>
      </w:r>
    </w:p>
    <w:p w14:paraId="513F41B8" w14:textId="123169C3" w:rsidR="00660E38" w:rsidRPr="002259B0" w:rsidRDefault="007F00B7" w:rsidP="002259B0">
      <w:pPr>
        <w:pStyle w:val="Vir"/>
      </w:pPr>
      <w:r w:rsidRPr="007F00B7">
        <w:t>Vir: Ministrstvo za gospodarstvo, turizem in šport</w:t>
      </w:r>
    </w:p>
    <w:p w14:paraId="59CA1D6D" w14:textId="2D555857" w:rsidR="00934519" w:rsidRPr="00934519" w:rsidRDefault="00934519" w:rsidP="00934519">
      <w:pPr>
        <w:pStyle w:val="Naslov2"/>
      </w:pPr>
      <w:r w:rsidRPr="00934519">
        <w:t>Vlada prerazporeja sredstva državnega proračuna</w:t>
      </w:r>
    </w:p>
    <w:p w14:paraId="24E525B0" w14:textId="77777777" w:rsidR="00934519" w:rsidRPr="00934519" w:rsidRDefault="00934519" w:rsidP="00934519">
      <w:pPr>
        <w:rPr>
          <w:color w:val="000000" w:themeColor="text1"/>
        </w:rPr>
      </w:pPr>
      <w:r w:rsidRPr="00934519">
        <w:rPr>
          <w:color w:val="000000" w:themeColor="text1"/>
        </w:rPr>
        <w:t>Vlada je na današnji seji odločila o prerazporeditvah pravic porabe v letošnjem državnem proračunu.</w:t>
      </w:r>
    </w:p>
    <w:p w14:paraId="05E3961A" w14:textId="77777777" w:rsidR="00934519" w:rsidRPr="00934519" w:rsidRDefault="00934519" w:rsidP="00934519">
      <w:pPr>
        <w:rPr>
          <w:color w:val="000000" w:themeColor="text1"/>
        </w:rPr>
      </w:pPr>
    </w:p>
    <w:p w14:paraId="070209AA" w14:textId="77777777" w:rsidR="00934519" w:rsidRPr="00934519" w:rsidRDefault="00934519" w:rsidP="00934519">
      <w:pPr>
        <w:rPr>
          <w:color w:val="000000" w:themeColor="text1"/>
        </w:rPr>
      </w:pPr>
      <w:r w:rsidRPr="00934519">
        <w:rPr>
          <w:color w:val="000000" w:themeColor="text1"/>
        </w:rPr>
        <w:t>Na Ministrstvu za finance prav tako prerazporejamo pravice porabe na Ministrstvo za vzgojo in izobraževanje, in sicer v vrednosti 4,5 milijonov evrov, za izplačilo plačil subvencij za starše za brezplačni vrtec v mesecu septembru.</w:t>
      </w:r>
    </w:p>
    <w:p w14:paraId="7439644B" w14:textId="77777777" w:rsidR="00934519" w:rsidRPr="00934519" w:rsidRDefault="00934519" w:rsidP="00934519">
      <w:pPr>
        <w:rPr>
          <w:color w:val="000000" w:themeColor="text1"/>
        </w:rPr>
      </w:pPr>
    </w:p>
    <w:p w14:paraId="58C99186" w14:textId="77777777" w:rsidR="00934519" w:rsidRPr="00934519" w:rsidRDefault="00934519" w:rsidP="00934519">
      <w:pPr>
        <w:rPr>
          <w:color w:val="000000" w:themeColor="text1"/>
        </w:rPr>
      </w:pPr>
      <w:r w:rsidRPr="00934519">
        <w:rPr>
          <w:color w:val="000000" w:themeColor="text1"/>
        </w:rPr>
        <w:t>Ministrstvo za solidarno prihodnost prerazporeja sredstva znotraj lastnega finančnega načrta v višini 4,2 milijona evrov za plače zaposlenih v javnih varstveno-delovnih centrih (VDC) in centrih za usposabljanje, delo in varstvo (CUVD).</w:t>
      </w:r>
    </w:p>
    <w:p w14:paraId="47E09A52" w14:textId="77777777" w:rsidR="00934519" w:rsidRPr="00934519" w:rsidRDefault="00934519" w:rsidP="00934519">
      <w:pPr>
        <w:rPr>
          <w:color w:val="000000" w:themeColor="text1"/>
        </w:rPr>
      </w:pPr>
    </w:p>
    <w:p w14:paraId="0E8D1110" w14:textId="77777777" w:rsidR="00934519" w:rsidRPr="00934519" w:rsidRDefault="00934519" w:rsidP="00934519">
      <w:pPr>
        <w:rPr>
          <w:color w:val="000000" w:themeColor="text1"/>
        </w:rPr>
      </w:pPr>
      <w:r w:rsidRPr="00934519">
        <w:rPr>
          <w:color w:val="000000" w:themeColor="text1"/>
        </w:rPr>
        <w:t xml:space="preserve">Ministrstvu za zunanje in evropske zadeve prerazporejamo 3 milijone evrov za namen zagotavljanja varnosti diplomatskih in konzularnih predstavništev Republike </w:t>
      </w:r>
      <w:proofErr w:type="spellStart"/>
      <w:r w:rsidRPr="00934519">
        <w:rPr>
          <w:color w:val="000000" w:themeColor="text1"/>
        </w:rPr>
        <w:t>Slovenij</w:t>
      </w:r>
      <w:proofErr w:type="spellEnd"/>
      <w:r w:rsidRPr="00934519">
        <w:rPr>
          <w:color w:val="000000" w:themeColor="text1"/>
        </w:rPr>
        <w:t xml:space="preserve"> (DKP) zaradi slabšanja varnostne situacije po svetu in zaradi višanja cen storitev in blaga.</w:t>
      </w:r>
    </w:p>
    <w:p w14:paraId="54D43B0C" w14:textId="77777777" w:rsidR="00934519" w:rsidRPr="00934519" w:rsidRDefault="00934519" w:rsidP="00934519">
      <w:pPr>
        <w:rPr>
          <w:color w:val="000000" w:themeColor="text1"/>
        </w:rPr>
      </w:pPr>
    </w:p>
    <w:p w14:paraId="4D836CB4" w14:textId="60BE2285" w:rsidR="00934519" w:rsidRPr="00934519" w:rsidRDefault="00934519" w:rsidP="00934519">
      <w:pPr>
        <w:rPr>
          <w:color w:val="000000" w:themeColor="text1"/>
        </w:rPr>
      </w:pPr>
      <w:r w:rsidRPr="00934519">
        <w:rPr>
          <w:color w:val="000000" w:themeColor="text1"/>
        </w:rPr>
        <w:t xml:space="preserve">Ministrstvo za obrambo prerazporeja sredstva v okviru lastnega finančnega načrta, in sicer v višini 805 tisoč evrov. Prerazporeditev sredstev je med drugim namenjena vzdrževanju in razvoju informacijskega sistema za vojne veterane, investicijskemu vzdrževanju objektov ministrstva in pripravi geodetske dokumentacije in natečaja za spomenik na Trgu republike. </w:t>
      </w:r>
    </w:p>
    <w:p w14:paraId="23B496BA" w14:textId="07F6D439" w:rsidR="00660E38" w:rsidRPr="00934519" w:rsidRDefault="00934519" w:rsidP="00934519">
      <w:pPr>
        <w:pStyle w:val="Vir"/>
      </w:pPr>
      <w:r w:rsidRPr="00934519">
        <w:t>Vir: Ministrstvo za finance</w:t>
      </w:r>
    </w:p>
    <w:p w14:paraId="1056F624" w14:textId="77777777" w:rsidR="0016190C" w:rsidRPr="005F0DF2" w:rsidRDefault="0016190C" w:rsidP="0016190C">
      <w:pPr>
        <w:pStyle w:val="Naslov2"/>
      </w:pPr>
      <w:r w:rsidRPr="005F0DF2">
        <w:t xml:space="preserve">Uvrstitev novega projekta 2571-24-0006 »Povezovanje digitalnega satelitskega opazovanja z ekološkim stanjem za boljše razumevanje z vodo povezanega prilagajanja podnebnim spremembam in preprečevanje tveganj v alpski regiji - </w:t>
      </w:r>
      <w:proofErr w:type="spellStart"/>
      <w:r w:rsidRPr="005F0DF2">
        <w:t>DiMark</w:t>
      </w:r>
      <w:proofErr w:type="spellEnd"/>
      <w:r w:rsidRPr="005F0DF2">
        <w:t>« v veljavni načrt razvojnih programov 2024 – 2027</w:t>
      </w:r>
    </w:p>
    <w:p w14:paraId="3571517F" w14:textId="77777777" w:rsidR="0016190C" w:rsidRPr="001A24E3" w:rsidRDefault="0016190C" w:rsidP="0016190C">
      <w:r w:rsidRPr="001A24E3">
        <w:rPr>
          <w:iCs/>
          <w:lang w:eastAsia="sl-SI"/>
        </w:rPr>
        <w:t>Vlada je sprejela Sklep, da se v</w:t>
      </w:r>
      <w:r w:rsidRPr="001A24E3">
        <w:rPr>
          <w:shd w:val="clear" w:color="auto" w:fill="FFFFFF"/>
        </w:rPr>
        <w:t xml:space="preserve"> veljavni načrt razvojnih programov 2024-2027 uvrsti nov projekt 2571-24-0006 z nazivom »Povezovanje digitalnega satelitskega opazovanja z ekološkim stanjem za boljše razumevanje z vodo povezanega prilagajanja podnebnim spremembam in preprečevanje tveganj v alpski regiji - </w:t>
      </w:r>
      <w:proofErr w:type="spellStart"/>
      <w:r w:rsidRPr="001A24E3">
        <w:rPr>
          <w:shd w:val="clear" w:color="auto" w:fill="FFFFFF"/>
        </w:rPr>
        <w:t>DiMark</w:t>
      </w:r>
      <w:proofErr w:type="spellEnd"/>
      <w:r w:rsidRPr="001A24E3">
        <w:rPr>
          <w:shd w:val="clear" w:color="auto" w:fill="FFFFFF"/>
        </w:rPr>
        <w:t>«</w:t>
      </w:r>
      <w:r w:rsidRPr="001A24E3">
        <w:t>.</w:t>
      </w:r>
    </w:p>
    <w:p w14:paraId="57504097" w14:textId="77777777" w:rsidR="0016190C" w:rsidRPr="001A24E3" w:rsidRDefault="0016190C" w:rsidP="0016190C"/>
    <w:p w14:paraId="3CCAB753" w14:textId="77777777" w:rsidR="0016190C" w:rsidRPr="001A24E3" w:rsidRDefault="0016190C" w:rsidP="0016190C">
      <w:r w:rsidRPr="001A24E3">
        <w:t xml:space="preserve">Projekt </w:t>
      </w:r>
      <w:proofErr w:type="spellStart"/>
      <w:r w:rsidRPr="001A24E3">
        <w:t>DiMark</w:t>
      </w:r>
      <w:proofErr w:type="spellEnd"/>
      <w:r w:rsidRPr="001A24E3">
        <w:t xml:space="preserve"> je namenjen dopolnitvi ocenjevanja ekološkega stanja jezer in zadrževalnikov z novimi metodami zaznavanja primarnih proizvajalcev na osnovi sladkovodnih markerjev s pomočjo </w:t>
      </w:r>
      <w:r w:rsidRPr="001A24E3">
        <w:lastRenderedPageBreak/>
        <w:t>daljinskega opazovanja Zemlje, kar bo prispevalo bolj natančne ocene ekološkega stanja in s tem v izboljšanem upravljanju z jezeri in zadrževalniki. Projekt bo omogočal zmanjšanje tveganja za zdravje vodnih ekosistemov in s tem za zdravje ljudi s pomočjo specifičnega sistema za zgodnje odkrivanje in opozarjanje na prisotnost toksigenih cianobakterij.</w:t>
      </w:r>
    </w:p>
    <w:p w14:paraId="47E7B628" w14:textId="77777777" w:rsidR="0016190C" w:rsidRPr="001A24E3" w:rsidRDefault="0016190C" w:rsidP="0016190C"/>
    <w:p w14:paraId="0C49D7F5" w14:textId="07B2671C" w:rsidR="0016190C" w:rsidRPr="00462EAC" w:rsidRDefault="0016190C" w:rsidP="0016190C">
      <w:pPr>
        <w:rPr>
          <w:rFonts w:eastAsia="Roboto-Regular"/>
        </w:rPr>
      </w:pPr>
      <w:r w:rsidRPr="001A24E3">
        <w:rPr>
          <w:rFonts w:eastAsia="Roboto-Regular"/>
        </w:rPr>
        <w:t>Triletni projekt se bo financiral v okviru Programa transnacionalnega sodelovanja Interreg Območje Alp za obdobje 2021-2027. Za projekt so namenjena finančna sredstva v višini 2.342.224,00 EUR. Od tega 67,92 % financira Evropska unija in 32,08 % države članice in Švica. Projektni proračun ARSO znaša 191.000 EUR (od tega lahko največ 143.250,00 EUR financira EU, preostanek so proračunska sredstva). Projekt se bo začel izvajati 1. 9. 2024, končal pa se bo 31. 8. 2027.</w:t>
      </w:r>
    </w:p>
    <w:p w14:paraId="07241CAE" w14:textId="007C046C" w:rsidR="0016190C" w:rsidRPr="00F4459D" w:rsidRDefault="0016190C" w:rsidP="00462EAC">
      <w:pPr>
        <w:pStyle w:val="Vir"/>
      </w:pPr>
      <w:r>
        <w:t>Vir: Ministrstvo za okolje, podnebje in energijo</w:t>
      </w:r>
    </w:p>
    <w:p w14:paraId="12414744" w14:textId="6BDCAAD2" w:rsidR="00153007" w:rsidRPr="00153007" w:rsidRDefault="00153007" w:rsidP="00153007">
      <w:pPr>
        <w:pStyle w:val="Naslov2"/>
      </w:pPr>
      <w:r w:rsidRPr="00153007">
        <w:t>V Načrt razvojnih programov za obdobje 2024-2027 uvrščena ureditev prostorov in nabava opreme v Zdravstvenem domu Kamnik</w:t>
      </w:r>
    </w:p>
    <w:p w14:paraId="5BE1DB9A" w14:textId="77777777" w:rsidR="00153007" w:rsidRPr="00153007" w:rsidRDefault="00153007" w:rsidP="00153007">
      <w:pPr>
        <w:rPr>
          <w:color w:val="000000" w:themeColor="text1"/>
        </w:rPr>
      </w:pPr>
      <w:r w:rsidRPr="00153007">
        <w:rPr>
          <w:color w:val="000000" w:themeColor="text1"/>
        </w:rPr>
        <w:t>V Načrt razvojnih programov za obdobje 2024-2027 se je uvrstil nov projekt Ureditev prostorov in nabava opreme v Zdravstvenem domu Kamnik.</w:t>
      </w:r>
    </w:p>
    <w:p w14:paraId="2B7F6A8A" w14:textId="77777777" w:rsidR="00462EAC" w:rsidRDefault="00462EAC" w:rsidP="00153007">
      <w:pPr>
        <w:rPr>
          <w:color w:val="000000" w:themeColor="text1"/>
        </w:rPr>
      </w:pPr>
    </w:p>
    <w:p w14:paraId="02B27B4A" w14:textId="30C25D3B" w:rsidR="00153007" w:rsidRPr="00153007" w:rsidRDefault="00153007" w:rsidP="00153007">
      <w:pPr>
        <w:rPr>
          <w:color w:val="000000" w:themeColor="text1"/>
        </w:rPr>
      </w:pPr>
      <w:r w:rsidRPr="00153007">
        <w:rPr>
          <w:color w:val="000000" w:themeColor="text1"/>
        </w:rPr>
        <w:t>V sklopu projekta se bo izvedla izdelava podstrešja za potrebe patronažne službe in psihologa, ureditev dveh novih prostorov dveh ambulant družinske medicine, zagotovitev ustrezne manjkajoče medicinske opreme obstoječih in novih ordinacij, nakup dveh novih zobozdravstvenih terapevtskih stolov in sterilizatorja, nakup rentgenskega aparata, nakup elektrokardiografa (EKG), nakup ultrazvoka, nakup reševalnega vozila ter nakup novih vozil za patronažno službo.</w:t>
      </w:r>
    </w:p>
    <w:p w14:paraId="3E619AF2" w14:textId="77777777" w:rsidR="00462EAC" w:rsidRDefault="00462EAC" w:rsidP="00153007">
      <w:pPr>
        <w:rPr>
          <w:color w:val="000000" w:themeColor="text1"/>
        </w:rPr>
      </w:pPr>
    </w:p>
    <w:p w14:paraId="238FA5E2" w14:textId="522707C3" w:rsidR="00153007" w:rsidRPr="00153007" w:rsidRDefault="00153007" w:rsidP="00153007">
      <w:pPr>
        <w:rPr>
          <w:color w:val="000000" w:themeColor="text1"/>
        </w:rPr>
      </w:pPr>
      <w:r w:rsidRPr="00153007">
        <w:rPr>
          <w:color w:val="000000" w:themeColor="text1"/>
        </w:rPr>
        <w:t>Ocenjena vrednost investicije znaša 1.948.212 evrov z davkom na dodano vrednost (DDV), od tega bo 1.060.503,69 evra z DDV zagotovil Urad za nadzor, kakovost in investicije v zdravstvu.</w:t>
      </w:r>
    </w:p>
    <w:p w14:paraId="2B90F4D1" w14:textId="2F1B998E" w:rsidR="00660E38" w:rsidRPr="00153007" w:rsidRDefault="00153007" w:rsidP="00153007">
      <w:pPr>
        <w:pStyle w:val="Vir"/>
      </w:pPr>
      <w:r w:rsidRPr="00153007">
        <w:t>Vir: Ministrstvo za zdravje</w:t>
      </w:r>
    </w:p>
    <w:p w14:paraId="09AA05FD" w14:textId="58F812B4" w:rsidR="00476250" w:rsidRPr="00476250" w:rsidRDefault="00476250" w:rsidP="00476250">
      <w:pPr>
        <w:pStyle w:val="Naslov2"/>
      </w:pPr>
      <w:r w:rsidRPr="00476250">
        <w:t>Poročilo o delu Sveta Vlade RS za vprašanja narodnih skupnosti pripadnikov narodov nekdanje SFRJ v Republiki Sloveniji v letu 2023</w:t>
      </w:r>
    </w:p>
    <w:p w14:paraId="5A23594B" w14:textId="77777777" w:rsidR="00476250" w:rsidRPr="00476250" w:rsidRDefault="00476250" w:rsidP="00476250">
      <w:pPr>
        <w:rPr>
          <w:color w:val="000000" w:themeColor="text1"/>
        </w:rPr>
      </w:pPr>
      <w:r w:rsidRPr="00476250">
        <w:rPr>
          <w:color w:val="000000" w:themeColor="text1"/>
        </w:rPr>
        <w:t xml:space="preserve">Skladno s 5. točko iz III. Sklepa o ustanovitvi Sveta Vlade RS za vprašanja narodnih skupnosti pripadnikov narodov nekdanje SFRJ v RS z dne 9. 12. 2021 Svet pripravlja poročila o svojem delu, s katerimi enkrat letno seznanja Vlado RS in Državni zbor RS o svojem delovanju. Svet je posvetovalno telo Vlade RS o zadevah s področja položaja narodnih skupnosti pripadnikov narodov nekdanje SFRJ v RS in zadevno poročilo zajema opis oz. obrazložitev glavnih aktivnosti v zvezi z njegovo ustanovitvijo in delovanjem v letu 2023. </w:t>
      </w:r>
    </w:p>
    <w:p w14:paraId="19258AE2" w14:textId="77777777" w:rsidR="00476250" w:rsidRPr="00476250" w:rsidRDefault="00476250" w:rsidP="00476250">
      <w:pPr>
        <w:rPr>
          <w:color w:val="000000" w:themeColor="text1"/>
        </w:rPr>
      </w:pPr>
    </w:p>
    <w:p w14:paraId="504DC483" w14:textId="77777777" w:rsidR="00476250" w:rsidRPr="00476250" w:rsidRDefault="00476250" w:rsidP="00476250">
      <w:pPr>
        <w:rPr>
          <w:color w:val="000000" w:themeColor="text1"/>
        </w:rPr>
      </w:pPr>
      <w:r w:rsidRPr="00476250">
        <w:rPr>
          <w:color w:val="000000" w:themeColor="text1"/>
        </w:rPr>
        <w:t>Svet se je v letu 2023 sestal na dveh rednih sejah (ena podaljšana), enkrat pa tudi izredno na dopisni seji, namenjeni potrditvi poročila o delu za leto 2022 (izvedena med 21. - 23. 2. 2023).</w:t>
      </w:r>
    </w:p>
    <w:p w14:paraId="5278A936" w14:textId="77777777" w:rsidR="00476250" w:rsidRPr="00476250" w:rsidRDefault="00476250" w:rsidP="00476250">
      <w:pPr>
        <w:rPr>
          <w:color w:val="000000" w:themeColor="text1"/>
        </w:rPr>
      </w:pPr>
      <w:r w:rsidRPr="00476250">
        <w:rPr>
          <w:color w:val="000000" w:themeColor="text1"/>
        </w:rPr>
        <w:t>Na prvi redni seji so se člani Sveta seznanili z dogajanjem v zvezi z oddajo »</w:t>
      </w:r>
      <w:proofErr w:type="spellStart"/>
      <w:r w:rsidRPr="00476250">
        <w:rPr>
          <w:color w:val="000000" w:themeColor="text1"/>
        </w:rPr>
        <w:t>NaGlas</w:t>
      </w:r>
      <w:proofErr w:type="spellEnd"/>
      <w:r w:rsidRPr="00476250">
        <w:rPr>
          <w:color w:val="000000" w:themeColor="text1"/>
        </w:rPr>
        <w:t>!« in bili mnenja, da bo brez vnaprejšnjih obvestil prekinjeno sodelovanje s honorarnimi novinarkami te oddaje vplivalo na zmanjšanje njene kakovosti. S svojim stališčem so seznanili Vlado RS in pozvali vodstvo RTV Slovenija k zagotovitvi pogojev za ohranitev te edine, njim namenjene televizijske oddaje v predvidenem obsegu tudi v prihodnje. Nadalje so člani vladi predlagali, da preuči možnosti za izboljšanje položaja pripadnikov narodov nekdanje SFRJ v RS. Svet je sodelujočim ministrstvom v Svetu tudi predlagal, da pregledajo možnosti izboljšanja razpisnih in drugih podpornih mehanizmov na svojih resorjih.</w:t>
      </w:r>
    </w:p>
    <w:p w14:paraId="4FC741C7" w14:textId="77777777" w:rsidR="00DB14B1" w:rsidRDefault="00DB14B1" w:rsidP="00476250">
      <w:pPr>
        <w:rPr>
          <w:color w:val="000000" w:themeColor="text1"/>
        </w:rPr>
      </w:pPr>
    </w:p>
    <w:p w14:paraId="78582B50" w14:textId="3FF25C2F" w:rsidR="00476250" w:rsidRPr="00476250" w:rsidRDefault="00476250" w:rsidP="00476250">
      <w:pPr>
        <w:rPr>
          <w:color w:val="000000" w:themeColor="text1"/>
        </w:rPr>
      </w:pPr>
      <w:r w:rsidRPr="00476250">
        <w:rPr>
          <w:color w:val="000000" w:themeColor="text1"/>
        </w:rPr>
        <w:t xml:space="preserve">Na drugi seji je bil članom predstavljen Zakon o tujcih. Člani so se seznanil z njegovimi spremembami in s temami spremljajoče zakonodaje, ki zadevajo področje tujcev in katerih poznavanje je pomembno </w:t>
      </w:r>
      <w:r w:rsidRPr="00476250">
        <w:rPr>
          <w:color w:val="000000" w:themeColor="text1"/>
        </w:rPr>
        <w:lastRenderedPageBreak/>
        <w:t xml:space="preserve">tudi za pripadnike albanske, bošnjaške, hrvaške, makedonske, črnogorske ter srbske narodne skupnosti v RS. Svet je kot pozitivno sprejel na znanje tudi pripravo Zakona o uresničevanju kulturnih pravic pripadnikov narodov nekdanje Jugoslavije in seznanitev z njim uvrstil na dnevni red prihodnje seje v letu 2024. </w:t>
      </w:r>
    </w:p>
    <w:p w14:paraId="58D6E687" w14:textId="2A35DDDE" w:rsidR="00660E38" w:rsidRPr="00476250" w:rsidRDefault="00476250" w:rsidP="00476250">
      <w:pPr>
        <w:pStyle w:val="Vir"/>
      </w:pPr>
      <w:r w:rsidRPr="00476250">
        <w:t>Vir: Ministrstvo za kultur</w:t>
      </w:r>
      <w:r>
        <w:t>o</w:t>
      </w:r>
    </w:p>
    <w:p w14:paraId="3B7D815A" w14:textId="4B3A6FE5" w:rsidR="00E23208" w:rsidRPr="00E23208" w:rsidRDefault="00E23208" w:rsidP="00E23208">
      <w:pPr>
        <w:pStyle w:val="Naslov2"/>
      </w:pPr>
      <w:r w:rsidRPr="00E23208">
        <w:t xml:space="preserve">Predlog mnenja o pobudi za začetek postopka za oceno ustavnosti </w:t>
      </w:r>
      <w:proofErr w:type="spellStart"/>
      <w:r w:rsidRPr="00E23208">
        <w:t>41.a</w:t>
      </w:r>
      <w:proofErr w:type="spellEnd"/>
      <w:r w:rsidRPr="00E23208">
        <w:t xml:space="preserve"> člena Zakona o socialnem varstvu</w:t>
      </w:r>
    </w:p>
    <w:p w14:paraId="030C0332" w14:textId="72511612" w:rsidR="00E23208" w:rsidRPr="00E23208" w:rsidRDefault="00E23208" w:rsidP="00E23208">
      <w:pPr>
        <w:rPr>
          <w:color w:val="000000" w:themeColor="text1"/>
        </w:rPr>
      </w:pPr>
      <w:r w:rsidRPr="00E23208">
        <w:rPr>
          <w:color w:val="000000" w:themeColor="text1"/>
        </w:rPr>
        <w:t xml:space="preserve">Ministrstvo za solidarno prihodnost je podalo mnenje o pobudi za začetek postopka za oceno ustavnosti </w:t>
      </w:r>
      <w:proofErr w:type="spellStart"/>
      <w:r w:rsidRPr="00E23208">
        <w:rPr>
          <w:color w:val="000000" w:themeColor="text1"/>
        </w:rPr>
        <w:t>41.a</w:t>
      </w:r>
      <w:proofErr w:type="spellEnd"/>
      <w:r w:rsidRPr="00E23208">
        <w:rPr>
          <w:color w:val="000000" w:themeColor="text1"/>
        </w:rPr>
        <w:t xml:space="preserve"> člena Zakona o socialnem varstvu, ki določa, da je dejavnost socialnega varstva nepridobitna. Omenjeni člen zakona je po mnenju pobudnika v neskladju s 74. členom Ustave Republike Slovenije (svobodna gospodarska pobuda) in 14. členom (enakost pred zakonom). Kot je poudarilo ministrstvo, je pravica do socialne varnosti, pravica invalidov in pravica otrok z motnjami v telesnem ali duševnem razvoju do posebnega varstva ustavno zagotovljena (50. in 52. člen Ustave RS), zato mora ostati tudi vsem enako dostopna. Namen in cilj delovanja socialnovarstvenih zavodov ni pridobivanje dobička, ampak zagotavljanje dejavnosti socialnega varstva, poudarjajo na ministrstvu za solidarno prihodnost, kjer dodajajo, da bi se z uvajanjem pridobitnosti na področju zahteva po enaki dostopnosti začela spodkopavati.«</w:t>
      </w:r>
    </w:p>
    <w:p w14:paraId="21DBAD30" w14:textId="4B205291" w:rsidR="00660E38" w:rsidRPr="00E23208" w:rsidRDefault="00E23208" w:rsidP="00E23208">
      <w:pPr>
        <w:pStyle w:val="Vir"/>
      </w:pPr>
      <w:r w:rsidRPr="00E23208">
        <w:t>Vir: Ministrstvo za solidarno prihodnost</w:t>
      </w:r>
    </w:p>
    <w:p w14:paraId="4BAC45AC" w14:textId="77777777" w:rsidR="0016190C" w:rsidRPr="000F475B" w:rsidRDefault="0016190C" w:rsidP="0016190C">
      <w:pPr>
        <w:pStyle w:val="Naslov2"/>
      </w:pPr>
      <w:r w:rsidRPr="000F475B">
        <w:t xml:space="preserve">Predlog odgovora Republike Slovenije na uradni opomin Evropske komisije zaradi neizpolnitve obveznosti iz </w:t>
      </w:r>
      <w:r w:rsidRPr="000F475B">
        <w:rPr>
          <w:shd w:val="clear" w:color="auto" w:fill="FFFFFF"/>
        </w:rPr>
        <w:t>drugega pododstavka prvega odstavka 7. člena</w:t>
      </w:r>
      <w:r w:rsidRPr="000F475B">
        <w:t xml:space="preserve"> Direktive 2012/19/EU Evropskega parlamenta in Sveta z dne 4. julija 2012 o odpadni električni in elektronski opremi (OEEO) </w:t>
      </w:r>
      <w:r w:rsidRPr="000F475B">
        <w:rPr>
          <w:shd w:val="clear" w:color="auto" w:fill="FFFFFF"/>
        </w:rPr>
        <w:t>v povezavi s točko a tretjega odstavka 7. člena te direktive</w:t>
      </w:r>
      <w:r w:rsidRPr="000F475B">
        <w:t xml:space="preserve"> (kršitev št. INFR(2024)2127)</w:t>
      </w:r>
    </w:p>
    <w:p w14:paraId="55359871" w14:textId="418202A4" w:rsidR="0016190C" w:rsidRPr="00462EAC" w:rsidRDefault="0016190C" w:rsidP="0016190C">
      <w:pPr>
        <w:rPr>
          <w:rFonts w:cs="Arial"/>
          <w:color w:val="FF0000"/>
          <w:szCs w:val="20"/>
        </w:rPr>
      </w:pPr>
      <w:r>
        <w:t xml:space="preserve">Vlada je sprejela odgovor Republike Slovenije v predsodnem postopku na uradni opomin Evropske komisije št. C(2024)4090 </w:t>
      </w:r>
      <w:proofErr w:type="spellStart"/>
      <w:r>
        <w:t>final</w:t>
      </w:r>
      <w:proofErr w:type="spellEnd"/>
      <w:r>
        <w:t xml:space="preserve"> z dne 25. 7. 2024 zaradi </w:t>
      </w:r>
      <w:r>
        <w:rPr>
          <w:rFonts w:cs="Arial"/>
          <w:szCs w:val="20"/>
        </w:rPr>
        <w:t xml:space="preserve">neizpolnitve obveznosti iz </w:t>
      </w:r>
      <w:r>
        <w:rPr>
          <w:rFonts w:cs="Arial"/>
          <w:szCs w:val="20"/>
          <w:shd w:val="clear" w:color="auto" w:fill="FFFFFF"/>
        </w:rPr>
        <w:t>drugega pododstavka prvega odstavka 7. člena</w:t>
      </w:r>
      <w:r>
        <w:rPr>
          <w:rFonts w:cs="Arial"/>
          <w:szCs w:val="20"/>
        </w:rPr>
        <w:t xml:space="preserve"> Direktive 2012/19/EU Evropskega parlamenta in Sveta z dne 4. julija 2012 o odpadni električni in elektronski opremi (OEEO) </w:t>
      </w:r>
      <w:r>
        <w:rPr>
          <w:rFonts w:cs="Arial"/>
          <w:szCs w:val="20"/>
          <w:shd w:val="clear" w:color="auto" w:fill="FFFFFF"/>
        </w:rPr>
        <w:t>v povezavi s točko a tretjega odstavka 7. člena te direktive</w:t>
      </w:r>
      <w:r>
        <w:t xml:space="preserve"> (kršitev št. INFR(2024)2127). V odgovoru opozarja, da je Republika Slovenija že ob </w:t>
      </w:r>
      <w:r>
        <w:rPr>
          <w:rFonts w:cs="Arial"/>
          <w:szCs w:val="20"/>
        </w:rPr>
        <w:t xml:space="preserve">postopku prenove Direktive 2002/96/ES Evropskega parlamenta in Sveta z dne 23. januarja 2003 o odpadni električni in elektronski opremi (OEEO) (v nadaljnjem besedilu: Direktiva 2002/96/ES) z nekaterimi drugimi državami članicami opozarjala na izziv doseganja novega cilja ločenega zbiranja OEEO, </w:t>
      </w:r>
      <w:r w:rsidRPr="00323A25">
        <w:rPr>
          <w:rFonts w:cs="Arial"/>
          <w:szCs w:val="20"/>
        </w:rPr>
        <w:t>predstavlja</w:t>
      </w:r>
      <w:r>
        <w:rPr>
          <w:rFonts w:cs="Arial"/>
          <w:szCs w:val="20"/>
        </w:rPr>
        <w:t xml:space="preserve">  delovanje </w:t>
      </w:r>
      <w:r w:rsidRPr="00323A25">
        <w:rPr>
          <w:rFonts w:cs="Arial"/>
          <w:szCs w:val="20"/>
        </w:rPr>
        <w:t>sistema ločenega zbiranja OEEO in količin zbrane OEEO</w:t>
      </w:r>
      <w:r>
        <w:rPr>
          <w:rFonts w:cs="Arial"/>
          <w:szCs w:val="20"/>
        </w:rPr>
        <w:t xml:space="preserve"> v Sloveniji ter navaja </w:t>
      </w:r>
      <w:r w:rsidRPr="00323A25">
        <w:rPr>
          <w:rFonts w:cs="Arial"/>
          <w:szCs w:val="20"/>
        </w:rPr>
        <w:t>načrtovan</w:t>
      </w:r>
      <w:r>
        <w:rPr>
          <w:rFonts w:cs="Arial"/>
          <w:szCs w:val="20"/>
        </w:rPr>
        <w:t xml:space="preserve">e </w:t>
      </w:r>
      <w:r w:rsidRPr="00323A25">
        <w:rPr>
          <w:rFonts w:cs="Arial"/>
          <w:szCs w:val="20"/>
        </w:rPr>
        <w:t>dodatn</w:t>
      </w:r>
      <w:r>
        <w:rPr>
          <w:rFonts w:cs="Arial"/>
          <w:szCs w:val="20"/>
        </w:rPr>
        <w:t xml:space="preserve">e </w:t>
      </w:r>
      <w:r w:rsidRPr="00323A25">
        <w:rPr>
          <w:rFonts w:cs="Arial"/>
          <w:szCs w:val="20"/>
        </w:rPr>
        <w:t>ukrep</w:t>
      </w:r>
      <w:r>
        <w:rPr>
          <w:rFonts w:cs="Arial"/>
          <w:szCs w:val="20"/>
        </w:rPr>
        <w:t xml:space="preserve">e za dosego cilja predpisane stopnje ločenega zbiranja in rast količin zbrane OEEO. </w:t>
      </w:r>
    </w:p>
    <w:p w14:paraId="1DB274DC" w14:textId="6E71058A" w:rsidR="00660E38" w:rsidRPr="00462EAC" w:rsidRDefault="0016190C" w:rsidP="00462EAC">
      <w:pPr>
        <w:pStyle w:val="Vir"/>
      </w:pPr>
      <w:r>
        <w:t>Vir: Ministrstvo za okolje, podnebje in energijo</w:t>
      </w:r>
    </w:p>
    <w:p w14:paraId="6F1B857A" w14:textId="77777777" w:rsidR="0016190C" w:rsidRPr="005762FE" w:rsidRDefault="0016190C" w:rsidP="0016190C">
      <w:pPr>
        <w:pStyle w:val="Naslov2"/>
      </w:pPr>
      <w:r>
        <w:t>Predlog o</w:t>
      </w:r>
      <w:r w:rsidRPr="005762FE">
        <w:t>dgovor</w:t>
      </w:r>
      <w:r>
        <w:t>a</w:t>
      </w:r>
      <w:r w:rsidRPr="005762FE">
        <w:t xml:space="preserve"> Republike Slovenije na uradni opomin Evropske komisije zaradi </w:t>
      </w:r>
      <w:proofErr w:type="spellStart"/>
      <w:r w:rsidRPr="005762FE">
        <w:t>nenotifikacije</w:t>
      </w:r>
      <w:proofErr w:type="spellEnd"/>
      <w:r w:rsidRPr="005762FE">
        <w:t xml:space="preserve"> predpisov za prenos Direktive (EU) 2023/959 Evropskega parlamenta in Sveta z dne 10. maja 2023 o spremembi Direktive 2003/87/ES o vzpostavitvi sistema za trgovanje s pravicami do emisije toplogrednih plinov v Uniji ter Sklepa (EU) 2015/1814 o vzpostavitvi in delovanju rezerve za stabilnost trga za sistem Unije za trgovanje z emisijami toplogrednih plinov v pravni red Republike Slovenije (kršitev št. INFR(2024)0203) </w:t>
      </w:r>
    </w:p>
    <w:p w14:paraId="762F19DB" w14:textId="00EE7EE4" w:rsidR="0016190C" w:rsidRPr="00462EAC" w:rsidRDefault="0016190C" w:rsidP="00462EAC">
      <w:pPr>
        <w:rPr>
          <w:rFonts w:cs="Arial"/>
          <w:szCs w:val="20"/>
        </w:rPr>
      </w:pPr>
      <w:r>
        <w:t xml:space="preserve">Vlada je sprejela odgovor Republike Slovenije v predsodnem postopku na uradni opomin Evropske komisije št. C(2024) 5500/25 z dne 24. 7. 2024 zaradi </w:t>
      </w:r>
      <w:proofErr w:type="spellStart"/>
      <w:r>
        <w:t>nenotifikacije</w:t>
      </w:r>
      <w:proofErr w:type="spellEnd"/>
      <w:r>
        <w:t xml:space="preserve"> predpisov za prenos Direktive (EU) 2023/959 Evropskega parlamenta in Sveta z dne 10. maja 2023 o spremembi Direktive 2003/87/ES o vzpostavitvi sistema za trgovanje s pravicami do emisije toplogrednih plinov v Uniji ter </w:t>
      </w:r>
      <w:r>
        <w:lastRenderedPageBreak/>
        <w:t xml:space="preserve">Sklepa (EU) 2015/1814 o vzpostavitvi in delovanju rezerve za stabilnost trga za sistem Unije za trgovanje z emisijami toplogrednih plinov v pravni red Republike Slovenije (kršitev št. INFR(2024)0203). V odgovoru Vlada pojasnjujem, da bo </w:t>
      </w:r>
      <w:r>
        <w:rPr>
          <w:rFonts w:cs="Arial"/>
          <w:szCs w:val="20"/>
        </w:rPr>
        <w:t xml:space="preserve">Republika Slovenija Direktivo </w:t>
      </w:r>
      <w:bookmarkStart w:id="3" w:name="_Hlk174542264"/>
      <w:r>
        <w:rPr>
          <w:rFonts w:cs="Arial"/>
          <w:szCs w:val="20"/>
        </w:rPr>
        <w:t>2023/959/EU</w:t>
      </w:r>
      <w:bookmarkEnd w:id="3"/>
      <w:r>
        <w:rPr>
          <w:rFonts w:cs="Arial"/>
          <w:szCs w:val="20"/>
        </w:rPr>
        <w:t xml:space="preserve"> dokončno prenesla v nacionalni pravni red s sprejetjem Podnebnega zakona.</w:t>
      </w:r>
    </w:p>
    <w:p w14:paraId="0B08FB2E" w14:textId="588698C4" w:rsidR="00660E38" w:rsidRPr="00462EAC" w:rsidRDefault="00660E38" w:rsidP="00462EAC">
      <w:pPr>
        <w:pStyle w:val="Vir"/>
      </w:pPr>
      <w:r w:rsidRPr="00660E38">
        <w:rPr>
          <w:color w:val="FF0000"/>
        </w:rPr>
        <w:t xml:space="preserve"> </w:t>
      </w:r>
      <w:r w:rsidR="0016190C">
        <w:t>Vir: Ministrstvo za okolje, podnebje in energijo</w:t>
      </w:r>
    </w:p>
    <w:p w14:paraId="5D7E6AAA" w14:textId="5ECF7BAE" w:rsidR="00F5252C" w:rsidRPr="00F5252C" w:rsidRDefault="00F5252C" w:rsidP="00F5252C">
      <w:pPr>
        <w:pStyle w:val="Naslov2"/>
      </w:pPr>
      <w:r w:rsidRPr="00F5252C">
        <w:t xml:space="preserve">Vlada sprejela odgovor na mnenje Evropske komisije zaradi </w:t>
      </w:r>
      <w:proofErr w:type="spellStart"/>
      <w:r w:rsidRPr="00F5252C">
        <w:t>nenotifikacije</w:t>
      </w:r>
      <w:proofErr w:type="spellEnd"/>
      <w:r w:rsidRPr="00F5252C">
        <w:t xml:space="preserve"> predpisov za prenos Direktive (EU) 2019/882 </w:t>
      </w:r>
    </w:p>
    <w:p w14:paraId="63F94742" w14:textId="77777777" w:rsidR="00F5252C" w:rsidRPr="00F5252C" w:rsidRDefault="00F5252C" w:rsidP="00F5252C">
      <w:pPr>
        <w:rPr>
          <w:color w:val="000000" w:themeColor="text1"/>
        </w:rPr>
      </w:pPr>
      <w:r w:rsidRPr="00F5252C">
        <w:rPr>
          <w:color w:val="000000" w:themeColor="text1"/>
        </w:rPr>
        <w:t xml:space="preserve">Vlada je sprejela odgovor Republike Slovenije v predsodnem postopku na obrazloženo mnenje Evropske komisije zaradi </w:t>
      </w:r>
      <w:proofErr w:type="spellStart"/>
      <w:r w:rsidRPr="00F5252C">
        <w:rPr>
          <w:color w:val="000000" w:themeColor="text1"/>
        </w:rPr>
        <w:t>nenotifikacije</w:t>
      </w:r>
      <w:proofErr w:type="spellEnd"/>
      <w:r w:rsidRPr="00F5252C">
        <w:rPr>
          <w:color w:val="000000" w:themeColor="text1"/>
        </w:rPr>
        <w:t xml:space="preserve"> predpisov za prenos Direktive (EU) 2019/882 (direktiva) Evropskega parlamenta in Sveta z dne 17. aprila 2019 o zahtevah glede dostopnosti za proizvode in storitve v pravni red Republike Slovenije.</w:t>
      </w:r>
    </w:p>
    <w:p w14:paraId="355FC731" w14:textId="433CD3BB" w:rsidR="00F5252C" w:rsidRPr="00F5252C" w:rsidRDefault="00F5252C" w:rsidP="00F5252C">
      <w:pPr>
        <w:rPr>
          <w:color w:val="000000" w:themeColor="text1"/>
        </w:rPr>
      </w:pPr>
    </w:p>
    <w:p w14:paraId="0D67D88A" w14:textId="28A2D095" w:rsidR="00F5252C" w:rsidRPr="00F5252C" w:rsidRDefault="00F5252C" w:rsidP="00F5252C">
      <w:pPr>
        <w:rPr>
          <w:color w:val="000000" w:themeColor="text1"/>
        </w:rPr>
      </w:pPr>
      <w:r w:rsidRPr="00F5252C">
        <w:rPr>
          <w:color w:val="000000" w:themeColor="text1"/>
        </w:rPr>
        <w:t xml:space="preserve">Republika Slovenija je direktivo delno že prenesla v pravni red Republike Slovenije z naslednjimi predpisi: Zakonom o dostopnosti proizvodov in storitev za invalide, Pravilnikom o merilih za oceno nesorazmernega bremena in Pravilnikom o dostopnosti proizvodov za invalide, o označevanju in postopku ugotavljanja skladnosti. Vsi navedeni predpisi so že bili ustrezno notificirani, in sicer z vnosom vseh relevantnih podatkov in objavljenih besedil v elektronsko </w:t>
      </w:r>
      <w:proofErr w:type="spellStart"/>
      <w:r w:rsidRPr="00F5252C">
        <w:rPr>
          <w:color w:val="000000" w:themeColor="text1"/>
        </w:rPr>
        <w:t>notifikacijsko</w:t>
      </w:r>
      <w:proofErr w:type="spellEnd"/>
      <w:r w:rsidRPr="00F5252C">
        <w:rPr>
          <w:color w:val="000000" w:themeColor="text1"/>
        </w:rPr>
        <w:t xml:space="preserve"> bazo THEMIS Evropske komisije. Kot pojasnjuje vlada v odgovoru, bodo določbe direktive dokončno prenesene v slovenski pravni red s sprejemom Pravilnika o podrobnejših pogojih glede dostopnosti storitev, ki invalidom zagotavljajo dostop do avdiovizualnih medijskih storitev.</w:t>
      </w:r>
    </w:p>
    <w:p w14:paraId="1B835A8A" w14:textId="7A492D8E" w:rsidR="00660E38" w:rsidRPr="00F5252C" w:rsidRDefault="00F5252C" w:rsidP="00F5252C">
      <w:pPr>
        <w:pStyle w:val="Vir"/>
      </w:pPr>
      <w:r w:rsidRPr="00F5252C">
        <w:t>Vir: Ministrstvo za delo, družino, socialne zadeve in enake možnosti</w:t>
      </w:r>
    </w:p>
    <w:p w14:paraId="329B6E9F" w14:textId="58C8AE7B" w:rsidR="00773DAF" w:rsidRPr="00773DAF" w:rsidRDefault="00773DAF" w:rsidP="00773DAF">
      <w:pPr>
        <w:pStyle w:val="Naslov2"/>
      </w:pPr>
      <w:r w:rsidRPr="00773DAF">
        <w:t>Predlog sklepa Sveta o stališču, ki se v imenu Evropske unije zastopa v Mednarodnem svetu za sladkor v zvezi s podaljšanjem Mednarodnega sporazuma o sladkorju iz leta 1992</w:t>
      </w:r>
    </w:p>
    <w:p w14:paraId="75D48E97" w14:textId="77777777" w:rsidR="00773DAF" w:rsidRPr="00773DAF" w:rsidRDefault="00773DAF" w:rsidP="00773DAF">
      <w:pPr>
        <w:rPr>
          <w:color w:val="000000" w:themeColor="text1"/>
        </w:rPr>
      </w:pPr>
      <w:r w:rsidRPr="00773DAF">
        <w:rPr>
          <w:color w:val="000000" w:themeColor="text1"/>
        </w:rPr>
        <w:t xml:space="preserve">Vlada je sprejela stališče Slovenije glede predloga sklepa Sveta o stališču, ki se v imenu Evropske unije zastopa v Mednarodnem svetu za sladkor v zvezi s podaljšanjem Mednarodnega sporazuma o sladkorju iz leta 1992. Slovenija predlog sklepa podpira. </w:t>
      </w:r>
    </w:p>
    <w:p w14:paraId="04AF7C6C" w14:textId="77777777" w:rsidR="00462EAC" w:rsidRDefault="00462EAC" w:rsidP="00773DAF">
      <w:pPr>
        <w:rPr>
          <w:color w:val="000000" w:themeColor="text1"/>
        </w:rPr>
      </w:pPr>
    </w:p>
    <w:p w14:paraId="766F33FC" w14:textId="3E9F69ED" w:rsidR="00773DAF" w:rsidRPr="00773DAF" w:rsidRDefault="00773DAF" w:rsidP="00773DAF">
      <w:pPr>
        <w:rPr>
          <w:color w:val="000000" w:themeColor="text1"/>
        </w:rPr>
      </w:pPr>
      <w:r w:rsidRPr="00773DAF">
        <w:rPr>
          <w:color w:val="000000" w:themeColor="text1"/>
        </w:rPr>
        <w:t xml:space="preserve">Ta predlog se nanaša na sklep o določitvi stališča, ki naj se v imenu Unije zastopa v Mednarodnem svetu za sladkor (ang. International Sugar </w:t>
      </w:r>
      <w:proofErr w:type="spellStart"/>
      <w:r w:rsidRPr="00773DAF">
        <w:rPr>
          <w:color w:val="000000" w:themeColor="text1"/>
        </w:rPr>
        <w:t>organisation</w:t>
      </w:r>
      <w:proofErr w:type="spellEnd"/>
      <w:r w:rsidRPr="00773DAF">
        <w:rPr>
          <w:color w:val="000000" w:themeColor="text1"/>
        </w:rPr>
        <w:t xml:space="preserve"> – ISO) v zvezi s predvidenim sprejetjem odločitve o podaljšanju Mednarodnega sporazuma o sladkorju iz leta 1992 do 31. decembra 2026.</w:t>
      </w:r>
    </w:p>
    <w:p w14:paraId="232A3193" w14:textId="77777777" w:rsidR="00773DAF" w:rsidRPr="00773DAF" w:rsidRDefault="00773DAF" w:rsidP="00773DAF">
      <w:pPr>
        <w:rPr>
          <w:color w:val="000000" w:themeColor="text1"/>
        </w:rPr>
      </w:pPr>
      <w:r w:rsidRPr="00773DAF">
        <w:rPr>
          <w:color w:val="000000" w:themeColor="text1"/>
        </w:rPr>
        <w:t xml:space="preserve">Sporazum je bil prvotno sklenjen za obdobje treh let do 31. decembra 1995 in se od takrat redno podaljšuje za nadaljnja obdobja dveh let, kot je določeno v členu 45 Sporazuma. Zadnje podaljšanje je bilo sprejeto novembra 2021 in velja do 31. decembra 2024. Mednarodni svet za sladkor se je na 64. zasedanju junija 2024 dogovoril o podaljšanju obdobja, v katerem lahko članice deponirajo svojo listino o sprejetju, do 30. junija 2026, začetek veljavnosti spremenjenega sporazuma pa je bil preložen na 1. januar 2027. Zato se predlaga podaljšanje sedanjega sporazuma za dve leti, tj. do 31. decembra 2026. </w:t>
      </w:r>
    </w:p>
    <w:p w14:paraId="4CE96D2F" w14:textId="77777777" w:rsidR="00DB14B1" w:rsidRDefault="00DB14B1" w:rsidP="00773DAF">
      <w:pPr>
        <w:rPr>
          <w:color w:val="000000" w:themeColor="text1"/>
        </w:rPr>
      </w:pPr>
    </w:p>
    <w:p w14:paraId="7410E23B" w14:textId="25DA9095" w:rsidR="00773DAF" w:rsidRPr="00773DAF" w:rsidRDefault="00773DAF" w:rsidP="00773DAF">
      <w:pPr>
        <w:rPr>
          <w:color w:val="000000" w:themeColor="text1"/>
        </w:rPr>
      </w:pPr>
      <w:r w:rsidRPr="00773DAF">
        <w:rPr>
          <w:color w:val="000000" w:themeColor="text1"/>
        </w:rPr>
        <w:t>Stališče, ki se v imenu Unije zastopa na 65. zasedanju Mednarodnega sveta za sladkor, je, da se glasuje za podaljšanje Mednarodnega sporazuma o sladkorju iz leta 1992 za nadaljnje obdobje dveh let, in sicer od 1. januarja 2025 do 31. decembra 2026.</w:t>
      </w:r>
    </w:p>
    <w:p w14:paraId="66D5B984" w14:textId="521713AE" w:rsidR="00660E38" w:rsidRPr="00773DAF" w:rsidRDefault="00773DAF" w:rsidP="00773DAF">
      <w:pPr>
        <w:pStyle w:val="Vir"/>
      </w:pPr>
      <w:r w:rsidRPr="00773DAF">
        <w:t>Vir: Ministrstvo za kmetijstvo, gozdarstvo in prehrano</w:t>
      </w:r>
    </w:p>
    <w:p w14:paraId="48CEE91F" w14:textId="44A9B2DE" w:rsidR="008203AB" w:rsidRPr="008203AB" w:rsidRDefault="008203AB" w:rsidP="008203AB">
      <w:pPr>
        <w:pStyle w:val="Naslov2"/>
      </w:pPr>
      <w:r w:rsidRPr="008203AB">
        <w:t>Predlog uredbe Sveta o določitvi ribolovnih možnosti za leto 2025 za nekatere staleže rib in skupine staležev rib, ki se uporabljajo v Baltskem morju, ter o spremembi Uredbe glede nekaterih ribolovnih možnosti v drugih vodah</w:t>
      </w:r>
    </w:p>
    <w:p w14:paraId="4EDF12AD" w14:textId="5B44EE1C" w:rsidR="008203AB" w:rsidRDefault="008203AB" w:rsidP="008203AB">
      <w:pPr>
        <w:rPr>
          <w:color w:val="000000" w:themeColor="text1"/>
        </w:rPr>
      </w:pPr>
      <w:r w:rsidRPr="008203AB">
        <w:rPr>
          <w:color w:val="000000" w:themeColor="text1"/>
        </w:rPr>
        <w:lastRenderedPageBreak/>
        <w:t>Vlada je sprejela stališče Slovenije k Predlogu uredbe Sveta o določitvi ribolovnih možnosti za leto 2025 za nekatere staleže rib in skupine staležev rib, ki se uporabljajo v Baltskem morju, ter o spremembi Uredbe glede nekaterih ribolovnih možnosti v drugih vodah. Slovenija predlog uredbe podpira</w:t>
      </w:r>
      <w:r w:rsidR="00462EAC">
        <w:rPr>
          <w:color w:val="000000" w:themeColor="text1"/>
        </w:rPr>
        <w:t>.</w:t>
      </w:r>
    </w:p>
    <w:p w14:paraId="18C708A6" w14:textId="77777777" w:rsidR="00462EAC" w:rsidRPr="008203AB" w:rsidRDefault="00462EAC" w:rsidP="008203AB">
      <w:pPr>
        <w:rPr>
          <w:color w:val="000000" w:themeColor="text1"/>
        </w:rPr>
      </w:pPr>
    </w:p>
    <w:p w14:paraId="4341766E" w14:textId="18791A8D" w:rsidR="008203AB" w:rsidRPr="008203AB" w:rsidRDefault="008203AB" w:rsidP="008203AB">
      <w:pPr>
        <w:rPr>
          <w:color w:val="000000" w:themeColor="text1"/>
        </w:rPr>
      </w:pPr>
      <w:r w:rsidRPr="008203AB">
        <w:rPr>
          <w:color w:val="000000" w:themeColor="text1"/>
        </w:rPr>
        <w:t>Predlog ne zadeva slovenskega ribištva, saj slovenski morski gospodarski ribiči izvajajo ribolov le v severnem Jadranu. Slovenija meni, da je treba pri obravnavi predloga uredbe upoštevati mnenja tistih držav članic, ki jih predlog neposredno zadeva.</w:t>
      </w:r>
    </w:p>
    <w:p w14:paraId="7A905712" w14:textId="029B4268" w:rsidR="00660E38" w:rsidRPr="008203AB" w:rsidRDefault="008203AB" w:rsidP="008203AB">
      <w:pPr>
        <w:pStyle w:val="Vir"/>
      </w:pPr>
      <w:r w:rsidRPr="008203AB">
        <w:t>Vir: Ministrstvo za kmetijstvo, gozdarstvo in prehrano</w:t>
      </w:r>
    </w:p>
    <w:p w14:paraId="7FF1CB9F" w14:textId="2FE4B75A" w:rsidR="00592FEF" w:rsidRPr="00592FEF" w:rsidRDefault="00592FEF" w:rsidP="00592FEF">
      <w:pPr>
        <w:pStyle w:val="Naslov2"/>
      </w:pPr>
      <w:r w:rsidRPr="00592FEF">
        <w:t>Predlogu sklepa Sveta o stališču, ki se v imenu Evropske unije zastopa v Mednarodni organizaciji za trto in vino (OIV)</w:t>
      </w:r>
    </w:p>
    <w:p w14:paraId="17F01930" w14:textId="77777777" w:rsidR="00592FEF" w:rsidRDefault="00592FEF" w:rsidP="00592FEF">
      <w:pPr>
        <w:rPr>
          <w:color w:val="000000" w:themeColor="text1"/>
        </w:rPr>
      </w:pPr>
      <w:r w:rsidRPr="00592FEF">
        <w:rPr>
          <w:color w:val="000000" w:themeColor="text1"/>
        </w:rPr>
        <w:t xml:space="preserve">Vlada je sprejela stališče Republike Slovenije k Predlogu sklepa Sveta o stališču, ki se v imenu Evropske unije zastopa v Mednarodni organizaciji za trto in vino (OIV). Slovenija predlog stališča podpira.  </w:t>
      </w:r>
    </w:p>
    <w:p w14:paraId="6C629033" w14:textId="77777777" w:rsidR="00462EAC" w:rsidRPr="00592FEF" w:rsidRDefault="00462EAC" w:rsidP="00592FEF">
      <w:pPr>
        <w:rPr>
          <w:color w:val="000000" w:themeColor="text1"/>
        </w:rPr>
      </w:pPr>
    </w:p>
    <w:p w14:paraId="7102F471" w14:textId="77777777" w:rsidR="00592FEF" w:rsidRDefault="00592FEF" w:rsidP="00592FEF">
      <w:pPr>
        <w:rPr>
          <w:color w:val="000000" w:themeColor="text1"/>
        </w:rPr>
      </w:pPr>
      <w:r w:rsidRPr="00592FEF">
        <w:rPr>
          <w:color w:val="000000" w:themeColor="text1"/>
        </w:rPr>
        <w:t xml:space="preserve">Ta predlog se nanaša na sklep o določitvi stališča, ki naj se v imenu Unije zastopa na zasedanju generalne skupščine Mednarodne organizacije za trto in vino (ang. International </w:t>
      </w:r>
      <w:proofErr w:type="spellStart"/>
      <w:r w:rsidRPr="00592FEF">
        <w:rPr>
          <w:color w:val="000000" w:themeColor="text1"/>
        </w:rPr>
        <w:t>Organisation</w:t>
      </w:r>
      <w:proofErr w:type="spellEnd"/>
      <w:r w:rsidRPr="00592FEF">
        <w:rPr>
          <w:color w:val="000000" w:themeColor="text1"/>
        </w:rPr>
        <w:t xml:space="preserve"> of Vine and Wine – OIV) 18. oktobra 2024 v zvezi s predvidenim sprejetjem resolucij OIV, ki bi lahko imele pravni učinek na pravo Unije. </w:t>
      </w:r>
    </w:p>
    <w:p w14:paraId="4EB6870F" w14:textId="77777777" w:rsidR="00462EAC" w:rsidRPr="00592FEF" w:rsidRDefault="00462EAC" w:rsidP="00592FEF">
      <w:pPr>
        <w:rPr>
          <w:color w:val="000000" w:themeColor="text1"/>
        </w:rPr>
      </w:pPr>
    </w:p>
    <w:p w14:paraId="592E55A8" w14:textId="3CC8A886" w:rsidR="00592FEF" w:rsidRPr="00592FEF" w:rsidRDefault="00592FEF" w:rsidP="00592FEF">
      <w:pPr>
        <w:rPr>
          <w:color w:val="000000" w:themeColor="text1"/>
        </w:rPr>
      </w:pPr>
      <w:r w:rsidRPr="00592FEF">
        <w:rPr>
          <w:color w:val="000000" w:themeColor="text1"/>
        </w:rPr>
        <w:t xml:space="preserve">Mednarodna organizacija za trto in vino (OIV) je medvladna znanstvena in tehnična organizacija, dejavna v sektorju vinske trte, vina, pijač na osnovi vina, namiznega grozdja, rozin in drugih proizvodov vinske trte. Trenutno je 50 držav članic OIV, od tega 20 držav članic Unije, med njimi tudi Slovenija. EU sicer ni članica OIV, je pa OIV 20. oktobra 2017 Uniji dodelila poseben status, določen v poslovniku OIV, ki Uniji omogoča, da aktivno sodeluje pri delu odborov, pododborov in skupin strokovnjakov ter se udeležuje zasedanj generalne skupščine in sestankov izvršnega odbora. </w:t>
      </w:r>
    </w:p>
    <w:p w14:paraId="2F9840CA" w14:textId="4B683C31" w:rsidR="00660E38" w:rsidRPr="00462EAC" w:rsidRDefault="00592FEF" w:rsidP="00462EAC">
      <w:pPr>
        <w:pStyle w:val="Vir"/>
      </w:pPr>
      <w:r w:rsidRPr="00592FEF">
        <w:t>Vir: Ministrstvo za kmetijstvo, gozdarstvo in prehrano</w:t>
      </w:r>
    </w:p>
    <w:p w14:paraId="12965949" w14:textId="745AD2BB" w:rsidR="00303DE1" w:rsidRPr="00303DE1" w:rsidRDefault="00303DE1" w:rsidP="00303DE1">
      <w:pPr>
        <w:pStyle w:val="Naslov2"/>
      </w:pPr>
      <w:r w:rsidRPr="00303DE1">
        <w:t>Vlada je določila besedilo Predloga Zakona o kritični infrastrukturi</w:t>
      </w:r>
    </w:p>
    <w:p w14:paraId="74433A3A" w14:textId="78D9F34C" w:rsidR="00303DE1" w:rsidRPr="00303DE1" w:rsidRDefault="00303DE1" w:rsidP="00303DE1">
      <w:pPr>
        <w:rPr>
          <w:color w:val="000000" w:themeColor="text1"/>
        </w:rPr>
      </w:pPr>
      <w:r w:rsidRPr="00303DE1">
        <w:rPr>
          <w:color w:val="000000" w:themeColor="text1"/>
        </w:rPr>
        <w:t>Vlada je na seji določila besedilo Predloga Zakona o kritični infrastrukturi, ki ga bo posredovala Državnemu zboru RS v obravnavo po rednem postopku.</w:t>
      </w:r>
    </w:p>
    <w:p w14:paraId="521DC0F3" w14:textId="77777777" w:rsidR="00303DE1" w:rsidRPr="00303DE1" w:rsidRDefault="00303DE1" w:rsidP="00303DE1">
      <w:pPr>
        <w:rPr>
          <w:color w:val="000000" w:themeColor="text1"/>
        </w:rPr>
      </w:pPr>
    </w:p>
    <w:p w14:paraId="5A800A1C" w14:textId="77777777" w:rsidR="00303DE1" w:rsidRPr="00303DE1" w:rsidRDefault="00303DE1" w:rsidP="00303DE1">
      <w:pPr>
        <w:rPr>
          <w:color w:val="000000" w:themeColor="text1"/>
        </w:rPr>
      </w:pPr>
      <w:r w:rsidRPr="00303DE1">
        <w:rPr>
          <w:color w:val="000000" w:themeColor="text1"/>
        </w:rPr>
        <w:t>Novi Zakon o kritični infrastrukturi bo nadomestil Zakon o kritični infrastrukturi (Uradni list RS, št. 75/17 in 189/21 – ZDU-1M), ki je bil sprejet leta 2017. S predlogom novega Zakona o kritični infrastrukturi se v slovenski pravni red prenaša Direktiva (EU) 2022/2557 Evropskega parlamenta in Sveta z dne 14. decembra 2022 o odpornosti kritičnih subjektov in razveljavitvi Direktive Sveta 2008/114/ES, ki jo morajo države članice implementirati v svojo zakonodajo do 17. oktobra 2024. Hkrati se s predlogom zakona natančneje urejajo tudi določena vprašanja, povezana z odzivanjem na izredne dogodke na področju kritične infrastrukture.</w:t>
      </w:r>
    </w:p>
    <w:p w14:paraId="7D10BA39" w14:textId="77777777" w:rsidR="00303DE1" w:rsidRPr="00303DE1" w:rsidRDefault="00303DE1" w:rsidP="00303DE1">
      <w:pPr>
        <w:rPr>
          <w:color w:val="000000" w:themeColor="text1"/>
        </w:rPr>
      </w:pPr>
    </w:p>
    <w:p w14:paraId="05C505AF" w14:textId="77777777" w:rsidR="00303DE1" w:rsidRPr="00303DE1" w:rsidRDefault="00303DE1" w:rsidP="00303DE1">
      <w:pPr>
        <w:rPr>
          <w:color w:val="000000" w:themeColor="text1"/>
        </w:rPr>
      </w:pPr>
      <w:r w:rsidRPr="00303DE1">
        <w:rPr>
          <w:color w:val="000000" w:themeColor="text1"/>
        </w:rPr>
        <w:t xml:space="preserve">Cilja Direktive 2022/2557 sta neprekinjeno opravljanje bistvenih storitev na notranjem trgu za ohranjanje ključnih družbenih funkcij ali gospodarskih dejavnosti in krepitev odpornosti kritičnih subjektov, ki opravljajo te storitve. Države članice med drugim obvezuje, da sprejmejo posebne ukrepe za neprekinjeno opravljanje bistvenih storitev, ki jih definira kot storitve, ki so ključne za ohranitev življenjsko pomembnih družbenih funkcij, gospodarskih dejavnosti, javnega zdravja in varnosti ali okolja, med katerimi posebej izpostavlja obveznost države članice, da identificira kritične subjekte v 11 sektorjih (energetika, promet, bančništvo, infrastruktura finančnega trga, zdravje, pitna voda, odpadna voda, digitalna infrastruktura, javna uprava, vesolje ter pridelava, predelava in distribucija živil) in jih </w:t>
      </w:r>
      <w:r w:rsidRPr="00303DE1">
        <w:rPr>
          <w:color w:val="000000" w:themeColor="text1"/>
        </w:rPr>
        <w:lastRenderedPageBreak/>
        <w:t>podpira pri izpolnjevanju njihovih obveznosti. V okviru nacionalnega okvira za odpornost kritičnih subjektov Direktiva 2022/2557 nalaga državam članicam pripravo strategije za odpornost kritičnih subjektov in nacionalne ocene tveganja za opravljanje bistvenih storitev. Določa kriterije za ugotavljanje kritičnih subjektov in kritičnih subjektov posebnega evropskega pomena.</w:t>
      </w:r>
    </w:p>
    <w:p w14:paraId="7277D07B" w14:textId="77777777" w:rsidR="00303DE1" w:rsidRPr="00303DE1" w:rsidRDefault="00303DE1" w:rsidP="00303DE1">
      <w:pPr>
        <w:rPr>
          <w:color w:val="000000" w:themeColor="text1"/>
        </w:rPr>
      </w:pPr>
    </w:p>
    <w:p w14:paraId="7985EA94" w14:textId="77777777" w:rsidR="00303DE1" w:rsidRPr="00303DE1" w:rsidRDefault="00303DE1" w:rsidP="00303DE1">
      <w:pPr>
        <w:rPr>
          <w:color w:val="000000" w:themeColor="text1"/>
        </w:rPr>
      </w:pPr>
      <w:r w:rsidRPr="00303DE1">
        <w:rPr>
          <w:color w:val="000000" w:themeColor="text1"/>
        </w:rPr>
        <w:t>Najpomembnejše predlagane rešitve, ki jih prinaša novela zakona, so:</w:t>
      </w:r>
    </w:p>
    <w:p w14:paraId="21851F30" w14:textId="2CBFC46C" w:rsidR="00303DE1" w:rsidRPr="00462EAC" w:rsidRDefault="00303DE1" w:rsidP="00462EAC">
      <w:pPr>
        <w:pStyle w:val="Odstavekseznama"/>
        <w:numPr>
          <w:ilvl w:val="0"/>
          <w:numId w:val="16"/>
        </w:numPr>
        <w:rPr>
          <w:color w:val="000000" w:themeColor="text1"/>
        </w:rPr>
      </w:pPr>
      <w:r w:rsidRPr="00462EAC">
        <w:rPr>
          <w:color w:val="000000" w:themeColor="text1"/>
        </w:rPr>
        <w:t>v ospredje se postavljajo bistvene storitve, ki so ključne za ohranitev življenjsko pomembnih družbenih funkcij, gospodarskih dejavnosti, javnega zdravja in varnosti ali okolja, in njihovo neprekinjeno zagotavljanje v 11 sektorjih kritične infrastrukture;</w:t>
      </w:r>
    </w:p>
    <w:p w14:paraId="0B0A2BD0" w14:textId="64E3FFF9" w:rsidR="00303DE1" w:rsidRPr="00462EAC" w:rsidRDefault="00303DE1" w:rsidP="00462EAC">
      <w:pPr>
        <w:pStyle w:val="Odstavekseznama"/>
        <w:numPr>
          <w:ilvl w:val="0"/>
          <w:numId w:val="16"/>
        </w:numPr>
        <w:rPr>
          <w:color w:val="000000" w:themeColor="text1"/>
        </w:rPr>
      </w:pPr>
      <w:r w:rsidRPr="00462EAC">
        <w:rPr>
          <w:color w:val="000000" w:themeColor="text1"/>
        </w:rPr>
        <w:t>spremenjen koncept zaščite kritične infrastrukture in prehod h krepitvi odpornosti kritičnih subjektov ter kritične infrastrukture, kar omogoča zagotavljanje bistvenih storitev;</w:t>
      </w:r>
    </w:p>
    <w:p w14:paraId="203F86F5" w14:textId="38E1F13D" w:rsidR="00303DE1" w:rsidRPr="00462EAC" w:rsidRDefault="00303DE1" w:rsidP="00462EAC">
      <w:pPr>
        <w:pStyle w:val="Odstavekseznama"/>
        <w:numPr>
          <w:ilvl w:val="0"/>
          <w:numId w:val="16"/>
        </w:numPr>
        <w:rPr>
          <w:color w:val="000000" w:themeColor="text1"/>
        </w:rPr>
      </w:pPr>
      <w:r w:rsidRPr="00462EAC">
        <w:rPr>
          <w:color w:val="000000" w:themeColor="text1"/>
        </w:rPr>
        <w:t>opredelitev nacionalnega okvira za odpornost kritičnih subjektov;</w:t>
      </w:r>
    </w:p>
    <w:p w14:paraId="402927EA" w14:textId="48C4C92D" w:rsidR="00303DE1" w:rsidRPr="00462EAC" w:rsidRDefault="00303DE1" w:rsidP="00462EAC">
      <w:pPr>
        <w:pStyle w:val="Odstavekseznama"/>
        <w:numPr>
          <w:ilvl w:val="0"/>
          <w:numId w:val="16"/>
        </w:numPr>
        <w:rPr>
          <w:color w:val="000000" w:themeColor="text1"/>
        </w:rPr>
      </w:pPr>
      <w:r w:rsidRPr="00462EAC">
        <w:rPr>
          <w:color w:val="000000" w:themeColor="text1"/>
        </w:rPr>
        <w:t>določitev postopka ugotavljanja in določanja kritičnih subjektov in kritične infrastrukture ter ugotavljanja kritičnih subjektov posebnega evropskega pomena;</w:t>
      </w:r>
    </w:p>
    <w:p w14:paraId="05ED1DB8" w14:textId="0D573F7D" w:rsidR="00303DE1" w:rsidRPr="00462EAC" w:rsidRDefault="00303DE1" w:rsidP="00462EAC">
      <w:pPr>
        <w:pStyle w:val="Odstavekseznama"/>
        <w:numPr>
          <w:ilvl w:val="0"/>
          <w:numId w:val="16"/>
        </w:numPr>
        <w:rPr>
          <w:color w:val="000000" w:themeColor="text1"/>
        </w:rPr>
      </w:pPr>
      <w:r w:rsidRPr="00462EAC">
        <w:rPr>
          <w:color w:val="000000" w:themeColor="text1"/>
        </w:rPr>
        <w:t>opredelitev ukrepov za zagotavljanje odpornosti kritičnih subjektov pri opravljanju bistvenih storitev;</w:t>
      </w:r>
    </w:p>
    <w:p w14:paraId="7499C9EC" w14:textId="030FBA5A" w:rsidR="00303DE1" w:rsidRPr="00462EAC" w:rsidRDefault="00303DE1" w:rsidP="00462EAC">
      <w:pPr>
        <w:pStyle w:val="Odstavekseznama"/>
        <w:numPr>
          <w:ilvl w:val="0"/>
          <w:numId w:val="16"/>
        </w:numPr>
        <w:rPr>
          <w:color w:val="000000" w:themeColor="text1"/>
        </w:rPr>
      </w:pPr>
      <w:r w:rsidRPr="00462EAC">
        <w:rPr>
          <w:color w:val="000000" w:themeColor="text1"/>
        </w:rPr>
        <w:t>vzpostavitev mehanizma za priglasitev izrednih dogodkov in sistema zgodnjega opozarjanja v podporo odločanju na področju kritične infrastrukture;</w:t>
      </w:r>
    </w:p>
    <w:p w14:paraId="4AE457C6" w14:textId="5ACA1005" w:rsidR="00303DE1" w:rsidRPr="00462EAC" w:rsidRDefault="00303DE1" w:rsidP="00462EAC">
      <w:pPr>
        <w:pStyle w:val="Odstavekseznama"/>
        <w:numPr>
          <w:ilvl w:val="0"/>
          <w:numId w:val="16"/>
        </w:numPr>
        <w:rPr>
          <w:color w:val="000000" w:themeColor="text1"/>
        </w:rPr>
      </w:pPr>
      <w:r w:rsidRPr="00462EAC">
        <w:rPr>
          <w:color w:val="000000" w:themeColor="text1"/>
        </w:rPr>
        <w:t>imenovanje koordinacijske skupine za usklajen in učinkovit odziv na izredne dogodke na področju kritične infrastrukture;</w:t>
      </w:r>
    </w:p>
    <w:p w14:paraId="35081648" w14:textId="5A16A1D6" w:rsidR="00303DE1" w:rsidRPr="00462EAC" w:rsidRDefault="00303DE1" w:rsidP="00462EAC">
      <w:pPr>
        <w:pStyle w:val="Odstavekseznama"/>
        <w:numPr>
          <w:ilvl w:val="0"/>
          <w:numId w:val="16"/>
        </w:numPr>
        <w:rPr>
          <w:color w:val="000000" w:themeColor="text1"/>
        </w:rPr>
      </w:pPr>
      <w:r w:rsidRPr="00462EAC">
        <w:rPr>
          <w:color w:val="000000" w:themeColor="text1"/>
        </w:rPr>
        <w:t>obveznost poročanja Evropski komisiji;</w:t>
      </w:r>
    </w:p>
    <w:p w14:paraId="76E0CFDB" w14:textId="0ECAD8FE" w:rsidR="00303DE1" w:rsidRPr="00462EAC" w:rsidRDefault="00303DE1" w:rsidP="00462EAC">
      <w:pPr>
        <w:pStyle w:val="Odstavekseznama"/>
        <w:numPr>
          <w:ilvl w:val="0"/>
          <w:numId w:val="16"/>
        </w:numPr>
        <w:rPr>
          <w:color w:val="000000" w:themeColor="text1"/>
        </w:rPr>
      </w:pPr>
      <w:r w:rsidRPr="00462EAC">
        <w:rPr>
          <w:color w:val="000000" w:themeColor="text1"/>
        </w:rPr>
        <w:t>obveznost sprejema izvršilnega predpisa in aktov glede ugotavljanja, določanja in odpornosti kritičnih subjektov ter njihove kritične infrastrukture za zagotavljanje neprekinjenega opravljanja bistvenih storitev.</w:t>
      </w:r>
    </w:p>
    <w:p w14:paraId="4EB93B6F" w14:textId="6B01EC72" w:rsidR="00660E38" w:rsidRPr="00E70352" w:rsidRDefault="00303DE1" w:rsidP="00E70352">
      <w:pPr>
        <w:pStyle w:val="Vir"/>
      </w:pPr>
      <w:r w:rsidRPr="00303DE1">
        <w:t>Vir: Ministrstvo za obrambo</w:t>
      </w:r>
    </w:p>
    <w:p w14:paraId="4AC71992" w14:textId="645C1E42" w:rsidR="00E70352" w:rsidRPr="00E70352" w:rsidRDefault="00E70352" w:rsidP="00E70352">
      <w:pPr>
        <w:pStyle w:val="Naslov2"/>
      </w:pPr>
      <w:bookmarkStart w:id="4" w:name="_Hlk177645300"/>
      <w:r w:rsidRPr="00E70352">
        <w:t>Predlog Zakona o dodatku k pokojnini za izjemne dosežke na področju umetnosti danes potrjen na vladi</w:t>
      </w:r>
    </w:p>
    <w:p w14:paraId="1642D067" w14:textId="1347E11E" w:rsidR="007D5B7A" w:rsidRPr="00E02F25" w:rsidRDefault="007D5B7A" w:rsidP="007D5B7A">
      <w:r w:rsidRPr="00A61F67">
        <w:t>Vlada je danes potrdila predlog Zakona o dodatku k pokojnini za izjemne dosežke na področju umetnosti.</w:t>
      </w:r>
    </w:p>
    <w:p w14:paraId="142A46D5" w14:textId="77777777" w:rsidR="00462EAC" w:rsidRDefault="00462EAC" w:rsidP="007D5B7A"/>
    <w:p w14:paraId="1C41C687" w14:textId="47940255" w:rsidR="007D5B7A" w:rsidRPr="00462EAC" w:rsidRDefault="007D5B7A" w:rsidP="007D5B7A">
      <w:r w:rsidRPr="00462EAC">
        <w:t>Na Ministrstvu za kulturo po več desetletjih urejamo področje pokojnin za izjemne dosežke na področju umetnosti. Gre zakonsko ureditev dolgoletnega neurejenega stanja. Sedaj veljavni zakon je namreč iz leta 1974 in je predvideval možnost izjemnega priznanja in odmere višje starostne pokojnine osebam, ki imajo posebne zasluge na področju umetnosti. Vendar je ta zakon, čeprav še vedno veljaven, zastarel, predvsem pa pomanjkljiv, saj ne opredeljuje natančnih kriterijev za priznanje in odmero izjemnih pokojnin, kar predstavlja tveganje za neenako obravnavo. </w:t>
      </w:r>
    </w:p>
    <w:p w14:paraId="6353F93A" w14:textId="77777777" w:rsidR="00DB14B1" w:rsidRDefault="00DB14B1" w:rsidP="007D5B7A"/>
    <w:p w14:paraId="2269EAFB" w14:textId="19AB7FD6" w:rsidR="007D5B7A" w:rsidRPr="00462EAC" w:rsidRDefault="007D5B7A" w:rsidP="007D5B7A">
      <w:r w:rsidRPr="00462EAC">
        <w:t>Nov predlog zakona, ki je bil danes sprejet na vladi, zelo natančno in transparentno določa merila za  dodeljevanje pravice do dodatka in višino le-tega. </w:t>
      </w:r>
    </w:p>
    <w:p w14:paraId="086B5BC0" w14:textId="77777777" w:rsidR="00DB14B1" w:rsidRDefault="00DB14B1" w:rsidP="007D5B7A"/>
    <w:p w14:paraId="54687307" w14:textId="3D01C83B" w:rsidR="007D5B7A" w:rsidRPr="00E02F25" w:rsidRDefault="007D5B7A" w:rsidP="007D5B7A">
      <w:r w:rsidRPr="00E02F25">
        <w:t>Z zakonom se bo pravica do dodatka priznala državljanu ali državljanki Republike Slovenije, ki z izjemnimi dosežki na področju umetnost izkazuje posebne zasluge za kakovost, pomen in prepoznavnost umetnosti v Republiki Sloveniji ali tujini ter je prejemnik starostne ali invalidske pokojnine.</w:t>
      </w:r>
    </w:p>
    <w:p w14:paraId="30AF40EF" w14:textId="77777777" w:rsidR="00462EAC" w:rsidRDefault="00462EAC" w:rsidP="007D5B7A"/>
    <w:p w14:paraId="4611B733" w14:textId="587236DA" w:rsidR="007D5B7A" w:rsidRPr="00E02F25" w:rsidRDefault="007D5B7A" w:rsidP="007D5B7A">
      <w:r w:rsidRPr="00E02F25">
        <w:t>Upravičenci do dodatka bodo:</w:t>
      </w:r>
    </w:p>
    <w:p w14:paraId="30ADE955" w14:textId="65A79862" w:rsidR="007D5B7A" w:rsidRPr="00E02F25" w:rsidRDefault="007D5B7A" w:rsidP="00462EAC">
      <w:pPr>
        <w:pStyle w:val="Odstavekseznama"/>
        <w:numPr>
          <w:ilvl w:val="0"/>
          <w:numId w:val="18"/>
        </w:numPr>
      </w:pPr>
      <w:r w:rsidRPr="00E02F25">
        <w:t>prejemniki Prešernove nagrade za življenjsko delo;</w:t>
      </w:r>
    </w:p>
    <w:p w14:paraId="1ADD3880" w14:textId="064456FD" w:rsidR="007D5B7A" w:rsidRPr="00E02F25" w:rsidRDefault="007D5B7A" w:rsidP="00462EAC">
      <w:pPr>
        <w:pStyle w:val="Odstavekseznama"/>
        <w:numPr>
          <w:ilvl w:val="0"/>
          <w:numId w:val="18"/>
        </w:numPr>
      </w:pPr>
      <w:r w:rsidRPr="00E02F25">
        <w:t>prejemniki nagrade Prešernovega sklada, ki so poleg nje prejeli še vsaj eno nacionalno priznanje ali nagrado ali vsaj eno od visokih mednarodnih priznanj ali nagrad;</w:t>
      </w:r>
    </w:p>
    <w:p w14:paraId="33CD3914" w14:textId="35E658DE" w:rsidR="007D5B7A" w:rsidRPr="00E02F25" w:rsidRDefault="007D5B7A" w:rsidP="00462EAC">
      <w:pPr>
        <w:pStyle w:val="Odstavekseznama"/>
        <w:numPr>
          <w:ilvl w:val="0"/>
          <w:numId w:val="18"/>
        </w:numPr>
      </w:pPr>
      <w:r w:rsidRPr="00E02F25">
        <w:lastRenderedPageBreak/>
        <w:t>prejemniki odlikovanja na podlagi Zakona o odlikovanjih Republike Slovenije, pri katerih je iz utemeljitve razvidno, da je bilo to podeljeno za delo na področju umetnosti, in ki so poleg tega prejeli še vsaj eno nacionalno priznanje ali nagrado iz Priloge I ali vsaj eno od visokih mednarodnih priznanj ali nagrad.</w:t>
      </w:r>
    </w:p>
    <w:p w14:paraId="0CAABE51" w14:textId="77777777" w:rsidR="00462EAC" w:rsidRDefault="00462EAC" w:rsidP="007D5B7A"/>
    <w:p w14:paraId="63137F0B" w14:textId="4E5ACE57" w:rsidR="007D5B7A" w:rsidRPr="00E02F25" w:rsidRDefault="007D5B7A" w:rsidP="007D5B7A">
      <w:r w:rsidRPr="00E02F25">
        <w:t>Pri izračunu osnove za odmero dodatka se upošteva razlika med višino starostne ali invalidske pokojnine, ki jo prejema upravičenec, in zneskom starostne pokojnine za 40 let pokojninske dobe, odmerjene od najvišje pokojninske osnove v skladu s predpisi o pokojninskem in invalidskem zavarovanju.</w:t>
      </w:r>
    </w:p>
    <w:p w14:paraId="35730D2B" w14:textId="77777777" w:rsidR="00462EAC" w:rsidRDefault="00462EAC" w:rsidP="007D5B7A"/>
    <w:p w14:paraId="7DFDAD79" w14:textId="015859A0" w:rsidR="007D5B7A" w:rsidRPr="00E02F25" w:rsidRDefault="007D5B7A" w:rsidP="007D5B7A">
      <w:r w:rsidRPr="00E02F25">
        <w:t>Dodatek se lahko dodeli v polni (100 %) ali polovični odmeri (50 %), odvisno od predlagateljevih posebnih zaslug za kakovost, pomen in prepoznavnost umetnosti v Republiki Sloveniji ali mednarodnem prostoru. Do 100-% dodatka so upravičeni izključno prejemniki najvišje državne nagrade na področju umetnosti, to je Prešernove nagrade za življenjsko delo. Za pravico do 50-% dodatka pa so upravičeni tisti predlagatelji, ki svoje izjemne dosežke na področju umetnosti dokazujejo s prejetimi nagradami s seznama, ki jih predlog ZDPIDU natančno opredeljuje v Prilogi I, obenem pa so tudi prejemniki nagrade Prešernovega sklada ali odlikovanja na podlagi Zakona o odlikovanjih Republike Slovenije za delo na področju umetnosti.</w:t>
      </w:r>
    </w:p>
    <w:p w14:paraId="47D302E7" w14:textId="77777777" w:rsidR="00462EAC" w:rsidRDefault="00462EAC" w:rsidP="007D5B7A"/>
    <w:p w14:paraId="2F952F8B" w14:textId="666FD793" w:rsidR="00462EAC" w:rsidRDefault="007D5B7A" w:rsidP="007D5B7A">
      <w:r w:rsidRPr="00E02F25">
        <w:t>Predlog ZDPIDU določa tudi splošne pogoje za priznanje pravice do dodatka in postopek priznanja oziroma ukinitve pravice. Pri tem predlog zakona sledi predvsem načelu zakonitosti, načelu enakega obravnavanja in načelu javnosti.</w:t>
      </w:r>
    </w:p>
    <w:p w14:paraId="3A6E36E6" w14:textId="6BAE1CD5" w:rsidR="00462EAC" w:rsidRPr="00E02F25" w:rsidRDefault="00462EAC" w:rsidP="00462EAC">
      <w:pPr>
        <w:pStyle w:val="Vir"/>
      </w:pPr>
      <w:r>
        <w:t>Vir: Ministrstvo za kulturo</w:t>
      </w:r>
    </w:p>
    <w:bookmarkEnd w:id="4"/>
    <w:p w14:paraId="754487A3" w14:textId="77777777" w:rsidR="00AC5FC6" w:rsidRPr="00090E9B" w:rsidRDefault="00AC5FC6" w:rsidP="00AC5FC6">
      <w:pPr>
        <w:pStyle w:val="Naslov2"/>
      </w:pPr>
      <w:r w:rsidRPr="00090E9B">
        <w:t>Vlada določila besedilo novele zakona o reševanju in prisilnem prenehanju bank</w:t>
      </w:r>
    </w:p>
    <w:p w14:paraId="611471BF" w14:textId="77777777" w:rsidR="00AC5FC6" w:rsidRPr="00AC5FC6" w:rsidRDefault="00AC5FC6" w:rsidP="00AC5FC6">
      <w:pPr>
        <w:rPr>
          <w:szCs w:val="20"/>
        </w:rPr>
      </w:pPr>
      <w:r w:rsidRPr="00AC5FC6">
        <w:rPr>
          <w:szCs w:val="20"/>
        </w:rPr>
        <w:t xml:space="preserve">Z novelo v slovenski pravni red prenašamo spremembe evropske zakonodaje v zvezi z minimalnimi zahtevami glede kapitala in kvalificiranih obveznosti v okviru upravljanja bančnih kriz in varstva vlog. Hkrati se tudi podaljšuje delovanje Sklada za reševanje bank, pri čemer bo sklad namenjen zgolj financiranju instrumentov za prisilno likvidacijo bank. </w:t>
      </w:r>
    </w:p>
    <w:p w14:paraId="0BE002E9" w14:textId="77777777" w:rsidR="00462EAC" w:rsidRDefault="00462EAC" w:rsidP="00AC5FC6">
      <w:pPr>
        <w:rPr>
          <w:szCs w:val="20"/>
        </w:rPr>
      </w:pPr>
    </w:p>
    <w:p w14:paraId="685C9E33" w14:textId="32308EB8" w:rsidR="00AC5FC6" w:rsidRPr="00AC5FC6" w:rsidRDefault="00AC5FC6" w:rsidP="00AC5FC6">
      <w:pPr>
        <w:rPr>
          <w:szCs w:val="20"/>
        </w:rPr>
      </w:pPr>
      <w:r w:rsidRPr="00AC5FC6">
        <w:rPr>
          <w:szCs w:val="20"/>
        </w:rPr>
        <w:t>Predlagane spremembe v zvezi z minimalnimi zahtevami glede kapitala in kvalificiranih obveznosti so del zakonodajnega okvira za upravljanje bančnih kriz in jamstva za vloge, ki prispeva k stabilnosti in učinkovitosti Bančne unije.</w:t>
      </w:r>
    </w:p>
    <w:p w14:paraId="411618F3" w14:textId="77777777" w:rsidR="00462EAC" w:rsidRDefault="00462EAC" w:rsidP="00AC5FC6">
      <w:pPr>
        <w:rPr>
          <w:szCs w:val="20"/>
        </w:rPr>
      </w:pPr>
    </w:p>
    <w:p w14:paraId="442E075C" w14:textId="2BDC64DC" w:rsidR="00AC5FC6" w:rsidRPr="00AC5FC6" w:rsidRDefault="00AC5FC6" w:rsidP="00AC5FC6">
      <w:pPr>
        <w:rPr>
          <w:szCs w:val="20"/>
        </w:rPr>
      </w:pPr>
      <w:r w:rsidRPr="00AC5FC6">
        <w:rPr>
          <w:szCs w:val="20"/>
        </w:rPr>
        <w:t>Ostale spremembe se med drugim nanašajo na prenos direktiv, ki urejajo sposobnost kreditnih institucij za pokrivanje izgub in dokapitalizacijo, digitalno operativno odpornost finančnega sektorja, zagotavljanje informacij evropski enotni točki dostopa ter določene procesne izboljšave, ugotovljene s strani Banke Slovenije na podlagi praktičnega postopka reševanja.</w:t>
      </w:r>
    </w:p>
    <w:p w14:paraId="1C8D6EAE" w14:textId="77777777" w:rsidR="00462EAC" w:rsidRDefault="00462EAC" w:rsidP="00AC5FC6">
      <w:pPr>
        <w:rPr>
          <w:szCs w:val="20"/>
          <w:lang w:eastAsia="sl-SI"/>
        </w:rPr>
      </w:pPr>
    </w:p>
    <w:p w14:paraId="3D8E62F7" w14:textId="278D00A9" w:rsidR="00AC5FC6" w:rsidRDefault="00AC5FC6" w:rsidP="00AC5FC6">
      <w:pPr>
        <w:rPr>
          <w:szCs w:val="20"/>
          <w:lang w:eastAsia="sl-SI"/>
        </w:rPr>
      </w:pPr>
      <w:r w:rsidRPr="00AC5FC6">
        <w:rPr>
          <w:szCs w:val="20"/>
          <w:lang w:eastAsia="sl-SI"/>
        </w:rPr>
        <w:t xml:space="preserve">Predvidevamo, da v naslednjih treh letih sredstva sklada za likvidacijo bank in dodatna javnofinančna sredstva za te potrebe ne bodo uporabljena.  </w:t>
      </w:r>
    </w:p>
    <w:p w14:paraId="2EF055EE" w14:textId="210ABBCD" w:rsidR="00660E38" w:rsidRPr="00462EAC" w:rsidRDefault="00AC5FC6" w:rsidP="00462EAC">
      <w:pPr>
        <w:pStyle w:val="Vir"/>
      </w:pPr>
      <w:r>
        <w:rPr>
          <w:lang w:eastAsia="sl-SI"/>
        </w:rPr>
        <w:t>Vir: Ministrstvo za finance</w:t>
      </w:r>
    </w:p>
    <w:p w14:paraId="32E6F43E" w14:textId="3DE2652E" w:rsidR="006423F9" w:rsidRPr="006423F9" w:rsidRDefault="006423F9" w:rsidP="006423F9">
      <w:pPr>
        <w:pStyle w:val="Naslov2"/>
      </w:pPr>
      <w:r w:rsidRPr="006423F9">
        <w:t>Deveto poročilo o napredku pri koriščenju sredstev evropske kohezijske politike v programskem obdobju 2014–2020 in 2021–2027 (od 1. 8. 2024 do 31. 8. 2024)</w:t>
      </w:r>
    </w:p>
    <w:p w14:paraId="3FD51685" w14:textId="7F6FF18C" w:rsidR="006423F9" w:rsidRPr="006423F9" w:rsidRDefault="006423F9" w:rsidP="006423F9">
      <w:pPr>
        <w:rPr>
          <w:color w:val="000000" w:themeColor="text1"/>
        </w:rPr>
      </w:pPr>
      <w:r w:rsidRPr="006423F9">
        <w:rPr>
          <w:color w:val="000000" w:themeColor="text1"/>
        </w:rPr>
        <w:t xml:space="preserve">Vlada se je seznanila z 9. poročilom o izvajanju evropske kohezijske politike, ki zajema obdobje od 1. do 31. avgusta 2024. Obenem se je seznanila z izhodišči za spremembo Programa evropske kohezijske politike v obdobju 2021–2027 v Sloveniji zaradi spremembe Območnega načrta za pravični </w:t>
      </w:r>
      <w:r w:rsidRPr="006423F9">
        <w:rPr>
          <w:color w:val="000000" w:themeColor="text1"/>
        </w:rPr>
        <w:lastRenderedPageBreak/>
        <w:t>prehod Savinjsko-šaleške premogovne regije in spremembe Območnega načrta za pravični prehod Zasavske premogovne regije.</w:t>
      </w:r>
    </w:p>
    <w:p w14:paraId="6CCDBFEF" w14:textId="77777777" w:rsidR="006423F9" w:rsidRPr="006423F9" w:rsidRDefault="006423F9" w:rsidP="006423F9">
      <w:pPr>
        <w:rPr>
          <w:color w:val="000000" w:themeColor="text1"/>
        </w:rPr>
      </w:pPr>
    </w:p>
    <w:p w14:paraId="0DB4556F" w14:textId="60BD18E4" w:rsidR="006423F9" w:rsidRPr="006423F9" w:rsidRDefault="006423F9" w:rsidP="006423F9">
      <w:pPr>
        <w:rPr>
          <w:color w:val="000000" w:themeColor="text1"/>
        </w:rPr>
      </w:pPr>
      <w:r w:rsidRPr="006423F9">
        <w:rPr>
          <w:color w:val="000000" w:themeColor="text1"/>
        </w:rPr>
        <w:t>Do 31. 8. 2024 je bilo v okviru izvajanja Programa evropske kohezijske politike v obdobju 2021–2027 za 714,97 milijona EUR (EU del) izdanih odločitev o podpori. V poročanem obdobju pa je bilo izdanih odločitev o podpori za 28,7 milijonov EUR (EU del). Izplačil iz državnega proračuna je bilo za 44,4 milijonov EUR (EU del). V drugem delu poročila so podane tudi informacije o spremembi Območnega načrta za pravični prehod Savinjsko-šaleške premogovne regije in spremembi Območnega načrta za pravični prehod Zasavske premogovne regije, prilog Programa evropske kohezijske politike v obdobju 2021–2027 v Sloveniji. Zaradi omogočitve kandidature za sredstva 3. stebra (povratna in nepovratna) je pripravljen predlog sprememb obeh območnih načrtov za vse sektorje, kot jih dopušča Uredba (EU) 2021. /1229 o instrumentu za posojila v javnem sektorju v okviru Mehanizma za pravični prehod. Spremembe načrtov pomenijo spremembo programa, ker sta bila območna načrta za pravični prehod odobrena kot del programa.</w:t>
      </w:r>
    </w:p>
    <w:p w14:paraId="352DD117" w14:textId="713B8D2A" w:rsidR="00660E38" w:rsidRPr="006423F9" w:rsidRDefault="006423F9" w:rsidP="006423F9">
      <w:pPr>
        <w:pStyle w:val="Vir"/>
      </w:pPr>
      <w:r w:rsidRPr="006423F9">
        <w:t>Vir: Ministrstvo za kohezijo in regionalni razvoj</w:t>
      </w:r>
    </w:p>
    <w:p w14:paraId="3A6D5642" w14:textId="04928CA3" w:rsidR="00AC5FC6" w:rsidRDefault="00AC5FC6" w:rsidP="00462EAC">
      <w:pPr>
        <w:pStyle w:val="Naslov2"/>
      </w:pPr>
      <w:r w:rsidRPr="00DC6F72">
        <w:t>Vlada o prerazporeditvi sredstev finančni upravi</w:t>
      </w:r>
    </w:p>
    <w:p w14:paraId="0F92E710" w14:textId="77777777" w:rsidR="00AC5FC6" w:rsidRPr="00DC6F72" w:rsidRDefault="00AC5FC6" w:rsidP="00AC5FC6">
      <w:r w:rsidRPr="00DC6F72">
        <w:t xml:space="preserve">Vlada je danes sklenila, da se Finančni upravi Republike Slovenije razporedijo sredstva splošne proračunske rezervacije v višini 488.110,02 evra. Sredstva bodo namenjena za izplačila predplačil za obnovo stanovanj, poškodovanih v lanskih poplavah. </w:t>
      </w:r>
    </w:p>
    <w:p w14:paraId="68601CF8" w14:textId="0529F799" w:rsidR="00AC5FC6" w:rsidRDefault="00AC5FC6" w:rsidP="00462EAC">
      <w:pPr>
        <w:pStyle w:val="Vir"/>
      </w:pPr>
      <w:r>
        <w:t>Vir: Ministrstvo za finance</w:t>
      </w:r>
    </w:p>
    <w:p w14:paraId="046E1723" w14:textId="389C89D2" w:rsidR="00C96561" w:rsidRDefault="00C96561" w:rsidP="00C96561">
      <w:pPr>
        <w:pStyle w:val="Naslov2"/>
        <w:rPr>
          <w:szCs w:val="20"/>
          <w:lang w:eastAsia="sl-SI"/>
        </w:rPr>
      </w:pPr>
      <w:r>
        <w:t>V že sedmem sklopu predplačil za obnovo poškodovanih stanovanj bo 116 upravičencev prejelo nekaj manj kot pol milijona evrov</w:t>
      </w:r>
    </w:p>
    <w:p w14:paraId="03BF702F" w14:textId="77777777" w:rsidR="00C96561" w:rsidRPr="00040AAB" w:rsidRDefault="00C96561" w:rsidP="00C96561">
      <w:pPr>
        <w:rPr>
          <w:szCs w:val="20"/>
        </w:rPr>
      </w:pPr>
      <w:r w:rsidRPr="003F4E08">
        <w:rPr>
          <w:color w:val="000000"/>
        </w:rPr>
        <w:t xml:space="preserve">Vlada se je seznanila s </w:t>
      </w:r>
      <w:r w:rsidRPr="003F4E08">
        <w:t>Seznamom upravičencev do sedmega sklopa predplačil za obnovo stanovanj, poškodovanih ob poplavah in plazovih iz avgusta 2023</w:t>
      </w:r>
      <w:r>
        <w:t xml:space="preserve">, ki ga je pripravilo Ministrstvo za naravne vire in prostor. </w:t>
      </w:r>
      <w:r w:rsidRPr="003A5F13">
        <w:rPr>
          <w:szCs w:val="20"/>
        </w:rPr>
        <w:t>Pri pripravi seznama upravičencev do predplačil so bili upoštevani z zakonom določeni kriteriji, podatki</w:t>
      </w:r>
      <w:r>
        <w:rPr>
          <w:szCs w:val="20"/>
        </w:rPr>
        <w:t>,</w:t>
      </w:r>
      <w:r w:rsidRPr="003A5F13">
        <w:rPr>
          <w:szCs w:val="20"/>
        </w:rPr>
        <w:t xml:space="preserve"> prejeti iz spletne aplikacije A</w:t>
      </w:r>
      <w:r>
        <w:rPr>
          <w:szCs w:val="20"/>
        </w:rPr>
        <w:t>jda,</w:t>
      </w:r>
      <w:r w:rsidRPr="003A5F13">
        <w:rPr>
          <w:szCs w:val="20"/>
        </w:rPr>
        <w:t xml:space="preserve"> in podatki katastra nepremičnin. </w:t>
      </w:r>
    </w:p>
    <w:p w14:paraId="623F7CEF" w14:textId="77777777" w:rsidR="00C96561" w:rsidRDefault="00C96561" w:rsidP="00C96561"/>
    <w:p w14:paraId="38A8D011" w14:textId="77777777" w:rsidR="00C96561" w:rsidRDefault="00C96561" w:rsidP="00C96561">
      <w:r>
        <w:t xml:space="preserve">V sedmem sklopu bo 116 upravičencem izplačanih </w:t>
      </w:r>
      <w:r w:rsidRPr="00517FE3">
        <w:rPr>
          <w:szCs w:val="20"/>
          <w:lang w:eastAsia="sl-SI"/>
        </w:rPr>
        <w:t>skup</w:t>
      </w:r>
      <w:r>
        <w:rPr>
          <w:szCs w:val="20"/>
          <w:lang w:eastAsia="sl-SI"/>
        </w:rPr>
        <w:t>aj</w:t>
      </w:r>
      <w:r w:rsidRPr="00517FE3">
        <w:rPr>
          <w:szCs w:val="20"/>
          <w:lang w:eastAsia="sl-SI"/>
        </w:rPr>
        <w:t xml:space="preserve"> </w:t>
      </w:r>
      <w:r w:rsidRPr="0034730D">
        <w:t>4</w:t>
      </w:r>
      <w:r>
        <w:t>88</w:t>
      </w:r>
      <w:r w:rsidRPr="0034730D">
        <w:t>.</w:t>
      </w:r>
      <w:r>
        <w:t>110</w:t>
      </w:r>
      <w:r w:rsidRPr="0034730D">
        <w:t>,</w:t>
      </w:r>
      <w:r>
        <w:t>0</w:t>
      </w:r>
      <w:r w:rsidRPr="0034730D">
        <w:t xml:space="preserve">2 </w:t>
      </w:r>
      <w:r w:rsidRPr="00517FE3">
        <w:rPr>
          <w:szCs w:val="20"/>
          <w:lang w:eastAsia="sl-SI"/>
        </w:rPr>
        <w:t>evra.</w:t>
      </w:r>
      <w:r w:rsidRPr="002A3C19">
        <w:rPr>
          <w:szCs w:val="20"/>
          <w:lang w:eastAsia="sl-SI"/>
        </w:rPr>
        <w:t xml:space="preserve"> </w:t>
      </w:r>
      <w:r>
        <w:t xml:space="preserve">Finančna uprava bo predplačila nakazala v naslednjih dneh. Z namenom transparentne porabe proračunskih sredstev bo seznam upravičencev objavljen </w:t>
      </w:r>
      <w:r w:rsidRPr="003F4E08">
        <w:t>na osrednjem spletnem mestu državne uprave.</w:t>
      </w:r>
      <w:r>
        <w:t xml:space="preserve"> </w:t>
      </w:r>
    </w:p>
    <w:p w14:paraId="3F42DD97" w14:textId="77777777" w:rsidR="00C96561" w:rsidRDefault="00C96561" w:rsidP="00C96561"/>
    <w:p w14:paraId="033BB34A" w14:textId="77777777" w:rsidR="00C96561" w:rsidRDefault="00C96561" w:rsidP="00C96561">
      <w:r>
        <w:t xml:space="preserve">Skupni znesek v sedmih paketih predplačil je tako 35,1 milijona evrov za skupaj 7.560 lastnikov poškodovanih stanovanjskih objektov. </w:t>
      </w:r>
    </w:p>
    <w:p w14:paraId="2459D1A9" w14:textId="77777777" w:rsidR="00C96561" w:rsidRDefault="00C96561" w:rsidP="00C96561"/>
    <w:p w14:paraId="24CD0795" w14:textId="77777777" w:rsidR="00C96561" w:rsidRDefault="00C96561" w:rsidP="00C96561">
      <w:r w:rsidRPr="00567154">
        <w:t xml:space="preserve">Vlada je z novelo zakona o interventnih ukrepih za odpravo posledic poplav in zemeljskih plazov iz avgusta 2023 določila, da </w:t>
      </w:r>
      <w:r>
        <w:t xml:space="preserve">prvič doslej </w:t>
      </w:r>
      <w:r w:rsidRPr="00567154">
        <w:t>tudi fizičnim osebam, ki so lastniki poškodovanih stanovanj in hiš, zagotovi predplačila za obnovo.</w:t>
      </w:r>
      <w:r>
        <w:t xml:space="preserve"> </w:t>
      </w:r>
      <w:r w:rsidRPr="00567154">
        <w:t xml:space="preserve">Predplačilo se izplača v višini 20 </w:t>
      </w:r>
      <w:r>
        <w:t>%</w:t>
      </w:r>
      <w:r w:rsidRPr="00567154">
        <w:t xml:space="preserve"> ocenjene škode, ki je zavedena v spletni aplikaciji A</w:t>
      </w:r>
      <w:r>
        <w:t>jda, o</w:t>
      </w:r>
      <w:r w:rsidRPr="00567154">
        <w:t>cenjena škoda mora biti več kot 6.000 evrov, objekt pa ne sme biti predviden za nadomestno ali nadomestitveno gradnjo.</w:t>
      </w:r>
    </w:p>
    <w:p w14:paraId="68A898AC" w14:textId="77777777" w:rsidR="00C96561" w:rsidRDefault="00C96561" w:rsidP="00C96561"/>
    <w:p w14:paraId="26F5EB82" w14:textId="77777777" w:rsidR="00C96561" w:rsidRDefault="00C96561" w:rsidP="00C96561">
      <w:pPr>
        <w:rPr>
          <w:szCs w:val="20"/>
        </w:rPr>
      </w:pPr>
      <w:r w:rsidRPr="003A5F13">
        <w:rPr>
          <w:color w:val="000000"/>
          <w:szCs w:val="20"/>
        </w:rPr>
        <w:t xml:space="preserve">Zaradi obsega poškodovanih stanovanjskih objektov ni bilo mogoče </w:t>
      </w:r>
      <w:r>
        <w:rPr>
          <w:color w:val="000000"/>
          <w:szCs w:val="20"/>
        </w:rPr>
        <w:t xml:space="preserve">hkrati </w:t>
      </w:r>
      <w:r w:rsidRPr="003A5F13">
        <w:rPr>
          <w:color w:val="000000"/>
          <w:szCs w:val="20"/>
        </w:rPr>
        <w:t>zagotovitvi celovitega seznama vseh upravičencev</w:t>
      </w:r>
      <w:r>
        <w:rPr>
          <w:color w:val="000000"/>
          <w:szCs w:val="20"/>
        </w:rPr>
        <w:t xml:space="preserve">, tudi zato, ker so podatki v mnogih primerih neurejeni (na primer lastništvo). </w:t>
      </w:r>
      <w:r w:rsidRPr="00072205">
        <w:rPr>
          <w:szCs w:val="20"/>
        </w:rPr>
        <w:t>Glede na sprememb</w:t>
      </w:r>
      <w:r>
        <w:rPr>
          <w:szCs w:val="20"/>
        </w:rPr>
        <w:t>e</w:t>
      </w:r>
      <w:r w:rsidRPr="00072205">
        <w:rPr>
          <w:szCs w:val="20"/>
        </w:rPr>
        <w:t xml:space="preserve"> nabora objektov,</w:t>
      </w:r>
      <w:r>
        <w:rPr>
          <w:color w:val="FF0000"/>
          <w:szCs w:val="20"/>
        </w:rPr>
        <w:t xml:space="preserve"> </w:t>
      </w:r>
      <w:r w:rsidRPr="003A5F13">
        <w:rPr>
          <w:szCs w:val="20"/>
        </w:rPr>
        <w:t xml:space="preserve">ki </w:t>
      </w:r>
      <w:r>
        <w:rPr>
          <w:szCs w:val="20"/>
        </w:rPr>
        <w:t>so bili predhodno predvideni za odstranitev v</w:t>
      </w:r>
      <w:r w:rsidRPr="003A5F13">
        <w:rPr>
          <w:szCs w:val="20"/>
        </w:rPr>
        <w:t xml:space="preserve"> skladu s strokovnim mnenjem vladne službe </w:t>
      </w:r>
      <w:r>
        <w:rPr>
          <w:szCs w:val="20"/>
        </w:rPr>
        <w:t>ter dodatni verifikaciji podatkov iz ocene škode ter ureditvi podatkov o lastništvu, je bil pripravljen sedmi sklop.</w:t>
      </w:r>
    </w:p>
    <w:p w14:paraId="435898B8" w14:textId="77777777" w:rsidR="00C96561" w:rsidRDefault="00C96561" w:rsidP="00C96561">
      <w:pPr>
        <w:rPr>
          <w:szCs w:val="20"/>
        </w:rPr>
      </w:pPr>
    </w:p>
    <w:p w14:paraId="38E7910D" w14:textId="77777777" w:rsidR="00C96561" w:rsidRDefault="00C96561" w:rsidP="00C96561">
      <w:pPr>
        <w:rPr>
          <w:szCs w:val="20"/>
        </w:rPr>
      </w:pPr>
      <w:r>
        <w:rPr>
          <w:szCs w:val="20"/>
        </w:rPr>
        <w:lastRenderedPageBreak/>
        <w:t>V maju je vlada potrdila končni program odprave škode, tako da so v teku že postopki za dodelitev končnega zneska. Dejanska višina, do katere bodo posamezniki upravičeni, bo predmet ugotovitvenega postopka za vsako stanovanje posebej. Vsem, ki so prejeli predplačila, se ta odštejejo od končne višine sredstev. Ob tem za vse upravičence velja ponovni poziv, da skrbno hranijo račune in druga dokazila o porabi proračunskih sredstev.</w:t>
      </w:r>
    </w:p>
    <w:p w14:paraId="267EB8E7" w14:textId="442D6099" w:rsidR="00C96561" w:rsidRDefault="00C96561" w:rsidP="00C96561">
      <w:pPr>
        <w:pStyle w:val="Vir"/>
      </w:pPr>
      <w:r>
        <w:t>Vir: Ministrstvo za naravne vire in prostor</w:t>
      </w:r>
    </w:p>
    <w:p w14:paraId="04A2A736" w14:textId="4F96D3D3" w:rsidR="00833EFB" w:rsidRPr="00833EFB" w:rsidRDefault="00833EFB" w:rsidP="00833EFB">
      <w:pPr>
        <w:pStyle w:val="Naslov2"/>
      </w:pPr>
      <w:r w:rsidRPr="00833EFB">
        <w:t>Predlog spremembe št. 1 Programa za odprave posledic neposredne škode na stvareh zaradi poplav 4. avgusta 2023 na področju javnih socialnovarstvenih zavodov.</w:t>
      </w:r>
    </w:p>
    <w:p w14:paraId="15B58049" w14:textId="77777777" w:rsidR="00462EAC" w:rsidRDefault="00833EFB" w:rsidP="00833EFB">
      <w:r w:rsidRPr="00833EFB">
        <w:t xml:space="preserve">Vlada je sprejela Spremembo št. 1 programa za odprave posledic neposredne škoden na stvareh zaradi poplav 4. avgusta 2023 na področju javnih socialnovarstvenih zavodov. Spremembe so nastale pri upravičencih z vidika porabe sredstev sklada proračunske rezerve v letu 2024 za odpravo posledic nastale škode kot posledice naravne nesreče. </w:t>
      </w:r>
      <w:r w:rsidRPr="00833EFB">
        <w:br/>
      </w:r>
    </w:p>
    <w:p w14:paraId="58EB91F6" w14:textId="360C6CC5" w:rsidR="00833EFB" w:rsidRPr="00833EFB" w:rsidRDefault="00833EFB" w:rsidP="00833EFB">
      <w:r w:rsidRPr="00833EFB">
        <w:t>Za obnovo stvari, ki so zajete v Spremembi št. 1 programa odprave neposredne škode na stvareh zaradi poplav, se v okviru sklada proračunske rezerve v letu 2024 zagotovijo sredstva iz proračunske rezerve, in sicer v višini 2.165.383,31 EUR.    </w:t>
      </w:r>
    </w:p>
    <w:p w14:paraId="5F0ABF0E" w14:textId="70F11B4D" w:rsidR="00660E38" w:rsidRPr="00462EAC" w:rsidRDefault="00833EFB" w:rsidP="00462EAC">
      <w:pPr>
        <w:pStyle w:val="Vir"/>
      </w:pPr>
      <w:r w:rsidRPr="00833EFB">
        <w:t>Vir: Ministrstvo za solidarno prihodnost</w:t>
      </w:r>
    </w:p>
    <w:p w14:paraId="59EE8735" w14:textId="77777777" w:rsidR="00833EFB" w:rsidRPr="007B22DA" w:rsidRDefault="00833EFB" w:rsidP="00833EFB">
      <w:pPr>
        <w:pStyle w:val="Naslov2"/>
        <w:rPr>
          <w:lang w:eastAsia="sl-SI"/>
        </w:rPr>
      </w:pPr>
      <w:bookmarkStart w:id="5" w:name="_Hlk177646728"/>
      <w:r w:rsidRPr="007B22DA">
        <w:rPr>
          <w:lang w:eastAsia="sl-SI"/>
        </w:rPr>
        <w:t>Vlada je v Načrt razvojnih programov 2024–2027 uvrstila nova projekta</w:t>
      </w:r>
    </w:p>
    <w:p w14:paraId="7B4DB35D" w14:textId="6FF834EF" w:rsidR="00833EFB" w:rsidRPr="00462EAC" w:rsidRDefault="00833EFB" w:rsidP="00462EAC">
      <w:pPr>
        <w:rPr>
          <w:rFonts w:cs="Arial"/>
          <w:lang w:eastAsia="sl-SI"/>
        </w:rPr>
      </w:pPr>
      <w:r w:rsidRPr="007B22DA">
        <w:rPr>
          <w:lang w:eastAsia="sl-SI"/>
        </w:rPr>
        <w:t>Vlada je v Načrt razvojnih programov 2024–2027 pri proračunskem uporabniku Slovenska vojska uvrstila nova projekta, in sicer Situacijski center kibernetske obrambe ter Nacionalni zdravstveni center za izredne razmere.</w:t>
      </w:r>
    </w:p>
    <w:p w14:paraId="6EE6F4E3" w14:textId="77777777" w:rsidR="00833EFB" w:rsidRPr="007B22DA" w:rsidRDefault="00833EFB" w:rsidP="00462EAC">
      <w:pPr>
        <w:rPr>
          <w:lang w:eastAsia="sl-SI"/>
        </w:rPr>
      </w:pPr>
      <w:r w:rsidRPr="007B22DA">
        <w:rPr>
          <w:lang w:eastAsia="sl-SI"/>
        </w:rPr>
        <w:t> </w:t>
      </w:r>
    </w:p>
    <w:p w14:paraId="2D4D9D48" w14:textId="77777777" w:rsidR="00833EFB" w:rsidRPr="007B22DA" w:rsidRDefault="00833EFB" w:rsidP="00462EAC">
      <w:pPr>
        <w:rPr>
          <w:b/>
          <w:bCs/>
          <w:lang w:eastAsia="sl-SI"/>
        </w:rPr>
      </w:pPr>
      <w:r w:rsidRPr="007B22DA">
        <w:rPr>
          <w:b/>
          <w:bCs/>
          <w:lang w:eastAsia="sl-SI"/>
        </w:rPr>
        <w:t>Situacijski center kibernetske obrambe</w:t>
      </w:r>
    </w:p>
    <w:p w14:paraId="15978D87" w14:textId="77777777" w:rsidR="00833EFB" w:rsidRPr="007B22DA" w:rsidRDefault="00833EFB" w:rsidP="00462EAC">
      <w:pPr>
        <w:rPr>
          <w:lang w:eastAsia="sl-SI"/>
        </w:rPr>
      </w:pPr>
      <w:r w:rsidRPr="007B22DA">
        <w:rPr>
          <w:spacing w:val="-1"/>
          <w:lang w:val="bs-Latn-BA" w:eastAsia="sl-SI"/>
        </w:rPr>
        <w:t>Namen projekta je dvig kibernetske varnosti na nacionalni ravni, s čimer bo na državni ravni vzpostavljen združeni situacijski center kibernetske obrambe za stalno spremljanje, zaznavanje in izvajanje postopkov za zamejitev kibernetskih groženj.</w:t>
      </w:r>
    </w:p>
    <w:p w14:paraId="721D3A9F" w14:textId="77777777" w:rsidR="00833EFB" w:rsidRPr="007B22DA" w:rsidRDefault="00833EFB" w:rsidP="00462EAC">
      <w:pPr>
        <w:rPr>
          <w:lang w:eastAsia="sl-SI"/>
        </w:rPr>
      </w:pPr>
      <w:r w:rsidRPr="007B22DA">
        <w:rPr>
          <w:spacing w:val="-1"/>
          <w:lang w:val="bs-Latn-BA" w:eastAsia="sl-SI"/>
        </w:rPr>
        <w:t> </w:t>
      </w:r>
    </w:p>
    <w:p w14:paraId="665EEA02" w14:textId="77777777" w:rsidR="00833EFB" w:rsidRPr="007B22DA" w:rsidRDefault="00833EFB" w:rsidP="00462EAC">
      <w:pPr>
        <w:rPr>
          <w:lang w:eastAsia="sl-SI"/>
        </w:rPr>
      </w:pPr>
      <w:r w:rsidRPr="007B22DA">
        <w:rPr>
          <w:spacing w:val="-1"/>
          <w:lang w:val="bs-Latn-BA" w:eastAsia="sl-SI"/>
        </w:rPr>
        <w:t>S projektom bo vzpostavljen sistem zaznavanja kibernetskih groženj, ki bo bistven za zaščito subjektov pred zlonamernimi kibernetskimi dejavnostmi in za okrepitev odpornosti na področju kibernetske varnosti. Investicija obsega nakup opreme za vzpostavitev zmogljivosti združenega situacijskega centra kibernetske obrambe, ki bo zagotavljala zajem, obdelavo, analizo, hrambo in posredovanje informacij o kibernetskih grožnjah. Zahteve po omenjeni zmogljivosti izhajajo iz zakonskih zavez, ki določajo, da morajo organi v Republiki Sloveniji, ki izvajajo kibernetsko obrambo na različnih ravneh, izvajati usklajene organizacijske, procesne, tehnične in administrativne ukrepe ter dejavnosti za zagotavljanje celovite informacijske varnosti v skladu s svojimi pristojnostmi. V projekt sta vključeni tudi pripadajoče izobraževanje in usposabljanje kadra, ki bo te rešitve uporabljal. Vzpostavljen bo sistem zaznavanja dogajanja v kibernetskem prostoru z zmožnostjo priprave ocene situacijskega zavedanja na področju kibernetske in nacionalne varnosti v Republiki Sloveniji.</w:t>
      </w:r>
    </w:p>
    <w:p w14:paraId="62443F7E" w14:textId="77777777" w:rsidR="00833EFB" w:rsidRPr="007B22DA" w:rsidRDefault="00833EFB" w:rsidP="00462EAC">
      <w:pPr>
        <w:rPr>
          <w:lang w:eastAsia="sl-SI"/>
        </w:rPr>
      </w:pPr>
    </w:p>
    <w:p w14:paraId="6F44ACC5" w14:textId="77777777" w:rsidR="00833EFB" w:rsidRPr="007B22DA" w:rsidRDefault="00833EFB" w:rsidP="00462EAC">
      <w:pPr>
        <w:rPr>
          <w:lang w:eastAsia="sl-SI"/>
        </w:rPr>
      </w:pPr>
      <w:r w:rsidRPr="007B22DA">
        <w:rPr>
          <w:lang w:val="bs-Latn-BA" w:eastAsia="sl-SI"/>
        </w:rPr>
        <w:t>Situacijski center kibernetske obrambe bo zagotovil:</w:t>
      </w:r>
    </w:p>
    <w:p w14:paraId="38A50644" w14:textId="77777777" w:rsidR="00833EFB" w:rsidRPr="007B22DA" w:rsidRDefault="00833EFB" w:rsidP="00462EAC">
      <w:pPr>
        <w:rPr>
          <w:lang w:eastAsia="sl-SI"/>
        </w:rPr>
      </w:pPr>
      <w:r w:rsidRPr="007B22DA">
        <w:rPr>
          <w:lang w:val="bs-Latn-BA" w:eastAsia="sl-SI"/>
        </w:rPr>
        <w:t>– povečanje varnosti omrežij nosilcev obrambnega načrtovanja zaradi združenega situacijskega centra kibernetske obrambe;</w:t>
      </w:r>
    </w:p>
    <w:p w14:paraId="2DEE2C8E" w14:textId="77777777" w:rsidR="00833EFB" w:rsidRPr="007B22DA" w:rsidRDefault="00833EFB" w:rsidP="00462EAC">
      <w:pPr>
        <w:rPr>
          <w:lang w:eastAsia="sl-SI"/>
        </w:rPr>
      </w:pPr>
      <w:r w:rsidRPr="007B22DA">
        <w:rPr>
          <w:lang w:val="bs-Latn-BA" w:eastAsia="sl-SI"/>
        </w:rPr>
        <w:t>– povečanje učinkovitosti operativnih organov v sistemu kibernetske varnosti in izboljšanje odpornosti na kibernetske grožnje vključenih organizacij;</w:t>
      </w:r>
    </w:p>
    <w:p w14:paraId="253012DD" w14:textId="77777777" w:rsidR="00833EFB" w:rsidRPr="007B22DA" w:rsidRDefault="00833EFB" w:rsidP="00462EAC">
      <w:pPr>
        <w:rPr>
          <w:lang w:eastAsia="sl-SI"/>
        </w:rPr>
      </w:pPr>
      <w:r w:rsidRPr="007B22DA">
        <w:rPr>
          <w:lang w:val="bs-Latn-BA" w:eastAsia="sl-SI"/>
        </w:rPr>
        <w:t>– zmanjšanje posledic potencialnih varnostnih incidentov in zvišanje ravni kibernetske varnosti zaradi pravočasnega obveščanja o kibernetskih grožnjah;</w:t>
      </w:r>
    </w:p>
    <w:p w14:paraId="40506281" w14:textId="77777777" w:rsidR="00833EFB" w:rsidRPr="007B22DA" w:rsidRDefault="00833EFB" w:rsidP="00462EAC">
      <w:pPr>
        <w:rPr>
          <w:lang w:eastAsia="sl-SI"/>
        </w:rPr>
      </w:pPr>
      <w:r w:rsidRPr="007B22DA">
        <w:rPr>
          <w:lang w:val="bs-Latn-BA" w:eastAsia="sl-SI"/>
        </w:rPr>
        <w:t>– plošen dvig ravni kibernetske varnosti na nacionalni ravni;</w:t>
      </w:r>
    </w:p>
    <w:p w14:paraId="66DFCDDF" w14:textId="77777777" w:rsidR="00833EFB" w:rsidRPr="007B22DA" w:rsidRDefault="00833EFB" w:rsidP="00462EAC">
      <w:pPr>
        <w:rPr>
          <w:lang w:eastAsia="sl-SI"/>
        </w:rPr>
      </w:pPr>
      <w:r w:rsidRPr="007B22DA">
        <w:rPr>
          <w:lang w:val="bs-Latn-BA" w:eastAsia="sl-SI"/>
        </w:rPr>
        <w:lastRenderedPageBreak/>
        <w:t>– zaščito končnih naprav;</w:t>
      </w:r>
    </w:p>
    <w:p w14:paraId="32E9CA24" w14:textId="77777777" w:rsidR="00833EFB" w:rsidRPr="007B22DA" w:rsidRDefault="00833EFB" w:rsidP="00462EAC">
      <w:pPr>
        <w:rPr>
          <w:lang w:eastAsia="sl-SI"/>
        </w:rPr>
      </w:pPr>
      <w:r w:rsidRPr="007B22DA">
        <w:rPr>
          <w:lang w:val="bs-Latn-BA" w:eastAsia="sl-SI"/>
        </w:rPr>
        <w:t>– povečanje odpornosti na kibernetska tveganja z uporabo naprednih mehanizmov ocenjevanja tveganj za sprotno zaznavanje in odzivanje na nove grožnje.</w:t>
      </w:r>
    </w:p>
    <w:p w14:paraId="4DFC90A8" w14:textId="77777777" w:rsidR="00833EFB" w:rsidRPr="007B22DA" w:rsidRDefault="00833EFB" w:rsidP="00462EAC">
      <w:pPr>
        <w:rPr>
          <w:lang w:eastAsia="sl-SI"/>
        </w:rPr>
      </w:pPr>
    </w:p>
    <w:p w14:paraId="6D46651B" w14:textId="77777777" w:rsidR="00833EFB" w:rsidRPr="007B22DA" w:rsidRDefault="00833EFB" w:rsidP="00462EAC">
      <w:pPr>
        <w:rPr>
          <w:lang w:eastAsia="sl-SI"/>
        </w:rPr>
      </w:pPr>
      <w:r w:rsidRPr="007B22DA">
        <w:rPr>
          <w:lang w:eastAsia="sl-SI"/>
        </w:rPr>
        <w:t>Izhodiščna vrednost projekta Situacijski center kibernetske obrambe je 33.530.091 EUR z DDV.</w:t>
      </w:r>
    </w:p>
    <w:p w14:paraId="40A1A21D" w14:textId="77777777" w:rsidR="00833EFB" w:rsidRPr="007B22DA" w:rsidRDefault="00833EFB" w:rsidP="00462EAC">
      <w:pPr>
        <w:rPr>
          <w:lang w:eastAsia="sl-SI"/>
        </w:rPr>
      </w:pPr>
      <w:r w:rsidRPr="007B22DA">
        <w:rPr>
          <w:lang w:eastAsia="sl-SI"/>
        </w:rPr>
        <w:t> </w:t>
      </w:r>
    </w:p>
    <w:p w14:paraId="13D4FC31" w14:textId="77777777" w:rsidR="00833EFB" w:rsidRPr="007B22DA" w:rsidRDefault="00833EFB" w:rsidP="00462EAC">
      <w:pPr>
        <w:rPr>
          <w:b/>
          <w:bCs/>
          <w:lang w:eastAsia="sl-SI"/>
        </w:rPr>
      </w:pPr>
      <w:r w:rsidRPr="007B22DA">
        <w:rPr>
          <w:b/>
          <w:bCs/>
          <w:lang w:eastAsia="sl-SI"/>
        </w:rPr>
        <w:t>Nacionalni zdravstveni center za izredne razmere</w:t>
      </w:r>
    </w:p>
    <w:p w14:paraId="6CDBAC7B" w14:textId="77777777" w:rsidR="00833EFB" w:rsidRPr="007B22DA" w:rsidRDefault="00833EFB" w:rsidP="00462EAC">
      <w:pPr>
        <w:rPr>
          <w:lang w:eastAsia="sl-SI"/>
        </w:rPr>
      </w:pPr>
      <w:r w:rsidRPr="007B22DA">
        <w:rPr>
          <w:lang w:eastAsia="sl-SI"/>
        </w:rPr>
        <w:t>Nedavna epidemija covida-19 je razkrila nekatere vrzeli v odpornosti osrednje bolnišnične infrastrukture nacionalnega pomena in med drugim pokazala, da država nima zmogljivosti za koncentrirano bolnišnično obravnavo veliko pacientov v enakem ali podobnem nujnem zdravstvenem stanju.</w:t>
      </w:r>
    </w:p>
    <w:p w14:paraId="4274CBDE" w14:textId="77777777" w:rsidR="00833EFB" w:rsidRPr="007B22DA" w:rsidRDefault="00833EFB" w:rsidP="00462EAC">
      <w:pPr>
        <w:rPr>
          <w:lang w:eastAsia="sl-SI"/>
        </w:rPr>
      </w:pPr>
      <w:r w:rsidRPr="007B22DA">
        <w:rPr>
          <w:lang w:eastAsia="sl-SI"/>
        </w:rPr>
        <w:t> </w:t>
      </w:r>
    </w:p>
    <w:p w14:paraId="15BDCDC1" w14:textId="77777777" w:rsidR="00833EFB" w:rsidRPr="007B22DA" w:rsidRDefault="00833EFB" w:rsidP="00462EAC">
      <w:r w:rsidRPr="007B22DA">
        <w:rPr>
          <w:lang w:val="bs-Latn-BA" w:eastAsia="sl-SI"/>
        </w:rPr>
        <w:t>Namen projekta je izgradnja in oprema novega Nacionalnega zdravstvenega centra za izredne razmere kot vojaške bolnišnice, ki bo vključena v javni zdravstveni sistem in bo z združenimi močmi Vojaške zdravstvene enote Slovenske vojske ter UKC Ljubljana zagotovila povečano odpornost Republike Slovenije v primerih, v katerih je lahko obolelih, poškodovanih ali ranjenih veliko ljudi.</w:t>
      </w:r>
      <w:r w:rsidRPr="007B22DA">
        <w:t xml:space="preserve"> Gre za zdravstveno zmogljivost za dvojno rabo, in sicer tako za zagotavljanje zdravstvene oskrbe za vojaške namene kot uporabo v okviru javnega zdravstva. </w:t>
      </w:r>
    </w:p>
    <w:p w14:paraId="2D8B313E" w14:textId="77777777" w:rsidR="00833EFB" w:rsidRPr="007B22DA" w:rsidRDefault="00833EFB" w:rsidP="00462EAC">
      <w:pPr>
        <w:rPr>
          <w:lang w:eastAsia="sl-SI"/>
        </w:rPr>
      </w:pPr>
    </w:p>
    <w:p w14:paraId="4FECDFFA" w14:textId="77777777" w:rsidR="00833EFB" w:rsidRPr="007B22DA" w:rsidRDefault="00833EFB" w:rsidP="00462EAC">
      <w:pPr>
        <w:rPr>
          <w:lang w:eastAsia="sl-SI"/>
        </w:rPr>
      </w:pPr>
      <w:r w:rsidRPr="007B22DA">
        <w:rPr>
          <w:lang w:val="bs-Latn-BA" w:eastAsia="sl-SI"/>
        </w:rPr>
        <w:t>V okviru vzpostavitve Nacionalnega zdravstvenega centra za izredne razmere bo zgrajen severni prizidek Bolnišnice dr. Petra Držaja v Ljubljani. Tako se bo dejansko povečal in ne samo nadomestil del obstoječih dotrajanih zmogljivosti za bolnišnično zdravstveno obravnavo prebivalstva.</w:t>
      </w:r>
    </w:p>
    <w:p w14:paraId="4D596C76" w14:textId="77777777" w:rsidR="00833EFB" w:rsidRPr="007B22DA" w:rsidRDefault="00833EFB" w:rsidP="00462EAC">
      <w:pPr>
        <w:rPr>
          <w:lang w:eastAsia="sl-SI"/>
        </w:rPr>
      </w:pPr>
      <w:r w:rsidRPr="007B22DA">
        <w:rPr>
          <w:lang w:val="bs-Latn-BA" w:eastAsia="sl-SI"/>
        </w:rPr>
        <w:t> </w:t>
      </w:r>
    </w:p>
    <w:p w14:paraId="7AA2C142" w14:textId="77777777" w:rsidR="00833EFB" w:rsidRPr="007B22DA" w:rsidRDefault="00833EFB" w:rsidP="00462EAC">
      <w:pPr>
        <w:rPr>
          <w:lang w:eastAsia="sl-SI"/>
        </w:rPr>
      </w:pPr>
      <w:r w:rsidRPr="007B22DA">
        <w:rPr>
          <w:lang w:val="bs-Latn-BA" w:eastAsia="sl-SI"/>
        </w:rPr>
        <w:t>Izgradnja in oprema nove vojaške bolnišnice zajema bruto površino 18.700 m</w:t>
      </w:r>
      <w:r w:rsidRPr="007B22DA">
        <w:rPr>
          <w:vertAlign w:val="superscript"/>
          <w:lang w:val="bs-Latn-BA" w:eastAsia="sl-SI"/>
        </w:rPr>
        <w:t>2</w:t>
      </w:r>
      <w:r w:rsidRPr="007B22DA">
        <w:rPr>
          <w:lang w:val="bs-Latn-BA" w:eastAsia="sl-SI"/>
        </w:rPr>
        <w:t>, od tega bo 12.900 m</w:t>
      </w:r>
      <w:r w:rsidRPr="007B22DA">
        <w:rPr>
          <w:vertAlign w:val="superscript"/>
          <w:lang w:val="bs-Latn-BA" w:eastAsia="sl-SI"/>
        </w:rPr>
        <w:t>2</w:t>
      </w:r>
      <w:r w:rsidRPr="007B22DA">
        <w:rPr>
          <w:lang w:val="bs-Latn-BA" w:eastAsia="sl-SI"/>
        </w:rPr>
        <w:t> namenjenih glavnim in spremljajočim prostorom bolnišnice z najmanj 160 bolniškimi posteljami, celovito funkcionalno diagnostiko, štirimi operacijskimi dvoranami v funkcionalno urejenem operativnem bloku, z intenzivnimi in izolacijskimi posteljnimi enotami ter bolniškimi oddelki za standardno nego. Razliko do polne bruto površine predstavlja dvoetažna podzemna garaža s parkirnimi površinami.</w:t>
      </w:r>
    </w:p>
    <w:p w14:paraId="50DCEB60" w14:textId="77777777" w:rsidR="00833EFB" w:rsidRPr="007B22DA" w:rsidRDefault="00833EFB" w:rsidP="00462EAC">
      <w:pPr>
        <w:rPr>
          <w:lang w:eastAsia="sl-SI"/>
        </w:rPr>
      </w:pPr>
      <w:r w:rsidRPr="007B22DA">
        <w:rPr>
          <w:lang w:val="bs-Latn-BA" w:eastAsia="sl-SI"/>
        </w:rPr>
        <w:t> </w:t>
      </w:r>
    </w:p>
    <w:p w14:paraId="463E9904" w14:textId="77777777" w:rsidR="00833EFB" w:rsidRDefault="00833EFB" w:rsidP="00462EAC">
      <w:pPr>
        <w:rPr>
          <w:lang w:eastAsia="sl-SI"/>
        </w:rPr>
      </w:pPr>
      <w:r w:rsidRPr="007B22DA">
        <w:rPr>
          <w:lang w:eastAsia="sl-SI"/>
        </w:rPr>
        <w:t>Izhodiščna vrednost projekta Nacionalni zdravstveni center za izredne razmere je 86.916.198 EUR z DDV.</w:t>
      </w:r>
    </w:p>
    <w:p w14:paraId="4AB1073A" w14:textId="77777777" w:rsidR="00DB14B1" w:rsidRDefault="00833EFB" w:rsidP="00DB14B1">
      <w:pPr>
        <w:pStyle w:val="Vir"/>
        <w:rPr>
          <w:lang w:eastAsia="sl-SI"/>
        </w:rPr>
      </w:pPr>
      <w:r>
        <w:rPr>
          <w:lang w:eastAsia="sl-SI"/>
        </w:rPr>
        <w:t>Vir: Ministrstvo za obrambo</w:t>
      </w:r>
      <w:bookmarkEnd w:id="5"/>
    </w:p>
    <w:p w14:paraId="2C90E90C" w14:textId="782369C3" w:rsidR="00A62095" w:rsidRPr="00DB14B1" w:rsidRDefault="00A62095" w:rsidP="00DB14B1">
      <w:pPr>
        <w:pStyle w:val="Naslov2"/>
        <w:rPr>
          <w:lang w:eastAsia="sl-SI"/>
        </w:rPr>
      </w:pPr>
      <w:r w:rsidRPr="0034717F">
        <w:t>Vlada je sprejela mnenje k predlogu novele Kazenskega zakonika (KZ-1L)</w:t>
      </w:r>
    </w:p>
    <w:p w14:paraId="6A9D8ECE" w14:textId="77777777" w:rsidR="00A62095" w:rsidRPr="00AF15D4" w:rsidRDefault="00A62095" w:rsidP="00A62095">
      <w:r w:rsidRPr="00AF15D4">
        <w:t>Vlada ne podpira</w:t>
      </w:r>
      <w:r w:rsidRPr="0034717F">
        <w:t xml:space="preserve"> novele</w:t>
      </w:r>
      <w:r w:rsidRPr="00AF15D4">
        <w:rPr>
          <w:b/>
          <w:bCs/>
        </w:rPr>
        <w:t xml:space="preserve"> </w:t>
      </w:r>
      <w:r w:rsidRPr="00AF15D4">
        <w:t xml:space="preserve">Kazenskega zakonika (KZ-1L), ki ga je Državnemu zboru predložila skupina poslank in poslancev s prvopodpisano dr. Vido Čadonič Špelič. </w:t>
      </w:r>
    </w:p>
    <w:p w14:paraId="397C5891" w14:textId="77777777" w:rsidR="00A62095" w:rsidRPr="00AF15D4" w:rsidRDefault="00A62095" w:rsidP="00A62095">
      <w:pPr>
        <w:rPr>
          <w:b/>
        </w:rPr>
      </w:pPr>
    </w:p>
    <w:p w14:paraId="725E8372" w14:textId="77777777" w:rsidR="00A62095" w:rsidRPr="00AF15D4" w:rsidRDefault="00A62095" w:rsidP="00A62095">
      <w:r w:rsidRPr="00AF15D4">
        <w:t xml:space="preserve">Vlada v mnenju pojasnjuje, zakaj ne podpira </w:t>
      </w:r>
      <w:r w:rsidRPr="00AF15D4">
        <w:rPr>
          <w:color w:val="000000"/>
          <w:lang w:eastAsia="sl-SI"/>
        </w:rPr>
        <w:t>predlagane dopolnitve Kazenskega zakonika z znižanjem starosti, pri kateri je mladoletniku mogoče izreči kazen mladoletniškega zapora s 16 na 14 let in uvedbo možnosti izreka kazni mladoletniškega zapora starejšemu mladoletniku že za milejša kazniva dejanja kot to dopušča sedanja ureditev.</w:t>
      </w:r>
    </w:p>
    <w:p w14:paraId="362658A4" w14:textId="77777777" w:rsidR="00DB14B1" w:rsidRDefault="00DB14B1" w:rsidP="00A62095"/>
    <w:p w14:paraId="2EE5A546" w14:textId="4B667F16" w:rsidR="00A62095" w:rsidRPr="00AF15D4" w:rsidRDefault="00A62095" w:rsidP="00A62095">
      <w:r w:rsidRPr="00AF15D4">
        <w:t xml:space="preserve">Škodljive učinke zapora na mladoletnike so dokazale številne raziskave, </w:t>
      </w:r>
      <w:proofErr w:type="spellStart"/>
      <w:r w:rsidRPr="00AF15D4">
        <w:t>nenazadnje</w:t>
      </w:r>
      <w:proofErr w:type="spellEnd"/>
      <w:r w:rsidRPr="00AF15D4">
        <w:t xml:space="preserve"> pa so bila ravno spoznanja o neučinkovitosti pretirano represivnega pristopa k obravnavi mladoletnikov že leta 1959 razlog za odstop od takega zakonskega modela mladoletniškega kazenskega pravosodja.</w:t>
      </w:r>
    </w:p>
    <w:p w14:paraId="09482A8C" w14:textId="77777777" w:rsidR="00DB14B1" w:rsidRDefault="00DB14B1" w:rsidP="00A62095"/>
    <w:p w14:paraId="3B0247D2" w14:textId="019D440C" w:rsidR="00A62095" w:rsidRPr="00AF15D4" w:rsidRDefault="00A62095" w:rsidP="00A62095">
      <w:r w:rsidRPr="00AF15D4">
        <w:t xml:space="preserve">Predlagatelj sicer navaja, da ne bo finančnih posledic, kar ne drži, saj bi bilo nujno treba zagotoviti vsaj dodatne zaposlitve ustreznih strokovnjakov v Zavodu za prestajanje kazni zapora in mladoletniškega </w:t>
      </w:r>
      <w:r w:rsidRPr="00AF15D4">
        <w:lastRenderedPageBreak/>
        <w:t>zapora v Celju, ki bi poskrbeli za ustrezno obravnavo najmlajših storilcev kaznivih dejanj, in glede na že siceršnjo prostorsko stiskov v Zavodih za prestajanje kazni zapora, urediti nove, ustrezne prostore.</w:t>
      </w:r>
    </w:p>
    <w:p w14:paraId="7AE3ED44" w14:textId="5E58FEF4" w:rsidR="00660E38" w:rsidRPr="00DB14B1" w:rsidRDefault="00A62095" w:rsidP="00DB14B1">
      <w:pPr>
        <w:pStyle w:val="Vir"/>
      </w:pPr>
      <w:r w:rsidRPr="00A62095">
        <w:t>Vir: Ministrstvo za pravosodje</w:t>
      </w:r>
    </w:p>
    <w:p w14:paraId="7EBEBD78" w14:textId="77777777" w:rsidR="00823D24" w:rsidRDefault="00823D24" w:rsidP="00823D24">
      <w:pPr>
        <w:pStyle w:val="Naslov2"/>
        <w:rPr>
          <w:rFonts w:eastAsia="Calibri" w:cs="Arial"/>
        </w:rPr>
      </w:pPr>
      <w:r w:rsidRPr="00BE19ED">
        <w:rPr>
          <w:rFonts w:cs="Arial"/>
        </w:rPr>
        <w:t>Vlada</w:t>
      </w:r>
      <w:r w:rsidRPr="00BE19ED">
        <w:t xml:space="preserve"> </w:t>
      </w:r>
      <w:r w:rsidRPr="005E540E">
        <w:t>sprejela Mnenje o Predlogu Zakona o spremembah in dopolnitvah Zakona o voznikih</w:t>
      </w:r>
    </w:p>
    <w:p w14:paraId="66619EC9" w14:textId="77777777" w:rsidR="00823D24" w:rsidRPr="009F3A44" w:rsidRDefault="00823D24" w:rsidP="00823D24">
      <w:r>
        <w:t xml:space="preserve">Skupina poslank in poslancev (prvopodpisani Janez Cigler Kralj) je Državnemu zboru RS predložila novelo zakona o voznikih. </w:t>
      </w:r>
      <w:r w:rsidRPr="009F3A44">
        <w:t>S predlogom zakona se predpisuje dodaten pogoj za začetek praktičnega dela usposabljanja v šoli vožnje, opravljanje vozniškega izpita in izdajo vozniškega dovoljenja, in sicer izpolnjena osnovnošolska obveznost ter uspešno zaključen vsaj 7. razred osnovne šole v skladu z zakonom, ki ureja osnovno šolo, oziroma pridobljena primerljiva izobrazba v tujini.</w:t>
      </w:r>
    </w:p>
    <w:p w14:paraId="4A1560A8" w14:textId="77777777" w:rsidR="00823D24" w:rsidRPr="009F3A44" w:rsidRDefault="00823D24" w:rsidP="00823D24"/>
    <w:p w14:paraId="3129EC7E" w14:textId="1739D1CA" w:rsidR="00823D24" w:rsidRPr="009F3A44" w:rsidRDefault="00823D24" w:rsidP="00823D24">
      <w:pPr>
        <w:rPr>
          <w:rFonts w:eastAsia="Calibri"/>
        </w:rPr>
      </w:pPr>
      <w:r w:rsidRPr="009F3A44">
        <w:rPr>
          <w:rFonts w:eastAsia="Calibri"/>
        </w:rPr>
        <w:t>Vlada meni, da dodatno pogojevanje pristopa k praktičnemu delu usposabljanja v šoli vožnje, opravljanja vozniškega izpita in dodatno pogojevanje izdaje vozniškega dovoljenja z izpolnjeno osnovnošolsko obveznostjo ter uspešno zaključenim vsaj 7. razredom osnovne šole v skladu z zakonom, ki ureja osnovno šolo, oziroma pridobljeno primerljivo izobrazbo v tujini, ne bo prispevalo k bolj varn</w:t>
      </w:r>
      <w:r>
        <w:rPr>
          <w:rFonts w:eastAsia="Calibri"/>
        </w:rPr>
        <w:t>im</w:t>
      </w:r>
      <w:r w:rsidRPr="009F3A44">
        <w:rPr>
          <w:rFonts w:eastAsia="Calibri"/>
        </w:rPr>
        <w:t xml:space="preserve"> voznikom in izboljšanju varnosti cestnega prometa, zato predloga zakona ne podpira. </w:t>
      </w:r>
    </w:p>
    <w:p w14:paraId="306260FC" w14:textId="77777777" w:rsidR="00823D24" w:rsidRPr="009F3A44" w:rsidRDefault="00823D24" w:rsidP="00823D24">
      <w:pPr>
        <w:rPr>
          <w:rFonts w:eastAsia="Calibri"/>
        </w:rPr>
      </w:pPr>
    </w:p>
    <w:p w14:paraId="492F7AC3" w14:textId="77777777" w:rsidR="00823D24" w:rsidRPr="009F3A44" w:rsidRDefault="00823D24" w:rsidP="00823D24">
      <w:pPr>
        <w:rPr>
          <w:rFonts w:eastAsia="Calibri"/>
        </w:rPr>
      </w:pPr>
      <w:r w:rsidRPr="009F3A44">
        <w:rPr>
          <w:rFonts w:eastAsia="Calibri"/>
        </w:rPr>
        <w:t>Predpisovanje dodatnega pogoja »</w:t>
      </w:r>
      <w:r w:rsidRPr="009F3A44">
        <w:t xml:space="preserve">izpolnjena osnovnošolska obveznost ter uspešno zaključen vsaj 7. razred osnovne šole v skladu z zakonom, ki ureja osnovno šolo, oziroma pridobljena primerljiva izobrazbo v tujini« bi po mnenju Vlade Republike Slovenije </w:t>
      </w:r>
      <w:r w:rsidRPr="009F3A44">
        <w:rPr>
          <w:rFonts w:eastAsia="Calibri"/>
        </w:rPr>
        <w:t xml:space="preserve">lahko privedlo do udeležbe kandidatov za voznike v cestnem prometu brez vozniškega dovoljenja, kar ni skladno z Evropskim akcijskim programom za varnost v cestnem prometu, sprejetim za obdobje od leta 2021 do 2030, Resolucijo na nacionalnem programu varnosti cestnega prometa za obdobje od 2023 do 2030 (Uradni list RS, št. 124/23) ter nacionalnimi predpisi in ukrepi, sprejetimi na njihovi podlagi.  </w:t>
      </w:r>
    </w:p>
    <w:p w14:paraId="3D85752A" w14:textId="77777777" w:rsidR="00823D24" w:rsidRPr="009F3A44" w:rsidRDefault="00823D24" w:rsidP="00823D24">
      <w:pPr>
        <w:rPr>
          <w:rFonts w:eastAsia="Calibri"/>
        </w:rPr>
      </w:pPr>
    </w:p>
    <w:p w14:paraId="43EC9C6E" w14:textId="77777777" w:rsidR="00823D24" w:rsidRPr="009F3A44" w:rsidRDefault="00823D24" w:rsidP="00823D24">
      <w:pPr>
        <w:rPr>
          <w:rFonts w:eastAsia="Calibri"/>
        </w:rPr>
      </w:pPr>
      <w:r w:rsidRPr="009F3A44">
        <w:rPr>
          <w:rFonts w:eastAsia="Calibri"/>
        </w:rPr>
        <w:t xml:space="preserve">Prav tako predlagatelji cilja predloga zakona (zasledovanje načela zagotavljanja varnosti v cestnem prometu) niso utemeljili oziroma podprli s študijo, ki bi dokazovala, da je dodaten pogoj predpisan zaradi zagotavljanja večje prometne varnosti oziroma niso opravili posvetovanja z Evropsko komisijo, ki bi ocenila ali dodaten pogoj zasleduje temeljne cilje </w:t>
      </w:r>
      <w:r w:rsidRPr="009F3A44">
        <w:t>prometne varnosti in pomeni korak k njenemu izboljšanju</w:t>
      </w:r>
      <w:r w:rsidRPr="009F3A44">
        <w:rPr>
          <w:rFonts w:eastAsia="Calibri"/>
        </w:rPr>
        <w:t xml:space="preserve">. </w:t>
      </w:r>
    </w:p>
    <w:p w14:paraId="673A0F6F" w14:textId="77777777" w:rsidR="00823D24" w:rsidRPr="009F3A44" w:rsidRDefault="00823D24" w:rsidP="00823D24">
      <w:pPr>
        <w:rPr>
          <w:rFonts w:eastAsia="Calibri"/>
        </w:rPr>
      </w:pPr>
    </w:p>
    <w:p w14:paraId="396F0F9C" w14:textId="77777777" w:rsidR="00823D24" w:rsidRDefault="00823D24" w:rsidP="00823D24">
      <w:pPr>
        <w:rPr>
          <w:rFonts w:eastAsia="Calibri"/>
        </w:rPr>
      </w:pPr>
      <w:r w:rsidRPr="009F3A44">
        <w:rPr>
          <w:rFonts w:eastAsia="Calibri"/>
        </w:rPr>
        <w:t xml:space="preserve">Enako stališče do navedene problematike zavzema tudi večina drugih držav članic Evropske unije, zato pogoja, kot je </w:t>
      </w:r>
      <w:r w:rsidRPr="009F3A44">
        <w:t xml:space="preserve">sicer izpolnjevanje osnovnošolske obveznost ter uspešno zaključen vsaj 7. razred osnovne šole v skladu z zakonom, ki ureja osnovno šolo, oziroma pridobljena primerljiva izobrazbo v tujini, </w:t>
      </w:r>
      <w:r w:rsidRPr="009F3A44">
        <w:rPr>
          <w:rFonts w:eastAsia="Calibri"/>
        </w:rPr>
        <w:t>za pristop k praktičnemu delu usposabljanja v šoli vožnje, za opravljanje vozniškega izpita in izdajo vozniškega dovoljenja, ne predpisujejo.</w:t>
      </w:r>
    </w:p>
    <w:p w14:paraId="316B255B" w14:textId="357158EA" w:rsidR="00660E38" w:rsidRPr="00DB14B1" w:rsidRDefault="00823D24" w:rsidP="00DB14B1">
      <w:pPr>
        <w:pStyle w:val="Vir"/>
        <w:rPr>
          <w:rFonts w:eastAsia="Calibri"/>
        </w:rPr>
      </w:pPr>
      <w:r>
        <w:rPr>
          <w:rFonts w:eastAsia="Calibri"/>
        </w:rPr>
        <w:t>Vir: Ministrstvo za infrastrukturo</w:t>
      </w:r>
    </w:p>
    <w:p w14:paraId="16BDBCDE" w14:textId="1C376B1B" w:rsidR="00A6560E" w:rsidRPr="00A6560E" w:rsidRDefault="00A6560E" w:rsidP="00A6560E">
      <w:pPr>
        <w:pStyle w:val="Naslov2"/>
      </w:pPr>
      <w:r w:rsidRPr="00A6560E">
        <w:t>Vlada ni podprla Predloga zakona o spremembah in dopolnitvah Zakona o urejanju trga dela</w:t>
      </w:r>
    </w:p>
    <w:p w14:paraId="00705044" w14:textId="77777777" w:rsidR="00A6560E" w:rsidRPr="00A6560E" w:rsidRDefault="00A6560E" w:rsidP="00A6560E">
      <w:pPr>
        <w:rPr>
          <w:color w:val="000000" w:themeColor="text1"/>
        </w:rPr>
      </w:pPr>
      <w:r w:rsidRPr="00A6560E">
        <w:rPr>
          <w:color w:val="000000" w:themeColor="text1"/>
        </w:rPr>
        <w:t xml:space="preserve">Vlada je sprejela Mnenje o Predlogu zakona o spremembah in dopolnitvah Zakona o urejanju trga dela, ki ga je Državnemu zboru predložila skupina poslank in poslancev. Vlada je preučila navedbe in utemeljitve predlagatelja ter ocenjuje, da predlog zakona ni vsebinsko ustrezen, zato ga ne podpira. </w:t>
      </w:r>
    </w:p>
    <w:p w14:paraId="6FC3F91F" w14:textId="77777777" w:rsidR="00A6560E" w:rsidRPr="00A6560E" w:rsidRDefault="00A6560E" w:rsidP="00A6560E">
      <w:pPr>
        <w:rPr>
          <w:color w:val="000000" w:themeColor="text1"/>
        </w:rPr>
      </w:pPr>
    </w:p>
    <w:p w14:paraId="4C3911D9" w14:textId="77777777" w:rsidR="00A6560E" w:rsidRPr="00A6560E" w:rsidRDefault="00A6560E" w:rsidP="00A6560E">
      <w:pPr>
        <w:rPr>
          <w:color w:val="000000" w:themeColor="text1"/>
        </w:rPr>
      </w:pPr>
      <w:r w:rsidRPr="00A6560E">
        <w:rPr>
          <w:color w:val="000000" w:themeColor="text1"/>
        </w:rPr>
        <w:t xml:space="preserve">Vlada meni, da predlagani novi </w:t>
      </w:r>
      <w:proofErr w:type="spellStart"/>
      <w:r w:rsidRPr="00A6560E">
        <w:rPr>
          <w:color w:val="000000" w:themeColor="text1"/>
        </w:rPr>
        <w:t>13.a</w:t>
      </w:r>
      <w:proofErr w:type="spellEnd"/>
      <w:r w:rsidRPr="00A6560E">
        <w:rPr>
          <w:color w:val="000000" w:themeColor="text1"/>
        </w:rPr>
        <w:t xml:space="preserve"> člen ZUTD, ki predvideva napotitev na nižje kvalificirano delovno mesto že po šestih mesecih statusa brezposelnosti, ni ustrezen ter je lahko v nasprotju z ustavno pravico do svobode dela, na podlagi katere vsakdo prosto izbira zaposlitev. Vlada tudi poudarja, da je po trenutnih podatkih v evidenci brezposelnih oseb tretjina prijavljenih oseb z nižjo izobrazbo, kar </w:t>
      </w:r>
      <w:r w:rsidRPr="00A6560E">
        <w:rPr>
          <w:color w:val="000000" w:themeColor="text1"/>
        </w:rPr>
        <w:lastRenderedPageBreak/>
        <w:t xml:space="preserve">pomeni, da napotovanje na delovna mesta z dvema ravnema nižjo izobrazbo od izobrazbe, ki jo ima brezposelna oseba, v teh primerih niti ni mogoča. </w:t>
      </w:r>
    </w:p>
    <w:p w14:paraId="446E9350" w14:textId="77777777" w:rsidR="00A6560E" w:rsidRPr="00A6560E" w:rsidRDefault="00A6560E" w:rsidP="00A6560E">
      <w:pPr>
        <w:rPr>
          <w:color w:val="000000" w:themeColor="text1"/>
        </w:rPr>
      </w:pPr>
    </w:p>
    <w:p w14:paraId="611649F7" w14:textId="77777777" w:rsidR="00A6560E" w:rsidRPr="00A6560E" w:rsidRDefault="00A6560E" w:rsidP="00A6560E">
      <w:pPr>
        <w:rPr>
          <w:color w:val="000000" w:themeColor="text1"/>
        </w:rPr>
      </w:pPr>
      <w:r w:rsidRPr="00A6560E">
        <w:rPr>
          <w:color w:val="000000" w:themeColor="text1"/>
        </w:rPr>
        <w:t>Vlada se tudi ne strinja s predlogom dopolnitve šestega odstavka 130. člena ZUTD, s katerim se določa, da pritožba zoper odločbo o prenehanju vodenja v evidenci brezposelnih oseb in odločbo o prenehanju vodenja v evidenci oseb, vključenih v programe APZ, ne bi zadržala izvršitve odločbe. Tak predlog po mnenju Vlade predstavlja poseg v pravico do pravnega sredstva, ki je ustavnopravni institut, in lahko neupravičeno v finančno neugoden položaj postavi brezposelne osebe, ki so prejemniki denarne socialne pomoči. Predlagatelj namreč navaja, da bi se v primeru vložene pritožbe zoper odločbo o prenehanju vodenja osebe v evidenci brezposelnih oseb odločba zavoda izvršila že z dnem njene vročitve brezposelni osebi. V zvezi z navedenim Vlada opozarja, da bi v primeru uzakonitve navedenega predloga tako oseba, ki je prejemnik denarne socialne pomoči, to izgubila s prenehanjem statusa brezposelnosti, t.j. še pred odločitvijo organa druge stopnje o utemeljenosti pritožbe zoper odločbo zavoda o prenehanju vodenja v evidenci brezposelnih oseb, kar pa po mnenju Vlade ni sprejemljivo.</w:t>
      </w:r>
    </w:p>
    <w:p w14:paraId="2F2063C5" w14:textId="77777777" w:rsidR="00A6560E" w:rsidRPr="00A6560E" w:rsidRDefault="00A6560E" w:rsidP="00A6560E">
      <w:pPr>
        <w:rPr>
          <w:color w:val="000000" w:themeColor="text1"/>
        </w:rPr>
      </w:pPr>
    </w:p>
    <w:p w14:paraId="085C59C3" w14:textId="0E77B350" w:rsidR="00A6560E" w:rsidRPr="00A6560E" w:rsidRDefault="00A6560E" w:rsidP="00A6560E">
      <w:pPr>
        <w:rPr>
          <w:color w:val="000000" w:themeColor="text1"/>
        </w:rPr>
      </w:pPr>
      <w:r w:rsidRPr="00A6560E">
        <w:rPr>
          <w:color w:val="000000" w:themeColor="text1"/>
        </w:rPr>
        <w:t xml:space="preserve">Vlada se tudi ne strinja s predlogom ukinitve dvostopenjskega ugotavljanja kršitev iz naslova obveznosti aktivnega iskanja zaposlitve. 129. člen ZUTD določa razloge, zaradi katerih se oseba preneha voditi v evidenci brezposelnih oseb, v primerih tako imenovanih »krivdnih« razlogov« omogoča odlog omenjene sankcije na način, ki brezposelnim osebam omogoča, da ob prvi kršitvi določene obveznosti, sprejete s sklenitvijo zaposlitvenega načrta, ostanejo vpisane v evidenci brezposelnih oseb, sankcija v obliki prenehanja vodenja v evidenci pa se jim izreče šele ob drugi kršitvi ene izmed navedenih obveznosti, bodisi dvakrat zaporedoma iste obveznosti, bodisi katere druge obveznosti iz navedenih alinej. Veljavna ureditev je bila sprejeta z novelo ZUTD-D na podlagi priporočil OECD, ki je v poročilu </w:t>
      </w:r>
      <w:proofErr w:type="spellStart"/>
      <w:r w:rsidRPr="00A6560E">
        <w:rPr>
          <w:color w:val="000000" w:themeColor="text1"/>
        </w:rPr>
        <w:t>Connecting</w:t>
      </w:r>
      <w:proofErr w:type="spellEnd"/>
      <w:r w:rsidRPr="00A6560E">
        <w:rPr>
          <w:color w:val="000000" w:themeColor="text1"/>
        </w:rPr>
        <w:t xml:space="preserve"> </w:t>
      </w:r>
      <w:proofErr w:type="spellStart"/>
      <w:r w:rsidRPr="00A6560E">
        <w:rPr>
          <w:color w:val="000000" w:themeColor="text1"/>
        </w:rPr>
        <w:t>people</w:t>
      </w:r>
      <w:proofErr w:type="spellEnd"/>
      <w:r w:rsidRPr="00A6560E">
        <w:rPr>
          <w:color w:val="000000" w:themeColor="text1"/>
        </w:rPr>
        <w:t xml:space="preserve"> </w:t>
      </w:r>
      <w:proofErr w:type="spellStart"/>
      <w:r w:rsidRPr="00A6560E">
        <w:rPr>
          <w:color w:val="000000" w:themeColor="text1"/>
        </w:rPr>
        <w:t>with</w:t>
      </w:r>
      <w:proofErr w:type="spellEnd"/>
      <w:r w:rsidRPr="00A6560E">
        <w:rPr>
          <w:color w:val="000000" w:themeColor="text1"/>
        </w:rPr>
        <w:t xml:space="preserve"> </w:t>
      </w:r>
      <w:proofErr w:type="spellStart"/>
      <w:r w:rsidRPr="00A6560E">
        <w:rPr>
          <w:color w:val="000000" w:themeColor="text1"/>
        </w:rPr>
        <w:t>jobs</w:t>
      </w:r>
      <w:proofErr w:type="spellEnd"/>
      <w:r w:rsidRPr="00A6560E">
        <w:rPr>
          <w:color w:val="000000" w:themeColor="text1"/>
        </w:rPr>
        <w:t xml:space="preserve">: Slovenia </w:t>
      </w:r>
      <w:proofErr w:type="spellStart"/>
      <w:r w:rsidRPr="00A6560E">
        <w:rPr>
          <w:color w:val="000000" w:themeColor="text1"/>
        </w:rPr>
        <w:t>draft</w:t>
      </w:r>
      <w:proofErr w:type="spellEnd"/>
      <w:r w:rsidRPr="00A6560E">
        <w:rPr>
          <w:color w:val="000000" w:themeColor="text1"/>
        </w:rPr>
        <w:t xml:space="preserve"> </w:t>
      </w:r>
      <w:proofErr w:type="spellStart"/>
      <w:r w:rsidRPr="00A6560E">
        <w:rPr>
          <w:color w:val="000000" w:themeColor="text1"/>
        </w:rPr>
        <w:t>report</w:t>
      </w:r>
      <w:proofErr w:type="spellEnd"/>
      <w:r w:rsidRPr="00A6560E">
        <w:rPr>
          <w:color w:val="000000" w:themeColor="text1"/>
        </w:rPr>
        <w:t xml:space="preserve"> iz maja 2016 opozorila na prestrog režim sankcij v primeru kršitev obveznosti iz naslova aktivnega iskanja zaposlitve (enega najstrožjih med državami OECD) ter predlagala razmislek o njihovi omilitvi na način, ki bo izboljšal učinkovitost aktivacije brezposelnih oseb. Obenem je takšna ureditev sankcioniranja kršitev tudi pravna podlaga za sankcioniranje prejemnikov denarnega nadomestila v obliki znižanja denarnega nadomestila za 30 odstotkov (namesto takojšnjega prenehanja), kot je določeno v </w:t>
      </w:r>
      <w:proofErr w:type="spellStart"/>
      <w:r w:rsidRPr="00A6560E">
        <w:rPr>
          <w:color w:val="000000" w:themeColor="text1"/>
        </w:rPr>
        <w:t>65.a</w:t>
      </w:r>
      <w:proofErr w:type="spellEnd"/>
      <w:r w:rsidRPr="00A6560E">
        <w:rPr>
          <w:color w:val="000000" w:themeColor="text1"/>
        </w:rPr>
        <w:t xml:space="preserve"> členu ZUTD. </w:t>
      </w:r>
    </w:p>
    <w:p w14:paraId="5B0A11FC" w14:textId="67F9BCAB" w:rsidR="00660E38" w:rsidRPr="00A6560E" w:rsidRDefault="00A6560E" w:rsidP="00A6560E">
      <w:pPr>
        <w:pStyle w:val="Vir"/>
      </w:pPr>
      <w:r w:rsidRPr="00A6560E">
        <w:t>Vir: Ministrstvo za delo, družino, socialne zadeve in enake možnosti</w:t>
      </w:r>
    </w:p>
    <w:p w14:paraId="743BD4B6" w14:textId="5DC2B474" w:rsidR="00D22120" w:rsidRPr="00D22120" w:rsidRDefault="00D22120" w:rsidP="00D22120">
      <w:pPr>
        <w:pStyle w:val="Naslov2"/>
      </w:pPr>
      <w:r w:rsidRPr="00D22120">
        <w:t>Vlada ni podprla Predloga zakona o dopolnitvah Zakona o starševskem varstvu in družinskih prejemkih</w:t>
      </w:r>
    </w:p>
    <w:p w14:paraId="365C46F3" w14:textId="77777777" w:rsidR="00D22120" w:rsidRPr="00D22120" w:rsidRDefault="00D22120" w:rsidP="00D22120">
      <w:pPr>
        <w:rPr>
          <w:color w:val="000000" w:themeColor="text1"/>
        </w:rPr>
      </w:pPr>
      <w:r w:rsidRPr="00D22120">
        <w:rPr>
          <w:color w:val="000000" w:themeColor="text1"/>
        </w:rPr>
        <w:t xml:space="preserve">Vlada je sprejela mnenje o Predlogu zakona o dopolnitvah Zakona o starševskem varstvu in družinskih prejemkih (predlog novele zakona), ki ga je Državnemu zboru predložila skupina poslank in poslancev. Vlada predlaganih dopolnitev ne podpira. </w:t>
      </w:r>
    </w:p>
    <w:p w14:paraId="0D1AA36F" w14:textId="77777777" w:rsidR="00D22120" w:rsidRPr="00D22120" w:rsidRDefault="00D22120" w:rsidP="00D22120">
      <w:pPr>
        <w:rPr>
          <w:color w:val="000000" w:themeColor="text1"/>
        </w:rPr>
      </w:pPr>
    </w:p>
    <w:p w14:paraId="51FC93EB" w14:textId="77777777" w:rsidR="00D22120" w:rsidRPr="00D22120" w:rsidRDefault="00D22120" w:rsidP="00D22120">
      <w:pPr>
        <w:rPr>
          <w:color w:val="000000" w:themeColor="text1"/>
        </w:rPr>
      </w:pPr>
      <w:r w:rsidRPr="00D22120">
        <w:rPr>
          <w:color w:val="000000" w:themeColor="text1"/>
        </w:rPr>
        <w:t>Vlada ocenjuje, da je ukrep v predlogu zakona neprimeren, saj bi delni odvzem otroškega dodatka, ki je sredstvo za osnovno preživetje otrok iz socialno ogroženih družin, neposredno prizadel otroka. Osnovni namen otroškega dodatka preživljanje otroka, v veljavni zakonodaji pa je tudi omogočeno, da center za socialno delo (CSD) po prostem preudarku določi, da se otroški dodatek izplačuje v materialni obliki, pojasnjuje vlada. Strokovni delavec na CSD po takem ukrepu poseže v primeru posebno utemeljenih razlogov, in sicer, kadar obstaja velika verjetnost, da družina posamezne denarne oblike družinskega prejemka ne bo namenila za namene, ki so s tem zakonom predvideni in bo zato ogrožena socialno ekonomska varnost otroka. Vlada ocenjuje, da je obstoječa ureditev ustrezna, saj se glede na dejansko stanje v vsakem konkretnem primeru presodi smotrnost izplačila otroškega dodatka v materialni obliki (v naravi, kar pomeni v obliki konkretnih dobrin, na podlagi naročilnice za konkretno blago, plačila posameznih računov in podobno).</w:t>
      </w:r>
    </w:p>
    <w:p w14:paraId="61C379DB" w14:textId="77777777" w:rsidR="00D22120" w:rsidRPr="00D22120" w:rsidRDefault="00D22120" w:rsidP="00D22120">
      <w:pPr>
        <w:rPr>
          <w:color w:val="000000" w:themeColor="text1"/>
        </w:rPr>
      </w:pPr>
    </w:p>
    <w:p w14:paraId="2326BE72" w14:textId="77777777" w:rsidR="00D22120" w:rsidRPr="00D22120" w:rsidRDefault="00D22120" w:rsidP="00D22120">
      <w:pPr>
        <w:rPr>
          <w:color w:val="000000" w:themeColor="text1"/>
        </w:rPr>
      </w:pPr>
      <w:r w:rsidRPr="00D22120">
        <w:rPr>
          <w:color w:val="000000" w:themeColor="text1"/>
        </w:rPr>
        <w:lastRenderedPageBreak/>
        <w:t xml:space="preserve">Država z otroškim dodatkom, kot pomembnim ukrepom na področju družinske in socialne politike, izboljšuje položaj velike večine otrok oziroma družin. Nižanje otroškega dodatka v primeru neobiskovanja srednje šole bi prizadelo predvsem otroke, ki v največji meri tvegajo socialno izključenost, zlasti tveganje revščine. V praksi to pomeni, da bi se dohodek socialno ogroženih družin zmanjšal, zato bi bile potisnjene v položaj, ko otroškega dodatka v celotni višini ne bi mogle porabiti za razvoj otroka. Slovenski sistem socialnih prejemkov v Sloveniji prispeva k relativno visokemu vplivu na zmanjševanje tveganja revščine in socialne izključenosti. Del teh socialnih prejemkov predstavljajo tudi otroški dodatki. Iz podatkov Eurostata izhaja, da so socialni transferji v letu 2023 otrokom revščino zmanjševali za 52,11 %. Po podatkih Eurostata je bilo v letu 2023 v Sloveniji 40.425 socialno izključenih otrok. </w:t>
      </w:r>
    </w:p>
    <w:p w14:paraId="2064E6DE" w14:textId="77777777" w:rsidR="00D22120" w:rsidRPr="00D22120" w:rsidRDefault="00D22120" w:rsidP="00D22120">
      <w:pPr>
        <w:rPr>
          <w:color w:val="000000" w:themeColor="text1"/>
        </w:rPr>
      </w:pPr>
    </w:p>
    <w:p w14:paraId="59F9A91D" w14:textId="77777777" w:rsidR="00D22120" w:rsidRPr="00D22120" w:rsidRDefault="00D22120" w:rsidP="00D22120">
      <w:pPr>
        <w:rPr>
          <w:color w:val="000000" w:themeColor="text1"/>
        </w:rPr>
      </w:pPr>
      <w:r w:rsidRPr="00D22120">
        <w:rPr>
          <w:color w:val="000000" w:themeColor="text1"/>
        </w:rPr>
        <w:t>Vlada pojasnjuje, da so lahko razlogi, zaradi katerih otroci v določenem obdobju ne obiskujejo šole niti se ne šolajo doma, različni. Številni otroci se soočajo z resnejšimi čustvenimi stiskami in tudi težavami v duševnem zdravju. Mnogi med njimi bi zaradi stisk in posebnih osebnih okoliščin potrebovali dodatno pomoč in podporo in ne ukrepe, ki bi njihove stiske še poglabljali. Predlagano nižanje otroškega dodatka in izplačila v naravi bi otroke iz najšibkejših družin postavilo v še slabši položaj in nove stiske.</w:t>
      </w:r>
    </w:p>
    <w:p w14:paraId="59D9AEE7" w14:textId="77777777" w:rsidR="00D22120" w:rsidRPr="00D22120" w:rsidRDefault="00D22120" w:rsidP="00D22120">
      <w:pPr>
        <w:rPr>
          <w:color w:val="000000" w:themeColor="text1"/>
        </w:rPr>
      </w:pPr>
    </w:p>
    <w:p w14:paraId="196C28EB" w14:textId="4B14195F" w:rsidR="00D22120" w:rsidRPr="00D22120" w:rsidRDefault="00D22120" w:rsidP="00D22120">
      <w:pPr>
        <w:rPr>
          <w:color w:val="000000" w:themeColor="text1"/>
        </w:rPr>
      </w:pPr>
      <w:r w:rsidRPr="00D22120">
        <w:rPr>
          <w:color w:val="000000" w:themeColor="text1"/>
        </w:rPr>
        <w:t>Vlada je mnenja, da predlagane spremembe zakonodaje ne dosežejo želenega namena oziroma so celo škodljive za celoten segment socialno ogroženega prebivalstva. K tej ugotovitvi prispevajo tudi argumenti pristojnih institucij, kot so Socialna inšpekcija, Zagovornik načela enakosti, Varuh človekovih pravic itd. Vlada zato predloga ne podpira.</w:t>
      </w:r>
    </w:p>
    <w:p w14:paraId="1DA40119" w14:textId="67EDDED3" w:rsidR="00660E38" w:rsidRPr="00D22120" w:rsidRDefault="00D22120" w:rsidP="00D22120">
      <w:pPr>
        <w:pStyle w:val="Vir"/>
      </w:pPr>
      <w:r w:rsidRPr="00D22120">
        <w:t>Vir: Ministrstvo za delo, družino, socialne zadeve in enake možnosti</w:t>
      </w:r>
    </w:p>
    <w:p w14:paraId="030C2F12" w14:textId="6E9B0145" w:rsidR="0056397C" w:rsidRPr="0056397C" w:rsidRDefault="0056397C" w:rsidP="0056397C">
      <w:pPr>
        <w:pStyle w:val="Naslov2"/>
      </w:pPr>
      <w:r w:rsidRPr="0056397C">
        <w:t>Vlada ni podprla Predloga zakona o dopolnitvah Zakona o spremembah in dopolnitvah Zakona o socialno varstvenih prejemkih</w:t>
      </w:r>
    </w:p>
    <w:p w14:paraId="2E43D229" w14:textId="77777777" w:rsidR="0056397C" w:rsidRPr="0056397C" w:rsidRDefault="0056397C" w:rsidP="0056397C">
      <w:pPr>
        <w:rPr>
          <w:color w:val="000000" w:themeColor="text1"/>
        </w:rPr>
      </w:pPr>
      <w:r w:rsidRPr="0056397C">
        <w:rPr>
          <w:color w:val="000000" w:themeColor="text1"/>
        </w:rPr>
        <w:t>Vlada je sprejela Mnenje o Predlogu zakona o spremembah in dopolnitvah Zakona o socialno varstvenih prejemkih (predlog novele zakona), ki ga je Državnemu zboru predložila skupina poslank in poslancev. Predlagatelj predlaga obvezno izplačilo denarne socialne pomoči (DSP) v naravi tri mesece (v primeru, ko otrok ne obiskuje pouka ali obstaja dolg do javnih služb ali vzgojno izobraževalnih zavodov) in pravno podlago za zagotovitev izmenjave osebnih podatkov oseb v stiski, ki so v obravnavi na centru za socialno delo. Mnenje Vlade je, da se predlog novele zakona ne podpre.</w:t>
      </w:r>
    </w:p>
    <w:p w14:paraId="7AE24832" w14:textId="77777777" w:rsidR="0056397C" w:rsidRPr="0056397C" w:rsidRDefault="0056397C" w:rsidP="0056397C">
      <w:pPr>
        <w:rPr>
          <w:color w:val="000000" w:themeColor="text1"/>
        </w:rPr>
      </w:pPr>
    </w:p>
    <w:p w14:paraId="3FC11E09" w14:textId="186FBF21" w:rsidR="0056397C" w:rsidRPr="0056397C" w:rsidRDefault="0056397C" w:rsidP="0056397C">
      <w:pPr>
        <w:rPr>
          <w:color w:val="000000" w:themeColor="text1"/>
        </w:rPr>
      </w:pPr>
      <w:r w:rsidRPr="0056397C">
        <w:rPr>
          <w:color w:val="000000" w:themeColor="text1"/>
        </w:rPr>
        <w:t xml:space="preserve">V zvezi s predlogom obveznega izplačila DSP v naravi, v primeru, ko otrok ne obiskuje pouka ali obstaja dolg do javnih služb ali vzgojno izobraževalnih zavodov (brez diskrecijske pravice), Vlada odgovarja, da predlog predstavlja odmik od diskrecijske pravice in strokovnih odločitev strokovnih delavcev na centrih za socialno delo (CSD). Uporaba diskrecijske pravice je potrebna ravno pri dalj časa trajajočem strokovnem delu oziroma odločitvah, ki zadevajo družine z največ nakopičenimi problemi in so v najbolj ranljivih situacijah. Namesto večjega pogojevanja v socialni politiki, je po mnenju vlade potrebno krepiti strokovno delo na CSD-jih, na način, da bodo strokovni delavci lahko bolje prepoznavali kompleksnost različnih situacij in ovir prejemnikov denarnih socialnih pomoči ter opravili več strokovnega dela predvsem z dolgotrajnimi prejemniki denarne socialne pomoči. </w:t>
      </w:r>
    </w:p>
    <w:p w14:paraId="6E337D87" w14:textId="3ED9D982" w:rsidR="00660E38" w:rsidRPr="0056397C" w:rsidRDefault="0056397C" w:rsidP="0056397C">
      <w:pPr>
        <w:pStyle w:val="Vir"/>
      </w:pPr>
      <w:r w:rsidRPr="0056397C">
        <w:t>Vir: Ministrstvo za delo, družino, socialne zadeve in enake možnosti</w:t>
      </w:r>
    </w:p>
    <w:p w14:paraId="2D2D27EF" w14:textId="321453FE" w:rsidR="00C25621" w:rsidRPr="00C25621" w:rsidRDefault="00C25621" w:rsidP="00C25621">
      <w:pPr>
        <w:pStyle w:val="Naslov2"/>
      </w:pPr>
      <w:r w:rsidRPr="00C25621">
        <w:t>Vlada sprejela Mnenje o Predlogu zakona o spremembah in dopolnitvah Zakona o osnovni šoli</w:t>
      </w:r>
    </w:p>
    <w:p w14:paraId="3861B645" w14:textId="77777777" w:rsidR="00C25621" w:rsidRPr="00C25621" w:rsidRDefault="00C25621" w:rsidP="00C25621">
      <w:pPr>
        <w:rPr>
          <w:color w:val="000000" w:themeColor="text1"/>
        </w:rPr>
      </w:pPr>
      <w:r w:rsidRPr="00C25621">
        <w:rPr>
          <w:color w:val="000000" w:themeColor="text1"/>
        </w:rPr>
        <w:t>Vlada je sprejela Mnenje o Predlogu zakona o spremembah in dopolnitvah Zakona o osnovni šoli, ki ga je Državnemu zboru predložila skupina poslank in poslancev, s prvopodpisanim Janezom Ciglerjem Kraljem), in ga poslala Državnemu zboru.</w:t>
      </w:r>
    </w:p>
    <w:p w14:paraId="179A429F" w14:textId="77777777" w:rsidR="00C25621" w:rsidRPr="00C25621" w:rsidRDefault="00C25621" w:rsidP="00C25621">
      <w:pPr>
        <w:rPr>
          <w:color w:val="000000" w:themeColor="text1"/>
        </w:rPr>
      </w:pPr>
    </w:p>
    <w:p w14:paraId="0C39F2F7" w14:textId="4A5A84C9" w:rsidR="00C25621" w:rsidRPr="00C25621" w:rsidRDefault="00C25621" w:rsidP="00C25621">
      <w:pPr>
        <w:rPr>
          <w:color w:val="000000" w:themeColor="text1"/>
        </w:rPr>
      </w:pPr>
      <w:r w:rsidRPr="00C25621">
        <w:rPr>
          <w:color w:val="000000" w:themeColor="text1"/>
        </w:rPr>
        <w:t>Predlog Zakona o spremembah in dopolnitvah Zakona o osnovni šoli predlaga črtanje prvega odstavka 54. člena Zakona o osnovni šoli, ki določa, da učenec ne more biti izključen iz osnovne šole dokler je šoloobvezen. S črtanjem te določbe bi bila osnovnim šolam omogočena pravna podlaga za izključitev učenca iz osnovne šole, predlagatelj pa to utemeljuje s tem, da se na ta način ostalim učencem zagotovi pravica do varnega šolskega okolja. Vlada meni, da institut izključitve iz osnovne šole, ki je v skladu s 57. členom Ustave Republike Slovenije za področje osnovnošolskega izobraževanja obvezna, pravno in tudi vsebinsko ne vzdrži. Zakon o osnovni šoli namreč v 50. členu določa, da ima učenec pravico obiskovati pouk oziroma se</w:t>
      </w:r>
      <w:r w:rsidR="00DB14B1">
        <w:rPr>
          <w:color w:val="000000" w:themeColor="text1"/>
        </w:rPr>
        <w:t xml:space="preserve"> </w:t>
      </w:r>
      <w:r w:rsidRPr="00C25621">
        <w:rPr>
          <w:color w:val="000000" w:themeColor="text1"/>
        </w:rPr>
        <w:t>udeleževati drugih dejavnosti, ki jih organizira osnovna šola. Osnovna šola pa lahko učencu občasno zagotovi doseganje ciljev izobraževanja tudi v drugih oblikah organiziranega dela z učenci, z namenom zagotavljanja varnosti ali nemotenega pouka učencem. Zakon o osnovni šoli v 54. členu že vsebuje rešitve, ki jih ima na voljo osnovna šola, za ukrepanje v primerih, ko je učenca iz vzgojnih razlogov možno prešolati na drugo šolo, tudi brez soglasja staršev. V takih primerih mora osnovna šola pridobiti mnenje centra za socialno delo, lahko pa tudi drugih inštitucij. Pred prešolanjem učenca na drugo osnovno šolo je torej treba, glede na okoliščine posameznega primera, temeljito pretehtati, ali je tovrsten ukrep ustrezen tako z vidika otrokovih koristi kot tudi zaščite ostalih udeležencev izobraževanja. Vlada meni, da je sedanja ureditev v 54. členu Zakona o osnovni šoli ustrezna in nasprotuje črtanju prvega odstavka 54. člena Zakona o osnovni šoli.</w:t>
      </w:r>
    </w:p>
    <w:p w14:paraId="0CA953E1" w14:textId="77777777" w:rsidR="00DB14B1" w:rsidRDefault="00DB14B1" w:rsidP="00C25621">
      <w:pPr>
        <w:rPr>
          <w:color w:val="000000" w:themeColor="text1"/>
        </w:rPr>
      </w:pPr>
    </w:p>
    <w:p w14:paraId="31568521" w14:textId="3DC7BEE4" w:rsidR="00C25621" w:rsidRPr="00C25621" w:rsidRDefault="00C25621" w:rsidP="00C25621">
      <w:pPr>
        <w:rPr>
          <w:color w:val="000000" w:themeColor="text1"/>
        </w:rPr>
      </w:pPr>
      <w:r w:rsidRPr="00C25621">
        <w:rPr>
          <w:color w:val="000000" w:themeColor="text1"/>
        </w:rPr>
        <w:t xml:space="preserve">Predlog nadalje določa, da se v določbi </w:t>
      </w:r>
      <w:proofErr w:type="spellStart"/>
      <w:r w:rsidRPr="00C25621">
        <w:rPr>
          <w:color w:val="000000" w:themeColor="text1"/>
        </w:rPr>
        <w:t>60.e</w:t>
      </w:r>
      <w:proofErr w:type="spellEnd"/>
      <w:r w:rsidRPr="00C25621">
        <w:rPr>
          <w:color w:val="000000" w:themeColor="text1"/>
        </w:rPr>
        <w:t xml:space="preserve"> člena Zakona o osnovni šoli pri sestavinah pravil šolskega reda doda, da se poleg sedanje opredelitve dolžnosti in odgovornosti učencev dodajo tudi pravice in odgovornosti staršev. Predlagatelj v obrazložitvi navaja, da bi s tem dosegli večjo odzivnost staršev. Vlada meni, da bi s takšno določbo starše z internim aktom šole lahko sicer zavezali k večji odzivnosti, vendar pa na drugi strani ni predvidenih nobenih rešitev, kaj bi se zgodilo, če starši ne bi ravnali v skladu z obveznostmi, ki jim jih nalagajo Pravila šolskega reda. Poleg tega bi se lahko s tem posegalo v zakonodajo s področja starševske skrbi, sistemsko pa je tudi vprašljivo, ali lahko šola z internim aktom starše zavezuje k določenim obveznostim, ne da bi zakonodaja predvidela posledice njihove neodzivnosti glede sodelovanja s šolo(opredelitev kršitev in s tem povezane sankcije), zato vlada predlog v tem delu ocenjuje kot</w:t>
      </w:r>
      <w:r w:rsidR="00DB14B1">
        <w:rPr>
          <w:color w:val="000000" w:themeColor="text1"/>
        </w:rPr>
        <w:t xml:space="preserve"> </w:t>
      </w:r>
      <w:r w:rsidRPr="00C25621">
        <w:rPr>
          <w:color w:val="000000" w:themeColor="text1"/>
        </w:rPr>
        <w:t>neustrezen, pomanjkljiv in sistemsko nedorečen ter</w:t>
      </w:r>
      <w:r w:rsidR="00DB14B1">
        <w:rPr>
          <w:color w:val="000000" w:themeColor="text1"/>
        </w:rPr>
        <w:t xml:space="preserve"> </w:t>
      </w:r>
      <w:r w:rsidRPr="00C25621">
        <w:rPr>
          <w:color w:val="000000" w:themeColor="text1"/>
        </w:rPr>
        <w:t>nekonsistenten.</w:t>
      </w:r>
    </w:p>
    <w:p w14:paraId="30D05516" w14:textId="77777777" w:rsidR="00DB14B1" w:rsidRDefault="00DB14B1" w:rsidP="00C25621">
      <w:pPr>
        <w:rPr>
          <w:color w:val="000000" w:themeColor="text1"/>
        </w:rPr>
      </w:pPr>
    </w:p>
    <w:p w14:paraId="63CEED7C" w14:textId="5B6DCC3F" w:rsidR="00C25621" w:rsidRPr="00C25621" w:rsidRDefault="00C25621" w:rsidP="00C25621">
      <w:pPr>
        <w:rPr>
          <w:color w:val="000000" w:themeColor="text1"/>
        </w:rPr>
      </w:pPr>
      <w:r w:rsidRPr="00C25621">
        <w:rPr>
          <w:color w:val="000000" w:themeColor="text1"/>
        </w:rPr>
        <w:t xml:space="preserve">Po mnenju vlade je črtanje drugega odstavka </w:t>
      </w:r>
      <w:proofErr w:type="spellStart"/>
      <w:r w:rsidRPr="00C25621">
        <w:rPr>
          <w:color w:val="000000" w:themeColor="text1"/>
        </w:rPr>
        <w:t>60.e</w:t>
      </w:r>
      <w:proofErr w:type="spellEnd"/>
      <w:r w:rsidRPr="00C25621">
        <w:rPr>
          <w:color w:val="000000" w:themeColor="text1"/>
        </w:rPr>
        <w:t xml:space="preserve"> člena Zakona o osnovni šoli, kot to predvideva predlog, povsem nesprejemljivo. Argument predlagatelja je, da se v skladu z veljavno ureditvijo, po kateri z vzgojnimi ukrepi ni mogoče omejiti pravic učencev, prekomerno omejuje osnovne šole pri njihovem vzgojnem delovanju. Vlada poudarja, da so pravice, v katere z vzgojnim ukrepanjem v skladu z veljavno ureditvijo ni mogoče poseči temeljne pravice, ki</w:t>
      </w:r>
      <w:r w:rsidR="00DB14B1">
        <w:rPr>
          <w:color w:val="000000" w:themeColor="text1"/>
        </w:rPr>
        <w:t xml:space="preserve"> </w:t>
      </w:r>
      <w:r w:rsidRPr="00C25621">
        <w:rPr>
          <w:color w:val="000000" w:themeColor="text1"/>
        </w:rPr>
        <w:t>se nanašajo na izobraževanje otrok in bi morebiten poseg vanje, četudi z namenom vzgojnega</w:t>
      </w:r>
      <w:r w:rsidR="00DB14B1">
        <w:rPr>
          <w:color w:val="000000" w:themeColor="text1"/>
        </w:rPr>
        <w:t xml:space="preserve"> </w:t>
      </w:r>
      <w:r w:rsidRPr="00C25621">
        <w:rPr>
          <w:color w:val="000000" w:themeColor="text1"/>
        </w:rPr>
        <w:t>ukrepanja, pomenil kršitev otrokovih pravic, ki mu jih v osnovi zagotavlja že Konvencija o otrokovih pravicah. Gre za pravice, ki so določene od 5. do 13. člena Zakona o osnovni šoli, in sicer: pravica do izbire oblik izobraževanja, učni jezik, varstvo pravic manjšin, dopolnilno izobraževanje, pravice romske skupnosti, izobraževanje tujih državljanov, izobraževanje učencev v bolnišnici, izobraževanje nadarjenih učencev, izobraževanje učencev s posebnimi potrebami, izobraževanje učencev z učnimi težavami in zdravstveno varstvo učencev. Zakon o osnovni šoli v 50. do 57. členu določa naslednje pravice: obiskovanje pouka, pravica do statusa športnika in umetnika, oprostitev sodelovanja, izostanki, prešolanje, podaljšanje statusa učenca, brezplačen prevoz in prehrana. Vlada glede na naštete pravice, v katere bi se z</w:t>
      </w:r>
    </w:p>
    <w:p w14:paraId="14799E11" w14:textId="77777777" w:rsidR="00C25621" w:rsidRPr="00C25621" w:rsidRDefault="00C25621" w:rsidP="00C25621">
      <w:pPr>
        <w:rPr>
          <w:color w:val="000000" w:themeColor="text1"/>
        </w:rPr>
      </w:pPr>
      <w:r w:rsidRPr="00C25621">
        <w:rPr>
          <w:color w:val="000000" w:themeColor="text1"/>
        </w:rPr>
        <w:t>vzgojnim delovanjem lahko posegalo ali jih učencem celo odrekalo, odločno nasprotuje črtanju</w:t>
      </w:r>
    </w:p>
    <w:p w14:paraId="18B1BADC" w14:textId="77777777" w:rsidR="00C25621" w:rsidRPr="00C25621" w:rsidRDefault="00C25621" w:rsidP="00C25621">
      <w:pPr>
        <w:rPr>
          <w:color w:val="000000" w:themeColor="text1"/>
        </w:rPr>
      </w:pPr>
      <w:r w:rsidRPr="00C25621">
        <w:rPr>
          <w:color w:val="000000" w:themeColor="text1"/>
        </w:rPr>
        <w:t>navedene določbe. Slednja je bila v Zakon o osnovni šoli umeščena prav z namenom, da je osnovna šola vzgojno učinkovita, vendar pa vsem učencem zagotavlja osnovne pravice, povezane z njihovim izobraževanjem.</w:t>
      </w:r>
    </w:p>
    <w:p w14:paraId="520E1134" w14:textId="77777777" w:rsidR="00DB14B1" w:rsidRDefault="00DB14B1" w:rsidP="00C25621">
      <w:pPr>
        <w:rPr>
          <w:color w:val="000000" w:themeColor="text1"/>
        </w:rPr>
      </w:pPr>
    </w:p>
    <w:p w14:paraId="1D11993F" w14:textId="21F9BD82" w:rsidR="00C25621" w:rsidRPr="00C25621" w:rsidRDefault="00C25621" w:rsidP="00C25621">
      <w:pPr>
        <w:rPr>
          <w:color w:val="000000" w:themeColor="text1"/>
        </w:rPr>
      </w:pPr>
      <w:r w:rsidRPr="00C25621">
        <w:rPr>
          <w:color w:val="000000" w:themeColor="text1"/>
        </w:rPr>
        <w:lastRenderedPageBreak/>
        <w:t xml:space="preserve">Predlog v Zakon o osnovni šoli tudi na novo umešča določbo, ki ravnatelju v primeru težjih ali ponavljajočih kršitev in odgovornosti učenca daje pravno podlago, da odloči, da se učenec začasno izobražuje na daljavo ali se začasno izključi. Vlada pojasnjuje, da Zakon o osnovni šoli v </w:t>
      </w:r>
      <w:proofErr w:type="spellStart"/>
      <w:r w:rsidRPr="00C25621">
        <w:rPr>
          <w:color w:val="000000" w:themeColor="text1"/>
        </w:rPr>
        <w:t>38.a</w:t>
      </w:r>
      <w:proofErr w:type="spellEnd"/>
      <w:r w:rsidRPr="00C25621">
        <w:rPr>
          <w:color w:val="000000" w:themeColor="text1"/>
        </w:rPr>
        <w:t xml:space="preserve"> členu omogoča izobraževanje na daljavo le za celotno osnovno šolo in ne za posameznega učenca. Zakon o osnovni šoli določa, da lahko osnovna šola za</w:t>
      </w:r>
      <w:r w:rsidR="00DB14B1">
        <w:rPr>
          <w:color w:val="000000" w:themeColor="text1"/>
        </w:rPr>
        <w:t xml:space="preserve"> </w:t>
      </w:r>
      <w:r w:rsidRPr="00C25621">
        <w:rPr>
          <w:color w:val="000000" w:themeColor="text1"/>
        </w:rPr>
        <w:t>zagotovitev nemotenega poteka vzgojno-izobraževalnega dela organizira in izvaja izobraževanje na daljavo le, če je to potrebno zaradi preprečevanja ali omilitve posledic naravnih in drugih nesreč, skladno z zakonom, ki ureja varstvo pred naravnimi in drugimi nesrečami. O izvajanju vzgojno-izobraževalnega dela na daljavo odloči minister s sklepom, objavljenim v Uradnem listu Republike Slovenije, na podlagi obrazloženega predloga ravnatelja. Predlog predvideva, da bi se izobraževanje na daljavo lahko izvajalo tudi z namenom odstranitve nasilnih in motečih otrok z napotitvijo, da se izobražujejo na domu. Vlada meni, da zgolj napotitev učenca na izobraževanje na daljavo ne rešuje vzgojne problematike s celovitim pristopom. Predlagana rešitev po mnenju vlade nikakor ne zadošča, saj bi bili učenci s tem prikrajšani, v kolikor sistem ne bi imel zagotovljenih podpornih mehanizmov, ki</w:t>
      </w:r>
      <w:r w:rsidR="00DB14B1">
        <w:rPr>
          <w:color w:val="000000" w:themeColor="text1"/>
        </w:rPr>
        <w:t xml:space="preserve"> </w:t>
      </w:r>
      <w:r w:rsidRPr="00C25621">
        <w:rPr>
          <w:color w:val="000000" w:themeColor="text1"/>
        </w:rPr>
        <w:t>bi jim zagotavljali dostopnost do nemotenega izobraževanja na daljavo (prostorski in kadrovski pogoji, skrb za varnost otroka, načini preverjanja in ocenjevanja znanja).</w:t>
      </w:r>
    </w:p>
    <w:p w14:paraId="51727636" w14:textId="77777777" w:rsidR="00DB14B1" w:rsidRDefault="00DB14B1" w:rsidP="00C25621">
      <w:pPr>
        <w:rPr>
          <w:color w:val="000000" w:themeColor="text1"/>
        </w:rPr>
      </w:pPr>
    </w:p>
    <w:p w14:paraId="4730D277" w14:textId="04E7F36E" w:rsidR="00C25621" w:rsidRPr="00C25621" w:rsidRDefault="00C25621" w:rsidP="00C25621">
      <w:pPr>
        <w:rPr>
          <w:color w:val="000000" w:themeColor="text1"/>
        </w:rPr>
      </w:pPr>
      <w:r w:rsidRPr="00C25621">
        <w:rPr>
          <w:color w:val="000000" w:themeColor="text1"/>
        </w:rPr>
        <w:t>Vlada nasprotuje tudi predlogu ukrepa, s katerim ravnatelj začasno odloči o izključitvi učenca iz</w:t>
      </w:r>
    </w:p>
    <w:p w14:paraId="3706EB22" w14:textId="77777777" w:rsidR="00C25621" w:rsidRPr="00C25621" w:rsidRDefault="00C25621" w:rsidP="00C25621">
      <w:pPr>
        <w:rPr>
          <w:color w:val="000000" w:themeColor="text1"/>
        </w:rPr>
      </w:pPr>
      <w:r w:rsidRPr="00C25621">
        <w:rPr>
          <w:color w:val="000000" w:themeColor="text1"/>
        </w:rPr>
        <w:t>osnovne šole, saj tak ukrep krši učenčevo pravico do osnovnošolskega izobraževanja, ki je v skladu z Ustavo Republike Slovenije obvezno. Ni namreč dopustno, da se šoli dodeli pristojnost izključiti učenca (kar je bilo že pojasnjeno zgoraj), četudi bi šlo za začasen ukrep. Predlog niti ne opredeli, kaj bi se učencu moralo zagotoviti v času, ko je izključen, kakšne so njegove pravice in obveznosti, koliko časa bi lahko tak ukrep sploh trajal in kako bi s tem upravičili, da se je šoloobveznemu otroku zagotovila pravica do osnovnošolskega izobraževanja. Izključitev učenca verjetno ne bi odvezala od obveznosti preverjanja in ocenjevanja znanja, kar pomeni, da je predlog v tem delu povsem podnormiran in nedorečen, obenem pa je škodljiv za učenca, saj je z izključitvijo postavljen v pasivno vlogo, kar pa ni dopustno.</w:t>
      </w:r>
    </w:p>
    <w:p w14:paraId="0CE0FD25" w14:textId="77777777" w:rsidR="00DB14B1" w:rsidRDefault="00DB14B1" w:rsidP="00C25621">
      <w:pPr>
        <w:rPr>
          <w:color w:val="000000" w:themeColor="text1"/>
        </w:rPr>
      </w:pPr>
    </w:p>
    <w:p w14:paraId="1F775145" w14:textId="2F2DD8C0" w:rsidR="00C25621" w:rsidRPr="00C25621" w:rsidRDefault="00C25621" w:rsidP="00C25621">
      <w:pPr>
        <w:rPr>
          <w:color w:val="000000" w:themeColor="text1"/>
        </w:rPr>
      </w:pPr>
      <w:r w:rsidRPr="00C25621">
        <w:rPr>
          <w:color w:val="000000" w:themeColor="text1"/>
        </w:rPr>
        <w:t>Predlog dalje predvideva, da lahko ravnatelj učenca začasno vključi v vzgojni program za socializacijo, ki bi se organiziral v okviru strokovnih centrov, ki jih določi minister. Za obravnavo učencev v teh vzgojnih programih bi se smiselno uporabljale določbe zakona, ki ureja obravnavo otrok s čustvenimi in vedenjskimi težavami ter motnjami v vzgoji in izobraževanju. Vlada nasprotuje takšnemu predlogu in pojasnjuje, da strokovni centri izvajajo vzgojni program za vzgojo in izobraževanje otrok in mladostnikov s čustvenimi in vedenjskimi težavami ter motnjami, ki ga je sprejel Strokovni svet RS za splošno izobraževanje in ne vsebuje programa za socializacijo. Možno je vključevanje v dnevne oblike pomoči, vendar šele po izvedenem svetovanju in obravnavi mobilnega tima.</w:t>
      </w:r>
    </w:p>
    <w:p w14:paraId="1E8B8A08" w14:textId="77777777" w:rsidR="00DB14B1" w:rsidRDefault="00DB14B1" w:rsidP="00C25621">
      <w:pPr>
        <w:rPr>
          <w:color w:val="000000" w:themeColor="text1"/>
        </w:rPr>
      </w:pPr>
    </w:p>
    <w:p w14:paraId="1849E33D" w14:textId="772D58B7" w:rsidR="00C25621" w:rsidRPr="00C25621" w:rsidRDefault="00C25621" w:rsidP="00C25621">
      <w:pPr>
        <w:rPr>
          <w:color w:val="000000" w:themeColor="text1"/>
        </w:rPr>
      </w:pPr>
      <w:r w:rsidRPr="00C25621">
        <w:rPr>
          <w:color w:val="000000" w:themeColor="text1"/>
        </w:rPr>
        <w:t>V skladu z 8. členom Zakona o obravnavi otrok in mladostnikov s čustvenimi in vedenjskimi težavami in motnjami v vzgoji in izobraževanju je otrok oziroma mladostnik lahko nameščen v strokovni center po izvedenem nujnem odvzemu s strani centra za socialno delo, v skladu z zakonom, ki ureja družinska razmerja ali z odločbo o namestitvi, izdano po zakonu, ki ureja nepravdni postopek in družinska razmerja, ali pa z odločbo o izreku vzgojnega ukrepa oddaje v vzgojni zavod v skladu z zakonom, ki ureja obravnavanje mladoletnih storilcev kaznivih dejanj. Namestitev otroka po izvedenem nujnem odvzemu otroka lahko opravi le center za socialno delo. Sodišče z odločbo o namestitvi ali center za socialno delo po izdaji odločbe o</w:t>
      </w:r>
      <w:r w:rsidR="00DB14B1">
        <w:rPr>
          <w:color w:val="000000" w:themeColor="text1"/>
        </w:rPr>
        <w:t xml:space="preserve"> </w:t>
      </w:r>
      <w:r w:rsidRPr="00C25621">
        <w:rPr>
          <w:color w:val="000000" w:themeColor="text1"/>
        </w:rPr>
        <w:t xml:space="preserve">izreku vzgojnega ukrepa oddaje v vzgojni zavod določi strokovni center, ki na določenem območju usklajuje sodelovanje strokovnih centrov. Zakon o obravnavi otrok in mladostnikov s čustvenimi in vedenjskimi težavami in motnjami v vzgoji in izobraževanju torej pri namestitvi oziroma začasni vključitvi v vzgojni program za socializacijo ne podeljuje nobenih pooblastil šoli ali ravnatelju. Zakon v svojih določbah za razliko od centra za socialno delo, sodišča, zdravstvenih služb (in staršev), prav tako ne predvideva aktivne sodelovalne vloge otrokove šole pri nameščanju in spremljanju ukrepa, zato je predlog takšne spremembe in dopolnitve Zakona o osnovni šoli, kjer bi se ravnateljem podeljevale pristojnosti, ki jih po Zakonu o </w:t>
      </w:r>
      <w:r w:rsidRPr="00C25621">
        <w:rPr>
          <w:color w:val="000000" w:themeColor="text1"/>
        </w:rPr>
        <w:lastRenderedPageBreak/>
        <w:t>obravnavi otrok in mladostnikov s čustvenimi in vedenjskimi težavami in motnjami v vzgoji in izobraževanju nima, v neskladju z Zakonom o obravnavi otrok in mladostnikov s čustvenimi in vedenjskimi težavami in motnjami v vzgoji in izobraževanju.</w:t>
      </w:r>
    </w:p>
    <w:p w14:paraId="659F69C2" w14:textId="77777777" w:rsidR="00C25621" w:rsidRPr="00C25621" w:rsidRDefault="00C25621" w:rsidP="00C25621">
      <w:pPr>
        <w:rPr>
          <w:color w:val="000000" w:themeColor="text1"/>
        </w:rPr>
      </w:pPr>
    </w:p>
    <w:p w14:paraId="07265E47" w14:textId="37FA3CE1" w:rsidR="00C25621" w:rsidRPr="00C25621" w:rsidRDefault="00C25621" w:rsidP="00C25621">
      <w:pPr>
        <w:rPr>
          <w:color w:val="000000" w:themeColor="text1"/>
        </w:rPr>
      </w:pPr>
      <w:r w:rsidRPr="00C25621">
        <w:rPr>
          <w:color w:val="000000" w:themeColor="text1"/>
        </w:rPr>
        <w:t>Vlada glede na navedeno predloga ne podpira.</w:t>
      </w:r>
    </w:p>
    <w:p w14:paraId="1C27AC47" w14:textId="21B16DD4" w:rsidR="00823D24" w:rsidRPr="00DB14B1" w:rsidRDefault="00C25621" w:rsidP="00DB14B1">
      <w:pPr>
        <w:pStyle w:val="Vir"/>
      </w:pPr>
      <w:r w:rsidRPr="00C25621">
        <w:t>Vir: Ministrstvo za vzgojo in izobraževanje</w:t>
      </w:r>
    </w:p>
    <w:p w14:paraId="63A7443A" w14:textId="77777777" w:rsidR="00823D24" w:rsidRPr="00087F73" w:rsidRDefault="00823D24" w:rsidP="00823D24">
      <w:pPr>
        <w:pStyle w:val="Naslov2"/>
        <w:rPr>
          <w:rFonts w:eastAsia="Calibri"/>
        </w:rPr>
      </w:pPr>
      <w:r w:rsidRPr="00087F73">
        <w:rPr>
          <w:rFonts w:eastAsia="Calibri"/>
        </w:rPr>
        <w:t>Odgovor na poslansko vprašanje v zvezi s poplačilom za odpravo posledic poplav leta 2012</w:t>
      </w:r>
    </w:p>
    <w:p w14:paraId="76418BA5" w14:textId="77777777" w:rsidR="00823D24" w:rsidRPr="00087F73" w:rsidRDefault="00823D24" w:rsidP="00823D24">
      <w:pPr>
        <w:rPr>
          <w:rFonts w:eastAsia="Calibri"/>
        </w:rPr>
      </w:pPr>
      <w:r w:rsidRPr="00087F73">
        <w:rPr>
          <w:rFonts w:eastAsia="Calibri"/>
        </w:rPr>
        <w:t xml:space="preserve">Vlada je sprejela Odgovor na poslansko vprašanje Franca Breznika v zvezi s postopkom za poplačilo poplavnega uničenja Štajerske leta 2012. </w:t>
      </w:r>
    </w:p>
    <w:p w14:paraId="4B971D0C" w14:textId="77777777" w:rsidR="00823D24" w:rsidRPr="00087F73" w:rsidRDefault="00823D24" w:rsidP="00823D24">
      <w:pPr>
        <w:rPr>
          <w:rFonts w:eastAsia="Calibri"/>
        </w:rPr>
      </w:pPr>
    </w:p>
    <w:p w14:paraId="7F42229B" w14:textId="77777777" w:rsidR="00823D24" w:rsidRPr="00087F73" w:rsidRDefault="00823D24" w:rsidP="00823D24">
      <w:pPr>
        <w:rPr>
          <w:rFonts w:ascii="Calibri" w:hAnsi="Calibri"/>
        </w:rPr>
      </w:pPr>
      <w:r w:rsidRPr="00087F73">
        <w:t xml:space="preserve">Vlada med drugim odgovarja, da je bila Republika Slovenija z družbo Verbund </w:t>
      </w:r>
      <w:proofErr w:type="spellStart"/>
      <w:r w:rsidRPr="00087F73">
        <w:t>Hydro</w:t>
      </w:r>
      <w:proofErr w:type="spellEnd"/>
      <w:r w:rsidRPr="00087F73">
        <w:t xml:space="preserve"> Power GmbH (VHP) zaradi posledic poplav na Dravi v letu 2012 udeležena v dveh sodnih sporih pred Deželnim sodiščem v Celovcu. Oba sodna postopka sta v soglasju obeh strank začela mirovati še pred pričetkom vsebinske obravnave, saj sta obe strani mirni rešitvi spora dali prednost pred sodnim postopkom. Pogajanja so z različnimi prekinitvami tekla več let, Republika Slovenija pa je po tem, ko je v začetku leta 2024 s strani VHP prejela nakazilo v višini 14,9 mio EUR, svojo tožbo zoper VHP umaknila, prav tako je svojo tožbo zoper Republiko Slovenijo umaknil VHP, s čimer so bili zaključeni vsi spori med RS in VHP iz naslova poplavnega dogodka v letu 2012. </w:t>
      </w:r>
    </w:p>
    <w:p w14:paraId="27369EEE" w14:textId="77777777" w:rsidR="00823D24" w:rsidRPr="00087F73" w:rsidRDefault="00823D24" w:rsidP="00823D24">
      <w:pPr>
        <w:rPr>
          <w:highlight w:val="lightGray"/>
        </w:rPr>
      </w:pPr>
    </w:p>
    <w:p w14:paraId="757BC56F" w14:textId="77777777" w:rsidR="00823D24" w:rsidRPr="00087F73" w:rsidRDefault="00823D24" w:rsidP="00823D24">
      <w:r w:rsidRPr="00087F73">
        <w:t xml:space="preserve">V zvezi z navedbami iz dopisa odvetnice Magde Vraničar, ki se nanašajo na sodelovanje s pooblaščenci zasebnih oškodovancev in bi se lahko razumele v smislu, da ima država neposredne pristojnosti pri zastopanju zasebnih oškodovancev v njihovih sodnih postopkih, pojasnjujemo, da Republika Slovenija oziroma Državno odvetništvo takšnih pristojnosti v razmerju do zasebnih oškodovancev nimata. Državno odvetništvo po zakonu pred sodiščem zastopa predvsem državo in državne organe, medtem ko imajo zasebni oškodovanci, v kolikor se ne zastopajo sami, pred sodišči svoje pooblaščence (odvetnike), ki si jih izberejo sami in v sodelovanju s katerimi vsebino zahtevkov in strategijo vodenja postopka določijo samostojno, v ta razmerja pa Republika Slovenija ne sme posegati. Čeprav Republika Slovenija, kot navedeno, neposrednih pristojnosti iz naslova zastopanja zasebnih oškodovancev nima, je njihove interese iz konkretnega poplavnega dogodka vseeno zavarovala tudi v okviru reševanja svojega spora. Glavni cilj pogajanj za rešitev spora z VHP je bila namreč ureditev spornega razmerja na način, ki bo na dolgi rok zagotavljal večjo protipoplavno zaščito prebivalstva in gospodarstva na poplavnem območju in preprečil ponovitev tovrstnih dogodkov. </w:t>
      </w:r>
    </w:p>
    <w:p w14:paraId="28521D46" w14:textId="77777777" w:rsidR="00823D24" w:rsidRPr="00087F73" w:rsidRDefault="00823D24" w:rsidP="00823D24">
      <w:pPr>
        <w:rPr>
          <w:highlight w:val="lightGray"/>
        </w:rPr>
      </w:pPr>
    </w:p>
    <w:p w14:paraId="53779315" w14:textId="2ECF0F8B" w:rsidR="00823D24" w:rsidRPr="00DB14B1" w:rsidRDefault="00823D24" w:rsidP="00823D24">
      <w:pPr>
        <w:rPr>
          <w:color w:val="000000"/>
        </w:rPr>
      </w:pPr>
      <w:r>
        <w:rPr>
          <w:color w:val="000000"/>
        </w:rPr>
        <w:t>K</w:t>
      </w:r>
      <w:r w:rsidRPr="00087F73">
        <w:rPr>
          <w:color w:val="000000"/>
        </w:rPr>
        <w:t>ončanje sodnih postopkov med VHP in Republiko Slovenijo ščiti tudi širši javni interes, saj prispeva h krepitvi dobrih odnosov med sosednjima državama in daje pozitiven signal mednarodni skupnosti, da je Republika Slovenija v bilateralnih odnosih kredibilna sogovornica in da je kompleksna pogajanja sposobna zaključevati v dobro vseh vpletenih.</w:t>
      </w:r>
    </w:p>
    <w:p w14:paraId="513264B3" w14:textId="462E8DA5" w:rsidR="00660E38" w:rsidRPr="00DB14B1" w:rsidRDefault="00823D24" w:rsidP="00DB14B1">
      <w:pPr>
        <w:pStyle w:val="Vir"/>
        <w:rPr>
          <w:highlight w:val="lightGray"/>
        </w:rPr>
      </w:pPr>
      <w:r>
        <w:rPr>
          <w:highlight w:val="lightGray"/>
        </w:rPr>
        <w:t>Vir: Ministrstvo za naravne vire in prostor</w:t>
      </w:r>
    </w:p>
    <w:p w14:paraId="67B8DF48" w14:textId="1AF7713D" w:rsidR="001A777C" w:rsidRPr="001A777C" w:rsidRDefault="001A777C" w:rsidP="001A777C">
      <w:pPr>
        <w:pStyle w:val="Naslov2"/>
      </w:pPr>
      <w:r w:rsidRPr="001A777C">
        <w:t>Vlada imenovala predstavnike ustanovitelja v sveta javnih vzgojno-izobraževalnih zavodov</w:t>
      </w:r>
    </w:p>
    <w:p w14:paraId="4318B28F" w14:textId="77777777" w:rsidR="001A777C" w:rsidRPr="001A777C" w:rsidRDefault="001A777C" w:rsidP="001A777C">
      <w:pPr>
        <w:rPr>
          <w:color w:val="000000" w:themeColor="text1"/>
        </w:rPr>
      </w:pPr>
      <w:r w:rsidRPr="001A777C">
        <w:rPr>
          <w:color w:val="000000" w:themeColor="text1"/>
        </w:rPr>
        <w:t>Vlada je v svet javnega vzgojno-izobraževalnega zavoda »Srednja trgovska in aranžerska šola Ljubljana« za preostanek mandata, in sicer od 20. 9. 2024 do 3. 1. 2027, kot predstavnika ustanovitelja imenovala Matejo Briški in Tadeja Bračka.</w:t>
      </w:r>
    </w:p>
    <w:p w14:paraId="2586ECEB" w14:textId="77777777" w:rsidR="001A777C" w:rsidRPr="001A777C" w:rsidRDefault="001A777C" w:rsidP="001A777C">
      <w:pPr>
        <w:rPr>
          <w:color w:val="000000" w:themeColor="text1"/>
        </w:rPr>
      </w:pPr>
    </w:p>
    <w:p w14:paraId="451FA395" w14:textId="4EAF655B" w:rsidR="001A777C" w:rsidRPr="001A777C" w:rsidRDefault="001A777C" w:rsidP="001A777C">
      <w:pPr>
        <w:rPr>
          <w:color w:val="000000" w:themeColor="text1"/>
        </w:rPr>
      </w:pPr>
      <w:r w:rsidRPr="001A777C">
        <w:rPr>
          <w:color w:val="000000" w:themeColor="text1"/>
        </w:rPr>
        <w:t>V svet javnega vzgojno-izobraževalnega zavoda »Srednja šola Zagorje« pa je za preostanek mandata, in sicer od 20. 9. 2024 do 26. 2. 2028, imenovala Lojzeta Čopa in Damjana Zelenika.</w:t>
      </w:r>
    </w:p>
    <w:p w14:paraId="67115B5D" w14:textId="0249E48F" w:rsidR="00660E38" w:rsidRPr="001A777C" w:rsidRDefault="001A777C" w:rsidP="001A777C">
      <w:pPr>
        <w:pStyle w:val="Vir"/>
      </w:pPr>
      <w:r w:rsidRPr="001A777C">
        <w:t>Vir: Ministrstvo za vzgojo in izobraževanje</w:t>
      </w:r>
    </w:p>
    <w:p w14:paraId="1E961D1E" w14:textId="21BFE7DC" w:rsidR="001E315C" w:rsidRPr="001E315C" w:rsidRDefault="001E315C" w:rsidP="001E315C">
      <w:pPr>
        <w:pStyle w:val="Naslov2"/>
      </w:pPr>
      <w:r w:rsidRPr="001E315C">
        <w:lastRenderedPageBreak/>
        <w:t>Vlada o realizaciji porabe skupne vrednosti pravnih poslov razpolaganja s stvarnim premoženjem države v upravljanju organov državne uprave, pravosodnih organov, javnih zavodov, javnih gospodarskih zavodov, javnih agencij in javnih skladov za leto 2023</w:t>
      </w:r>
    </w:p>
    <w:p w14:paraId="77D58600" w14:textId="3A8012CE" w:rsidR="001E315C" w:rsidRPr="001E315C" w:rsidRDefault="001E315C" w:rsidP="001E315C">
      <w:pPr>
        <w:rPr>
          <w:color w:val="000000" w:themeColor="text1"/>
        </w:rPr>
      </w:pPr>
      <w:r w:rsidRPr="001E315C">
        <w:rPr>
          <w:color w:val="000000" w:themeColor="text1"/>
        </w:rPr>
        <w:t>Vlada je sprejela Poročil</w:t>
      </w:r>
      <w:r w:rsidR="00DB14B1">
        <w:rPr>
          <w:color w:val="000000" w:themeColor="text1"/>
        </w:rPr>
        <w:t xml:space="preserve">o </w:t>
      </w:r>
      <w:r w:rsidRPr="001E315C">
        <w:rPr>
          <w:color w:val="000000" w:themeColor="text1"/>
        </w:rPr>
        <w:t xml:space="preserve">o realizaciji porabe skupne vrednosti pravnih poslov razpolaganja s stvarnim premoženjem države v upravljanju organov državne uprave, pravosodnih organov, javnih zavodov, javnih gospodarskih zavodov, javnih agencij in javnih skladov za leto 2023 (Poročilo). </w:t>
      </w:r>
    </w:p>
    <w:p w14:paraId="5582AF66" w14:textId="77777777" w:rsidR="001E315C" w:rsidRPr="001E315C" w:rsidRDefault="001E315C" w:rsidP="001E315C">
      <w:pPr>
        <w:rPr>
          <w:color w:val="000000" w:themeColor="text1"/>
        </w:rPr>
      </w:pPr>
    </w:p>
    <w:p w14:paraId="118FD092" w14:textId="77777777" w:rsidR="001E315C" w:rsidRPr="001E315C" w:rsidRDefault="001E315C" w:rsidP="001E315C">
      <w:pPr>
        <w:rPr>
          <w:color w:val="000000" w:themeColor="text1"/>
        </w:rPr>
      </w:pPr>
      <w:r w:rsidRPr="001E315C">
        <w:rPr>
          <w:color w:val="000000" w:themeColor="text1"/>
        </w:rPr>
        <w:t xml:space="preserve">Poročilo za leto 2023 zajema podatke o realizaciji sklenjenih pravnih poslov razpolaganja z nepremičnim in premičnim premoženjem države na podlagi načrtovanega razpolaganja nepremičnega in premičnega premoženja države, vključenega v evidentirano načrtovano porabo skupnih vrednosti pravnih poslov razpolaganja s stvarnim premoženjem za leto 2023. Višina skupne dopustne vrednosti je bila določena na podlagi sklepa Vlade z dne 15. 12. 2022 o določitvi skupne vrednosti pravnih poslov razpolaganja z nepremičnim in premičnim premoženjem v lasti države in v upravljanju omenjenih organov, ki ga navedeni upravljavci lahko odsvojijo v letu 2023. </w:t>
      </w:r>
    </w:p>
    <w:p w14:paraId="554135D2" w14:textId="77777777" w:rsidR="001E315C" w:rsidRPr="001E315C" w:rsidRDefault="001E315C" w:rsidP="001E315C">
      <w:pPr>
        <w:rPr>
          <w:color w:val="000000" w:themeColor="text1"/>
        </w:rPr>
      </w:pPr>
    </w:p>
    <w:p w14:paraId="41BAAFC0" w14:textId="77777777" w:rsidR="001E315C" w:rsidRPr="001E315C" w:rsidRDefault="001E315C" w:rsidP="001E315C">
      <w:pPr>
        <w:rPr>
          <w:color w:val="000000" w:themeColor="text1"/>
        </w:rPr>
      </w:pPr>
      <w:r w:rsidRPr="001E315C">
        <w:rPr>
          <w:color w:val="000000" w:themeColor="text1"/>
        </w:rPr>
        <w:t>Organi državne uprave, pravosodni organi, javni zavodi, javni gospodarski zavodi, javne agencije in javni skladi, ki so upravljavci stvarnega premoženja države, so lahko na podlagi navedenih sklepov Vlade v letu 2023 sklepali pravne posle razpolaganja z nepremičnim premoženjem v skupni vrednosti 45.000.000 evrov in pravne posle razpolaganja s premičnim premoženjem v posamični vrednosti nad 10.000 evrov v skupni vrednosti 5.200.000 evrov. Merodajna so bila razpolaganja, ki so bila napovedana za tekoče leto 2023, pravni posel pa je bil sklenjen najpozneje dne 31. 3. 2024.</w:t>
      </w:r>
    </w:p>
    <w:p w14:paraId="31F53942" w14:textId="77777777" w:rsidR="001E315C" w:rsidRPr="001E315C" w:rsidRDefault="001E315C" w:rsidP="001E315C">
      <w:pPr>
        <w:rPr>
          <w:color w:val="000000" w:themeColor="text1"/>
        </w:rPr>
      </w:pPr>
    </w:p>
    <w:p w14:paraId="1DD690B4" w14:textId="13EE9ED7" w:rsidR="001E315C" w:rsidRPr="001E315C" w:rsidRDefault="001E315C" w:rsidP="001E315C">
      <w:pPr>
        <w:rPr>
          <w:color w:val="000000" w:themeColor="text1"/>
        </w:rPr>
      </w:pPr>
      <w:r w:rsidRPr="001E315C">
        <w:rPr>
          <w:color w:val="000000" w:themeColor="text1"/>
        </w:rPr>
        <w:t>Vlada omenjeno poročilo, skupaj z zaključnim računom proračuna, posreduje v seznanitev Državnemu zboru.</w:t>
      </w:r>
    </w:p>
    <w:p w14:paraId="335A273C" w14:textId="49B1A92E" w:rsidR="00660E38" w:rsidRPr="002A645C" w:rsidRDefault="001E315C" w:rsidP="002A645C">
      <w:pPr>
        <w:pStyle w:val="Vir"/>
      </w:pPr>
      <w:r w:rsidRPr="001E315C">
        <w:t>Vir: Ministrstvo za javno upravo</w:t>
      </w:r>
    </w:p>
    <w:p w14:paraId="5DA171B5" w14:textId="14DDB9A7" w:rsidR="002A645C" w:rsidRPr="002A645C" w:rsidRDefault="002A645C" w:rsidP="002A645C">
      <w:pPr>
        <w:pStyle w:val="Naslov2"/>
      </w:pPr>
      <w:r w:rsidRPr="002A645C">
        <w:t>Vlada se je seznanila s Poročilom o realizaciji načrtovanega razpolaganja s stvarnim</w:t>
      </w:r>
      <w:r w:rsidR="00DB14B1">
        <w:t xml:space="preserve"> </w:t>
      </w:r>
      <w:r w:rsidRPr="002A645C">
        <w:t>premoženjem države za druge državne organe za leto 2023</w:t>
      </w:r>
    </w:p>
    <w:p w14:paraId="15942338" w14:textId="7DAA43AC" w:rsidR="002A645C" w:rsidRPr="002A645C" w:rsidRDefault="002A645C" w:rsidP="002A645C">
      <w:pPr>
        <w:rPr>
          <w:color w:val="000000" w:themeColor="text1"/>
        </w:rPr>
      </w:pPr>
      <w:r w:rsidRPr="002A645C">
        <w:rPr>
          <w:color w:val="000000" w:themeColor="text1"/>
        </w:rPr>
        <w:t>Vlada se je seznanila z obvestili in poročili o realizaciji načrtov razpolaganja  s stvarnim premoženjem države za leto 2023 za naslednje državne organe: Predsednico Republike Slovenije, Državni zbor Republike Slovenije, Državni svet Republike Slovenije, Ustavno sodišče Republike Slovenije; Računsko sodišče Republike Slovenije; Državno revizijsko komisijo za revizijo postopkov oddaje javnih naročil, Državno volilno komisijo, Fiskalni svet, Informacijskega pooblaščenca, Komisijo za preprečevanje korupcije, Varuha človekovih pravic, Zagovornika načela enakosti, Sodni svet in Državnotožilski svet.</w:t>
      </w:r>
    </w:p>
    <w:p w14:paraId="6F17D57C" w14:textId="77777777" w:rsidR="002A645C" w:rsidRPr="002A645C" w:rsidRDefault="002A645C" w:rsidP="002A645C">
      <w:pPr>
        <w:rPr>
          <w:color w:val="000000" w:themeColor="text1"/>
        </w:rPr>
      </w:pPr>
    </w:p>
    <w:p w14:paraId="625FCA19" w14:textId="773CABB8" w:rsidR="002A645C" w:rsidRPr="002A645C" w:rsidRDefault="002A645C" w:rsidP="002A645C">
      <w:pPr>
        <w:rPr>
          <w:color w:val="000000" w:themeColor="text1"/>
        </w:rPr>
      </w:pPr>
      <w:r w:rsidRPr="002A645C">
        <w:rPr>
          <w:color w:val="000000" w:themeColor="text1"/>
        </w:rPr>
        <w:t xml:space="preserve">Vlada omenjeno Poročilo skupaj z zaključnim računom proračuna posreduje Državnemu zboru Republike Slovenije v seznanitev. </w:t>
      </w:r>
    </w:p>
    <w:p w14:paraId="2966DAD4" w14:textId="6D94B424" w:rsidR="00660E38" w:rsidRPr="002A645C" w:rsidRDefault="002A645C" w:rsidP="002A645C">
      <w:pPr>
        <w:pStyle w:val="Vir"/>
      </w:pPr>
      <w:r w:rsidRPr="002A645C">
        <w:t>Vir: Ministrstvo za javno upravo</w:t>
      </w:r>
      <w:r w:rsidR="00660E38" w:rsidRPr="002A645C">
        <w:t xml:space="preserve"> </w:t>
      </w:r>
    </w:p>
    <w:p w14:paraId="3E63583D" w14:textId="77777777" w:rsidR="00CD28AD" w:rsidRPr="00CD28AD" w:rsidRDefault="00CD28AD" w:rsidP="00CD28AD">
      <w:pPr>
        <w:pStyle w:val="Naslov2"/>
      </w:pPr>
      <w:r w:rsidRPr="00CD28AD">
        <w:t>Menjava članice sveta ZPIZ</w:t>
      </w:r>
    </w:p>
    <w:p w14:paraId="32CFE300" w14:textId="3514668B" w:rsidR="00CD28AD" w:rsidRPr="00CD28AD" w:rsidRDefault="00CD28AD" w:rsidP="00CD28AD">
      <w:r w:rsidRPr="00CD28AD">
        <w:t>Vlada je v svetu Zavoda za pokojninsko in invalidsko zavarovanje Slovenije (ZPIZ), kot predstavnico ustanovitelja, razrešila članico Katjo Rihar Bajuk. Za preostanek mandata sveta ZPIZ je od 20. 9. 2024 do 18. 2. 2026, kot predstavnico ustanovitelja, imenovala Lidijo Šubelj.</w:t>
      </w:r>
    </w:p>
    <w:p w14:paraId="6C443C28" w14:textId="30E91928" w:rsidR="00CD28AD" w:rsidRPr="00CD28AD" w:rsidRDefault="00CD28AD" w:rsidP="00CD28AD">
      <w:pPr>
        <w:pStyle w:val="Vir"/>
      </w:pPr>
      <w:r>
        <w:t>Vir: Ministrstvo za delo, družino, socialne zadeve in enake možnosti</w:t>
      </w:r>
    </w:p>
    <w:p w14:paraId="4E0F77EC" w14:textId="77777777" w:rsidR="00660E38" w:rsidRPr="00660E38" w:rsidRDefault="00660E38" w:rsidP="00660E38">
      <w:pPr>
        <w:rPr>
          <w:color w:val="FF0000"/>
        </w:rPr>
      </w:pPr>
      <w:r w:rsidRPr="00660E38">
        <w:rPr>
          <w:color w:val="FF0000"/>
        </w:rPr>
        <w:t xml:space="preserve"> </w:t>
      </w:r>
    </w:p>
    <w:p w14:paraId="63C37E1A" w14:textId="629D1461" w:rsidR="00833EFB" w:rsidRDefault="00833EFB" w:rsidP="00833EFB">
      <w:pPr>
        <w:pStyle w:val="Naslov2"/>
      </w:pPr>
      <w:r>
        <w:lastRenderedPageBreak/>
        <w:t xml:space="preserve">Vlada </w:t>
      </w:r>
      <w:r w:rsidR="00DB14B1">
        <w:t>je</w:t>
      </w:r>
      <w:r>
        <w:t xml:space="preserve"> sprejela Sklep o spremembi </w:t>
      </w:r>
      <w:r w:rsidRPr="00694F5C">
        <w:t>Sklepa o imenovanju Koordinacijskega odbora za državne proslave in prireditve</w:t>
      </w:r>
      <w:r>
        <w:t>.</w:t>
      </w:r>
      <w:r w:rsidRPr="00694F5C">
        <w:t xml:space="preserve"> </w:t>
      </w:r>
    </w:p>
    <w:p w14:paraId="19723785" w14:textId="77777777" w:rsidR="00833EFB" w:rsidRPr="00205813" w:rsidRDefault="00833EFB" w:rsidP="00833EFB">
      <w:r w:rsidRPr="00C40F8F">
        <w:t>V Koordinacijskem odboru za državne proslave in prireditve</w:t>
      </w:r>
      <w:r w:rsidRPr="00C40F8F">
        <w:rPr>
          <w:b/>
        </w:rPr>
        <w:t xml:space="preserve"> </w:t>
      </w:r>
      <w:r>
        <w:t>se razreši Luka Špoljar,</w:t>
      </w:r>
      <w:r w:rsidRPr="000009A7">
        <w:t xml:space="preserve"> </w:t>
      </w:r>
      <w:r>
        <w:t xml:space="preserve">član, ter za </w:t>
      </w:r>
      <w:r w:rsidRPr="00205813">
        <w:t>član</w:t>
      </w:r>
      <w:r>
        <w:t>ico imenuje Petro Aršič.</w:t>
      </w:r>
    </w:p>
    <w:p w14:paraId="4DC89CCB" w14:textId="77777777" w:rsidR="00833EFB" w:rsidRDefault="00833EFB" w:rsidP="00833EFB"/>
    <w:p w14:paraId="0F381FC4" w14:textId="5FE0C7FD" w:rsidR="00660E38" w:rsidRDefault="00833EFB" w:rsidP="00833EFB">
      <w:r w:rsidRPr="00205813">
        <w:rPr>
          <w:lang w:eastAsia="sl-SI"/>
        </w:rPr>
        <w:t xml:space="preserve">Vlada je na podlagi 37. člena Sklepa o določitvi protokolarnih pravil s sklepom št. </w:t>
      </w:r>
      <w:r w:rsidRPr="00205813">
        <w:t xml:space="preserve">01101-2/2022/3 z dne 9. 6. 2022 </w:t>
      </w:r>
      <w:r w:rsidRPr="00205813">
        <w:rPr>
          <w:lang w:eastAsia="sl-SI"/>
        </w:rPr>
        <w:t>imenovala Koordinacijski odbor za državne proslave in prireditve in s sklep</w:t>
      </w:r>
      <w:r>
        <w:rPr>
          <w:lang w:eastAsia="sl-SI"/>
        </w:rPr>
        <w:t xml:space="preserve">i </w:t>
      </w:r>
      <w:r w:rsidRPr="00205813">
        <w:rPr>
          <w:lang w:eastAsia="sl-SI"/>
        </w:rPr>
        <w:t xml:space="preserve">št. </w:t>
      </w:r>
      <w:r w:rsidRPr="00205813">
        <w:t>01101-2/2022/9 z dne 19. 1. 2023</w:t>
      </w:r>
      <w:r>
        <w:t>,</w:t>
      </w:r>
      <w:r w:rsidRPr="00205813">
        <w:t xml:space="preserve"> št. </w:t>
      </w:r>
      <w:r w:rsidRPr="00205813">
        <w:rPr>
          <w:lang w:eastAsia="sl-SI"/>
        </w:rPr>
        <w:t>01101-2/2022/14</w:t>
      </w:r>
      <w:r w:rsidRPr="00205813">
        <w:t xml:space="preserve"> z dne 28. 9. 2023 </w:t>
      </w:r>
      <w:r>
        <w:t xml:space="preserve">ter št. 01101-2/2022/19 z dne 19. 6. 2024 </w:t>
      </w:r>
      <w:r w:rsidRPr="00205813">
        <w:t>imenovala nekaj novih predstavnikov v odboru</w:t>
      </w:r>
      <w:r w:rsidRPr="00205813">
        <w:rPr>
          <w:lang w:eastAsia="sl-SI"/>
        </w:rPr>
        <w:t xml:space="preserve">. Na </w:t>
      </w:r>
      <w:r>
        <w:rPr>
          <w:lang w:eastAsia="sl-SI"/>
        </w:rPr>
        <w:t xml:space="preserve">predlog Kabineta predsednika </w:t>
      </w:r>
      <w:r w:rsidR="00DB14B1">
        <w:rPr>
          <w:lang w:eastAsia="sl-SI"/>
        </w:rPr>
        <w:t>v</w:t>
      </w:r>
      <w:r>
        <w:rPr>
          <w:lang w:eastAsia="sl-SI"/>
        </w:rPr>
        <w:t xml:space="preserve">lade </w:t>
      </w:r>
      <w:r w:rsidRPr="00205813">
        <w:rPr>
          <w:lang w:eastAsia="sl-SI"/>
        </w:rPr>
        <w:t>je potrebno opraviti razrešit</w:t>
      </w:r>
      <w:r>
        <w:rPr>
          <w:lang w:eastAsia="sl-SI"/>
        </w:rPr>
        <w:t>e</w:t>
      </w:r>
      <w:r w:rsidRPr="00205813">
        <w:rPr>
          <w:lang w:eastAsia="sl-SI"/>
        </w:rPr>
        <w:t>v in nov</w:t>
      </w:r>
      <w:r>
        <w:rPr>
          <w:lang w:eastAsia="sl-SI"/>
        </w:rPr>
        <w:t>o</w:t>
      </w:r>
      <w:r w:rsidRPr="00205813">
        <w:rPr>
          <w:lang w:eastAsia="sl-SI"/>
        </w:rPr>
        <w:t xml:space="preserve"> imenovanj</w:t>
      </w:r>
      <w:r>
        <w:rPr>
          <w:lang w:eastAsia="sl-SI"/>
        </w:rPr>
        <w:t>e</w:t>
      </w:r>
      <w:r w:rsidRPr="00205813">
        <w:rPr>
          <w:lang w:eastAsia="sl-SI"/>
        </w:rPr>
        <w:t xml:space="preserve"> njihov</w:t>
      </w:r>
      <w:r>
        <w:rPr>
          <w:lang w:eastAsia="sl-SI"/>
        </w:rPr>
        <w:t>ega</w:t>
      </w:r>
      <w:r w:rsidRPr="00205813">
        <w:rPr>
          <w:lang w:eastAsia="sl-SI"/>
        </w:rPr>
        <w:t xml:space="preserve"> predstavnik</w:t>
      </w:r>
      <w:r>
        <w:rPr>
          <w:lang w:eastAsia="sl-SI"/>
        </w:rPr>
        <w:t>a</w:t>
      </w:r>
      <w:r w:rsidRPr="00205813">
        <w:rPr>
          <w:lang w:eastAsia="sl-SI"/>
        </w:rPr>
        <w:t xml:space="preserve">. </w:t>
      </w:r>
    </w:p>
    <w:p w14:paraId="3721F55B" w14:textId="4D651425" w:rsidR="00AC5FC6" w:rsidRDefault="00833EFB" w:rsidP="00DB14B1">
      <w:pPr>
        <w:pStyle w:val="Vir"/>
      </w:pPr>
      <w:r>
        <w:t>Vir: Generalni sekretariat vlade</w:t>
      </w:r>
    </w:p>
    <w:p w14:paraId="32F27C64" w14:textId="77777777" w:rsidR="00AC5FC6" w:rsidRPr="00AC5FC6" w:rsidRDefault="00AC5FC6" w:rsidP="00AC5FC6">
      <w:pPr>
        <w:pStyle w:val="Naslov2"/>
      </w:pPr>
      <w:bookmarkStart w:id="6" w:name="_Hlk177647125"/>
      <w:r w:rsidRPr="00AC5FC6">
        <w:t>Vlada je sprejela sklep, da za članico Evropske komisije predlaga mag. Marto Kos</w:t>
      </w:r>
    </w:p>
    <w:p w14:paraId="1BB60D68" w14:textId="39C2A41C" w:rsidR="00AC5FC6" w:rsidRPr="00AC5FC6" w:rsidRDefault="00AC5FC6" w:rsidP="00AC5FC6">
      <w:r w:rsidRPr="00AC5FC6">
        <w:t xml:space="preserve">Vlada je na podlagi prvega odstavka </w:t>
      </w:r>
      <w:proofErr w:type="spellStart"/>
      <w:r w:rsidRPr="00AC5FC6">
        <w:t>11.b</w:t>
      </w:r>
      <w:proofErr w:type="spellEnd"/>
      <w:r w:rsidRPr="00AC5FC6">
        <w:t xml:space="preserve"> člena ZSDZVZEU na svoji redni seji 9. septembra 2024 kot kandidatko za članico Evropske komisije predlagala mag. Marto Kos in predlog posredovala državnemu zboru. Predlagana kandidatka se je delovnemu telesu državnega zbora, pristojnemu za evropske zadeve, predstavila 18. septembra 2024. Slednje je o kandidatki glasovalo in jo podprlo.</w:t>
      </w:r>
    </w:p>
    <w:p w14:paraId="322D004F" w14:textId="77777777" w:rsidR="00AC5FC6" w:rsidRPr="00AC5FC6" w:rsidRDefault="00AC5FC6" w:rsidP="00AC5FC6"/>
    <w:p w14:paraId="4FD05FD1" w14:textId="7B1EA9C0" w:rsidR="00AC5FC6" w:rsidRDefault="00AC5FC6" w:rsidP="00AC5FC6">
      <w:r w:rsidRPr="00AC5FC6">
        <w:t xml:space="preserve">Na podlagi tretjega odstavka </w:t>
      </w:r>
      <w:proofErr w:type="spellStart"/>
      <w:r w:rsidRPr="00AC5FC6">
        <w:t>11.b</w:t>
      </w:r>
      <w:proofErr w:type="spellEnd"/>
      <w:r w:rsidRPr="00AC5FC6">
        <w:t xml:space="preserve"> člena Zakona o sodelovanju med državnim zborom in vlado v zadevah Evropske unije se je Vlada Republike Slovenije seznanila s pozitivnim mnenjem Odbora Državnega zbora za zadeve Evropske unije in sprejela sklep, da za članico Evropske komisije iz Republike Slovenije predlaga mag. Marto Kos. Gre za nekdanjo veleposlanico Republike Slovenije v Zvezni republiki Nemčiji in Švicarski konfederaciji, managerko, strokovnjakinjo za komuniciranje z večletnimi izkušnjami z vodenjem na vodilnih položajih in vodenjem projektov s področja EU, ki izpolnjuje vsa merila, zahtevana v členu 17 Pogodbe o Evropski uniji.</w:t>
      </w:r>
    </w:p>
    <w:p w14:paraId="6DC21F6E" w14:textId="799D11C5" w:rsidR="00AC5FC6" w:rsidRPr="00AC5FC6" w:rsidRDefault="00AC5FC6" w:rsidP="00AC5FC6">
      <w:pPr>
        <w:pStyle w:val="Vir"/>
      </w:pPr>
      <w:r>
        <w:t>Vir: Kabinet predsednika vlade</w:t>
      </w:r>
      <w:bookmarkEnd w:id="6"/>
    </w:p>
    <w:sectPr w:rsidR="00AC5FC6" w:rsidRPr="00AC5FC6" w:rsidSect="00252BC1">
      <w:type w:val="continuous"/>
      <w:pgSz w:w="11906" w:h="16838"/>
      <w:pgMar w:top="1417"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D38F" w14:textId="77777777" w:rsidR="00E42D9A" w:rsidRDefault="00E42D9A" w:rsidP="00750D01">
      <w:pPr>
        <w:spacing w:line="240" w:lineRule="auto"/>
      </w:pPr>
      <w:r>
        <w:separator/>
      </w:r>
    </w:p>
  </w:endnote>
  <w:endnote w:type="continuationSeparator" w:id="0">
    <w:p w14:paraId="0C8382C5" w14:textId="77777777" w:rsidR="00E42D9A" w:rsidRDefault="00E42D9A"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Roboto-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3A6B" w14:textId="77777777" w:rsidR="00E42D9A" w:rsidRDefault="00E42D9A" w:rsidP="00750D01">
      <w:pPr>
        <w:spacing w:line="240" w:lineRule="auto"/>
      </w:pPr>
      <w:r>
        <w:separator/>
      </w:r>
    </w:p>
  </w:footnote>
  <w:footnote w:type="continuationSeparator" w:id="0">
    <w:p w14:paraId="7FC52465" w14:textId="77777777" w:rsidR="00E42D9A" w:rsidRDefault="00E42D9A"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266B" w14:textId="77777777" w:rsidR="00AD2CF5" w:rsidRPr="00110CBD" w:rsidRDefault="00AD2CF5"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C9E"/>
    <w:multiLevelType w:val="hybridMultilevel"/>
    <w:tmpl w:val="C7B0689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8505FF"/>
    <w:multiLevelType w:val="hybridMultilevel"/>
    <w:tmpl w:val="FA763D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904530"/>
    <w:multiLevelType w:val="hybridMultilevel"/>
    <w:tmpl w:val="26DC25F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F4951"/>
    <w:multiLevelType w:val="hybridMultilevel"/>
    <w:tmpl w:val="F46EB2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9F7996"/>
    <w:multiLevelType w:val="hybridMultilevel"/>
    <w:tmpl w:val="53E4C9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E3120D"/>
    <w:multiLevelType w:val="hybridMultilevel"/>
    <w:tmpl w:val="440617E0"/>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6B03CC"/>
    <w:multiLevelType w:val="hybridMultilevel"/>
    <w:tmpl w:val="B896D846"/>
    <w:lvl w:ilvl="0" w:tplc="4A8C560E">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B35C06"/>
    <w:multiLevelType w:val="hybridMultilevel"/>
    <w:tmpl w:val="90B4DC68"/>
    <w:lvl w:ilvl="0" w:tplc="1374C0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13030F"/>
    <w:multiLevelType w:val="hybridMultilevel"/>
    <w:tmpl w:val="72C09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25967CF"/>
    <w:multiLevelType w:val="hybridMultilevel"/>
    <w:tmpl w:val="8248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3B4AEE"/>
    <w:multiLevelType w:val="hybridMultilevel"/>
    <w:tmpl w:val="4D40DD9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D32497"/>
    <w:multiLevelType w:val="hybridMultilevel"/>
    <w:tmpl w:val="694274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A365B8"/>
    <w:multiLevelType w:val="hybridMultilevel"/>
    <w:tmpl w:val="775EE9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614F8B"/>
    <w:multiLevelType w:val="hybridMultilevel"/>
    <w:tmpl w:val="02026070"/>
    <w:lvl w:ilvl="0" w:tplc="88D0F3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D766D29"/>
    <w:multiLevelType w:val="hybridMultilevel"/>
    <w:tmpl w:val="1C0E858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3030121">
    <w:abstractNumId w:val="16"/>
  </w:num>
  <w:num w:numId="2" w16cid:durableId="1132409187">
    <w:abstractNumId w:val="11"/>
  </w:num>
  <w:num w:numId="3" w16cid:durableId="541984376">
    <w:abstractNumId w:val="13"/>
  </w:num>
  <w:num w:numId="4" w16cid:durableId="2040622538">
    <w:abstractNumId w:val="4"/>
  </w:num>
  <w:num w:numId="5" w16cid:durableId="811795272">
    <w:abstractNumId w:val="2"/>
  </w:num>
  <w:num w:numId="6" w16cid:durableId="930310563">
    <w:abstractNumId w:val="12"/>
  </w:num>
  <w:num w:numId="7" w16cid:durableId="1244950606">
    <w:abstractNumId w:val="9"/>
  </w:num>
  <w:num w:numId="8" w16cid:durableId="1632829920">
    <w:abstractNumId w:val="1"/>
  </w:num>
  <w:num w:numId="9" w16cid:durableId="1043866843">
    <w:abstractNumId w:val="3"/>
  </w:num>
  <w:num w:numId="10" w16cid:durableId="114369287">
    <w:abstractNumId w:val="14"/>
  </w:num>
  <w:num w:numId="11" w16cid:durableId="740759141">
    <w:abstractNumId w:val="8"/>
  </w:num>
  <w:num w:numId="12" w16cid:durableId="1978608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8146368">
    <w:abstractNumId w:val="10"/>
  </w:num>
  <w:num w:numId="14" w16cid:durableId="1209493717">
    <w:abstractNumId w:val="17"/>
  </w:num>
  <w:num w:numId="15" w16cid:durableId="800147455">
    <w:abstractNumId w:val="15"/>
  </w:num>
  <w:num w:numId="16" w16cid:durableId="1366783760">
    <w:abstractNumId w:val="0"/>
  </w:num>
  <w:num w:numId="17" w16cid:durableId="30107401">
    <w:abstractNumId w:val="7"/>
  </w:num>
  <w:num w:numId="18" w16cid:durableId="679236894">
    <w:abstractNumId w:val="5"/>
  </w:num>
  <w:num w:numId="19" w16cid:durableId="662439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18"/>
    <w:rsid w:val="000318E4"/>
    <w:rsid w:val="00097B85"/>
    <w:rsid w:val="000C0C4B"/>
    <w:rsid w:val="00110429"/>
    <w:rsid w:val="00110B8F"/>
    <w:rsid w:val="00116D4D"/>
    <w:rsid w:val="00153007"/>
    <w:rsid w:val="001602C9"/>
    <w:rsid w:val="0016190C"/>
    <w:rsid w:val="001A777C"/>
    <w:rsid w:val="001A7DFA"/>
    <w:rsid w:val="001B01DD"/>
    <w:rsid w:val="001B39F4"/>
    <w:rsid w:val="001C2839"/>
    <w:rsid w:val="001E315C"/>
    <w:rsid w:val="001E50D8"/>
    <w:rsid w:val="001E762B"/>
    <w:rsid w:val="00203F5F"/>
    <w:rsid w:val="00215140"/>
    <w:rsid w:val="002259B0"/>
    <w:rsid w:val="00251086"/>
    <w:rsid w:val="00252BC1"/>
    <w:rsid w:val="00270926"/>
    <w:rsid w:val="002A2763"/>
    <w:rsid w:val="002A645C"/>
    <w:rsid w:val="00303DE1"/>
    <w:rsid w:val="00360E1E"/>
    <w:rsid w:val="00361255"/>
    <w:rsid w:val="003813C1"/>
    <w:rsid w:val="003847C8"/>
    <w:rsid w:val="003877EB"/>
    <w:rsid w:val="00390720"/>
    <w:rsid w:val="00392B69"/>
    <w:rsid w:val="0039662C"/>
    <w:rsid w:val="003D0C91"/>
    <w:rsid w:val="003D5C75"/>
    <w:rsid w:val="003D7C60"/>
    <w:rsid w:val="003E17B6"/>
    <w:rsid w:val="003E6170"/>
    <w:rsid w:val="00415527"/>
    <w:rsid w:val="0044468B"/>
    <w:rsid w:val="00462EAC"/>
    <w:rsid w:val="00463118"/>
    <w:rsid w:val="00476250"/>
    <w:rsid w:val="004B7346"/>
    <w:rsid w:val="004B7A3E"/>
    <w:rsid w:val="004D2B3C"/>
    <w:rsid w:val="00522637"/>
    <w:rsid w:val="005439AD"/>
    <w:rsid w:val="005515BD"/>
    <w:rsid w:val="0056397C"/>
    <w:rsid w:val="00592FEF"/>
    <w:rsid w:val="005A0AB4"/>
    <w:rsid w:val="005A72D9"/>
    <w:rsid w:val="005B0203"/>
    <w:rsid w:val="005C1523"/>
    <w:rsid w:val="005E1ABB"/>
    <w:rsid w:val="006423F9"/>
    <w:rsid w:val="00660E38"/>
    <w:rsid w:val="006B5E2A"/>
    <w:rsid w:val="007130E1"/>
    <w:rsid w:val="0073796B"/>
    <w:rsid w:val="00750D01"/>
    <w:rsid w:val="00773DAF"/>
    <w:rsid w:val="00775670"/>
    <w:rsid w:val="007A7283"/>
    <w:rsid w:val="007C10B4"/>
    <w:rsid w:val="007D571F"/>
    <w:rsid w:val="007D5B7A"/>
    <w:rsid w:val="007F00B7"/>
    <w:rsid w:val="007F3099"/>
    <w:rsid w:val="007F75D3"/>
    <w:rsid w:val="00801697"/>
    <w:rsid w:val="00807213"/>
    <w:rsid w:val="008203AB"/>
    <w:rsid w:val="00823D24"/>
    <w:rsid w:val="0083145F"/>
    <w:rsid w:val="008336E7"/>
    <w:rsid w:val="00833EFB"/>
    <w:rsid w:val="00850867"/>
    <w:rsid w:val="008562A7"/>
    <w:rsid w:val="00862137"/>
    <w:rsid w:val="008624E8"/>
    <w:rsid w:val="0088412D"/>
    <w:rsid w:val="00887BE0"/>
    <w:rsid w:val="008B7AF2"/>
    <w:rsid w:val="008F52DD"/>
    <w:rsid w:val="00905C96"/>
    <w:rsid w:val="009125E7"/>
    <w:rsid w:val="00912875"/>
    <w:rsid w:val="009174DA"/>
    <w:rsid w:val="00934519"/>
    <w:rsid w:val="00942052"/>
    <w:rsid w:val="00970E4F"/>
    <w:rsid w:val="00974955"/>
    <w:rsid w:val="009B136A"/>
    <w:rsid w:val="009B6D4C"/>
    <w:rsid w:val="009C2C98"/>
    <w:rsid w:val="009C2D77"/>
    <w:rsid w:val="009D10D1"/>
    <w:rsid w:val="009F339F"/>
    <w:rsid w:val="009F7F68"/>
    <w:rsid w:val="00A0147F"/>
    <w:rsid w:val="00A06971"/>
    <w:rsid w:val="00A25967"/>
    <w:rsid w:val="00A30052"/>
    <w:rsid w:val="00A62095"/>
    <w:rsid w:val="00A6560E"/>
    <w:rsid w:val="00A72509"/>
    <w:rsid w:val="00A7412B"/>
    <w:rsid w:val="00AC5FC6"/>
    <w:rsid w:val="00AD1AFD"/>
    <w:rsid w:val="00AD2CF5"/>
    <w:rsid w:val="00AE6CD6"/>
    <w:rsid w:val="00B60F58"/>
    <w:rsid w:val="00B753A8"/>
    <w:rsid w:val="00BA743D"/>
    <w:rsid w:val="00BB4580"/>
    <w:rsid w:val="00BB7969"/>
    <w:rsid w:val="00BD1151"/>
    <w:rsid w:val="00BD1358"/>
    <w:rsid w:val="00BD276D"/>
    <w:rsid w:val="00BE02F7"/>
    <w:rsid w:val="00C25621"/>
    <w:rsid w:val="00C30670"/>
    <w:rsid w:val="00C458C2"/>
    <w:rsid w:val="00C46EE6"/>
    <w:rsid w:val="00C52BAF"/>
    <w:rsid w:val="00C96561"/>
    <w:rsid w:val="00CD28AD"/>
    <w:rsid w:val="00CF1A63"/>
    <w:rsid w:val="00D10C25"/>
    <w:rsid w:val="00D22120"/>
    <w:rsid w:val="00D25AD4"/>
    <w:rsid w:val="00D25E3F"/>
    <w:rsid w:val="00D40712"/>
    <w:rsid w:val="00D427D4"/>
    <w:rsid w:val="00D7373E"/>
    <w:rsid w:val="00D93367"/>
    <w:rsid w:val="00DB14B1"/>
    <w:rsid w:val="00DF4DB8"/>
    <w:rsid w:val="00E02AB3"/>
    <w:rsid w:val="00E10B04"/>
    <w:rsid w:val="00E14AAE"/>
    <w:rsid w:val="00E2036F"/>
    <w:rsid w:val="00E23208"/>
    <w:rsid w:val="00E337D5"/>
    <w:rsid w:val="00E3507E"/>
    <w:rsid w:val="00E42D9A"/>
    <w:rsid w:val="00E46CD8"/>
    <w:rsid w:val="00E70352"/>
    <w:rsid w:val="00E7132A"/>
    <w:rsid w:val="00E81350"/>
    <w:rsid w:val="00E948BD"/>
    <w:rsid w:val="00EC1424"/>
    <w:rsid w:val="00ED223A"/>
    <w:rsid w:val="00ED46B4"/>
    <w:rsid w:val="00ED7B97"/>
    <w:rsid w:val="00EE5BE8"/>
    <w:rsid w:val="00F15BD8"/>
    <w:rsid w:val="00F5252C"/>
    <w:rsid w:val="00F65389"/>
    <w:rsid w:val="00F93A56"/>
    <w:rsid w:val="00FC2D38"/>
    <w:rsid w:val="00FD2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275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Odstavec1,Heading 2_sj,List Paragraph1,Lijstalinea,Bullet List Paragraph,Numbered paragraph 1,Lettre d'introduction,1st level - Bullet List Paragraph,Numbered Para 1,Dot pt,No Spacing1,List Paragraph Char Char Char,Indicator Text,Buleti"/>
    <w:basedOn w:val="Navaden"/>
    <w:link w:val="OdstavekseznamaZnak"/>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ZADEVA">
    <w:name w:val="ZADEVA"/>
    <w:basedOn w:val="Navaden"/>
    <w:qFormat/>
    <w:rsid w:val="00A62095"/>
    <w:pPr>
      <w:tabs>
        <w:tab w:val="left" w:pos="1701"/>
      </w:tabs>
      <w:ind w:left="1701" w:hanging="1701"/>
    </w:pPr>
    <w:rPr>
      <w:b/>
      <w:lang w:val="it-IT"/>
    </w:rPr>
  </w:style>
  <w:style w:type="paragraph" w:customStyle="1" w:styleId="Neotevilenodstavek">
    <w:name w:val="Neoštevilčen odstavek"/>
    <w:basedOn w:val="Navaden"/>
    <w:link w:val="NeotevilenodstavekZnak"/>
    <w:qFormat/>
    <w:rsid w:val="003D0C91"/>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3D0C91"/>
    <w:rPr>
      <w:rFonts w:ascii="Arial" w:eastAsia="Times New Roman" w:hAnsi="Arial" w:cs="Times New Roman"/>
    </w:rPr>
  </w:style>
  <w:style w:type="character" w:customStyle="1" w:styleId="OdstavekseznamaZnak">
    <w:name w:val="Odstavek seznama Znak"/>
    <w:aliases w:val="Odstavec1 Znak,Heading 2_sj Znak,List Paragraph1 Znak,Lijstalinea Znak,Bullet List Paragraph Znak,Numbered paragraph 1 Znak,Lettre d'introduction Znak,1st level - Bullet List Paragraph Znak,Numbered Para 1 Znak,Dot pt Znak"/>
    <w:link w:val="Odstavekseznama"/>
    <w:uiPriority w:val="34"/>
    <w:qFormat/>
    <w:rsid w:val="003D0C91"/>
    <w:rPr>
      <w:rFonts w:ascii="Arial" w:eastAsia="Times New Roman" w:hAnsi="Arial" w:cs="Times New Roman"/>
      <w:sz w:val="20"/>
      <w:szCs w:val="24"/>
    </w:rPr>
  </w:style>
  <w:style w:type="paragraph" w:styleId="Brezrazmikov">
    <w:name w:val="No Spacing"/>
    <w:uiPriority w:val="1"/>
    <w:qFormat/>
    <w:rsid w:val="003D0C91"/>
    <w:pPr>
      <w:spacing w:after="0" w:line="240" w:lineRule="auto"/>
    </w:pPr>
  </w:style>
  <w:style w:type="paragraph" w:customStyle="1" w:styleId="datumtevilka">
    <w:name w:val="datum številka"/>
    <w:basedOn w:val="Navaden"/>
    <w:qFormat/>
    <w:rsid w:val="00833EFB"/>
    <w:pPr>
      <w:tabs>
        <w:tab w:val="left" w:pos="1701"/>
      </w:tabs>
    </w:pPr>
    <w:rPr>
      <w:szCs w:val="20"/>
      <w:lang w:eastAsia="sl-SI"/>
    </w:rPr>
  </w:style>
  <w:style w:type="paragraph" w:styleId="Navadensplet">
    <w:name w:val="Normal (Web)"/>
    <w:basedOn w:val="Navaden"/>
    <w:uiPriority w:val="99"/>
    <w:semiHidden/>
    <w:unhideWhenUsed/>
    <w:rsid w:val="00AC5FC6"/>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7623">
      <w:bodyDiv w:val="1"/>
      <w:marLeft w:val="0"/>
      <w:marRight w:val="0"/>
      <w:marTop w:val="0"/>
      <w:marBottom w:val="0"/>
      <w:divBdr>
        <w:top w:val="none" w:sz="0" w:space="0" w:color="auto"/>
        <w:left w:val="none" w:sz="0" w:space="0" w:color="auto"/>
        <w:bottom w:val="none" w:sz="0" w:space="0" w:color="auto"/>
        <w:right w:val="none" w:sz="0" w:space="0" w:color="auto"/>
      </w:divBdr>
    </w:div>
    <w:div w:id="436602878">
      <w:bodyDiv w:val="1"/>
      <w:marLeft w:val="0"/>
      <w:marRight w:val="0"/>
      <w:marTop w:val="0"/>
      <w:marBottom w:val="0"/>
      <w:divBdr>
        <w:top w:val="none" w:sz="0" w:space="0" w:color="auto"/>
        <w:left w:val="none" w:sz="0" w:space="0" w:color="auto"/>
        <w:bottom w:val="none" w:sz="0" w:space="0" w:color="auto"/>
        <w:right w:val="none" w:sz="0" w:space="0" w:color="auto"/>
      </w:divBdr>
    </w:div>
    <w:div w:id="921990354">
      <w:bodyDiv w:val="1"/>
      <w:marLeft w:val="0"/>
      <w:marRight w:val="0"/>
      <w:marTop w:val="0"/>
      <w:marBottom w:val="0"/>
      <w:divBdr>
        <w:top w:val="none" w:sz="0" w:space="0" w:color="auto"/>
        <w:left w:val="none" w:sz="0" w:space="0" w:color="auto"/>
        <w:bottom w:val="none" w:sz="0" w:space="0" w:color="auto"/>
        <w:right w:val="none" w:sz="0" w:space="0" w:color="auto"/>
      </w:divBdr>
    </w:div>
    <w:div w:id="16612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11524</Words>
  <Characters>65693</Characters>
  <Application>Microsoft Office Word</Application>
  <DocSecurity>0</DocSecurity>
  <Lines>547</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2024-09-19T12:46:00Z</dcterms:created>
  <dcterms:modified xsi:type="dcterms:W3CDTF">2024-09-19T12:46:00Z</dcterms:modified>
</cp:coreProperties>
</file>