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3A45E" w14:textId="77777777" w:rsidR="0073796B" w:rsidRDefault="00750D01" w:rsidP="0073796B">
      <w:pPr>
        <w:autoSpaceDE w:val="0"/>
        <w:autoSpaceDN w:val="0"/>
        <w:adjustRightInd w:val="0"/>
        <w:spacing w:line="240" w:lineRule="auto"/>
        <w:ind w:left="-1701"/>
        <w:sectPr w:rsidR="0073796B" w:rsidSect="00E948BD">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5E66C3CC" wp14:editId="2772595B">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2E3582CA" w14:textId="77777777" w:rsidR="003E17B6" w:rsidRDefault="003E17B6" w:rsidP="00750D01">
      <w:pPr>
        <w:autoSpaceDE w:val="0"/>
        <w:autoSpaceDN w:val="0"/>
        <w:adjustRightInd w:val="0"/>
        <w:spacing w:line="240" w:lineRule="auto"/>
        <w:ind w:left="-1701"/>
      </w:pPr>
    </w:p>
    <w:p w14:paraId="55E754A6" w14:textId="77777777" w:rsidR="0073796B" w:rsidRPr="009D10D1" w:rsidRDefault="0073796B" w:rsidP="009D10D1">
      <w:pPr>
        <w:pStyle w:val="Naslov"/>
      </w:pPr>
      <w:r w:rsidRPr="009D10D1">
        <w:t>SPOROČILO ZA JAVNOST</w:t>
      </w:r>
    </w:p>
    <w:p w14:paraId="26A75945" w14:textId="332E79FC" w:rsidR="0073796B" w:rsidRPr="0039662C" w:rsidRDefault="0073796B" w:rsidP="0039662C">
      <w:pPr>
        <w:pStyle w:val="Naslov1"/>
      </w:pPr>
      <w:r w:rsidRPr="0039662C">
        <w:t>1</w:t>
      </w:r>
      <w:r w:rsidR="00737CD8">
        <w:t>04</w:t>
      </w:r>
      <w:r w:rsidRPr="0039662C">
        <w:t>. redna seja Vlade Republike Slovenije</w:t>
      </w:r>
    </w:p>
    <w:p w14:paraId="7D18744B" w14:textId="3737E13B" w:rsidR="0073796B" w:rsidRDefault="0073796B" w:rsidP="008B7AF2">
      <w:pPr>
        <w:pStyle w:val="DatumSZJ"/>
      </w:pPr>
      <w:r w:rsidRPr="008B7AF2">
        <w:t>2</w:t>
      </w:r>
      <w:r w:rsidR="00737CD8">
        <w:t>3</w:t>
      </w:r>
      <w:r w:rsidRPr="008B7AF2">
        <w:t xml:space="preserve">. </w:t>
      </w:r>
      <w:r w:rsidR="00737CD8">
        <w:t>maj</w:t>
      </w:r>
      <w:r w:rsidRPr="008B7AF2">
        <w:t xml:space="preserve"> 202</w:t>
      </w:r>
      <w:r w:rsidR="00737CD8">
        <w:t>4</w:t>
      </w:r>
    </w:p>
    <w:p w14:paraId="563752C6" w14:textId="22443B4C" w:rsidR="00DE7073" w:rsidRDefault="00DE7073" w:rsidP="00DE7073">
      <w:pPr>
        <w:pStyle w:val="Naslov2"/>
      </w:pPr>
      <w:r>
        <w:t>Vlada izdala novo uredbo o trošarinah za cigarete</w:t>
      </w:r>
    </w:p>
    <w:p w14:paraId="038FE4FF" w14:textId="77777777" w:rsidR="00DE7073" w:rsidRDefault="00DE7073" w:rsidP="00DE7073">
      <w:r>
        <w:t>Vlada je danes izdala novo Uredbo o določitvi zneska specifične in stopnje proporcionalne trošarine za cigarete. V njej je opredeljena nova tehtana povprečna drobnoprodajna cena cigaret, znesek specifične in stopnjo proporcionalne trošarine pa prilagajamo maja uveljavljeni noveli Zakona o trošarinah, ki določa višji znesek trošarine za cigarete.</w:t>
      </w:r>
    </w:p>
    <w:p w14:paraId="4250C010" w14:textId="77777777" w:rsidR="00DE7073" w:rsidRDefault="00DE7073" w:rsidP="00DE7073"/>
    <w:p w14:paraId="2EE4ECD9" w14:textId="77777777" w:rsidR="00DE7073" w:rsidRDefault="00DE7073" w:rsidP="00DE7073">
      <w:r>
        <w:t xml:space="preserve">Tehtana povprečna drobnoprodajna cena cigaret, ki je izračunana na podlagi obračunskih podatkov zavezancev, bo od 1. junija znašala 4,67 evra. </w:t>
      </w:r>
    </w:p>
    <w:p w14:paraId="1F5EFBCE" w14:textId="77777777" w:rsidR="00DE7073" w:rsidRDefault="00DE7073" w:rsidP="00DE7073"/>
    <w:p w14:paraId="19EEBF71" w14:textId="77777777" w:rsidR="00DE7073" w:rsidRDefault="00DE7073" w:rsidP="00DE7073">
      <w:r>
        <w:t>Na tej ceni temeljijo parametri za izračun trošarinske obveznosti za cigarete. Na podlagi te cene in na podlagi spremembe zneska trošarine za cigarete, ki ga določa novela Zakona o trošarinah, tako z uredbo prilagajamo tudi specifično in proporcionalno trošarino.</w:t>
      </w:r>
    </w:p>
    <w:p w14:paraId="77330EF7" w14:textId="77777777" w:rsidR="00DE7073" w:rsidRDefault="00DE7073" w:rsidP="00DE7073"/>
    <w:p w14:paraId="7CD20D6B" w14:textId="77777777" w:rsidR="00DE7073" w:rsidRDefault="00DE7073" w:rsidP="00DE7073">
      <w:r>
        <w:t>Specifična trošarina za cigarete po novem znaša 93,5533 evra za 1000 kosov cigaret, proporcionalna trošarina za cigarete pa znaša 22,0328 odstotka od drobnoprodajne cene zavojčka cigaret.</w:t>
      </w:r>
    </w:p>
    <w:p w14:paraId="2159AD18" w14:textId="77777777" w:rsidR="00DE7073" w:rsidRDefault="00DE7073" w:rsidP="00DE7073"/>
    <w:p w14:paraId="748F6914" w14:textId="085248DD" w:rsidR="00561E75" w:rsidRDefault="00DE7073" w:rsidP="00DE7073">
      <w:r>
        <w:t>Na podlagi vseh teh parametrov bodo zavezanci izračunali svojo davčno obveznost iz naslova cigaret, ki jih bodo sprostili na trg s 1. junijem 2024.</w:t>
      </w:r>
    </w:p>
    <w:p w14:paraId="3CBF23CB" w14:textId="2A588FCF" w:rsidR="00561E75" w:rsidRDefault="00DE7073" w:rsidP="00DE7073">
      <w:pPr>
        <w:pStyle w:val="Vir"/>
      </w:pPr>
      <w:r w:rsidRPr="00DE7073">
        <w:t>Vir: Ministrstvo za finance</w:t>
      </w:r>
    </w:p>
    <w:p w14:paraId="1ED0C99B" w14:textId="0470A1E5" w:rsidR="00AF3032" w:rsidRDefault="00AF3032" w:rsidP="00AF3032">
      <w:pPr>
        <w:pStyle w:val="Naslov2"/>
      </w:pPr>
      <w:r>
        <w:t>Uredba o izvajanju intervencije podpora za dejavnosti informiranja in promocije proizvodov iz shem kakovosti iz strateškega načrta skupne kmetijske politike 2023–2027</w:t>
      </w:r>
    </w:p>
    <w:p w14:paraId="1AE6AD1D" w14:textId="77777777" w:rsidR="00AF3032" w:rsidRDefault="00AF3032" w:rsidP="00AF3032">
      <w:r>
        <w:t>Vlada je sprejela Uredbo o izvajanju intervencije podpora za dejavnosti informiranja in promocije proizvodov iz shem kakovosti iz strateškega načrta skupne kmetijske politike 2023–2027 in jo objavi v Uradnem listu Republike Slovenije.</w:t>
      </w:r>
    </w:p>
    <w:p w14:paraId="1E8C0036" w14:textId="77777777" w:rsidR="00AF3032" w:rsidRDefault="00AF3032" w:rsidP="00AF3032"/>
    <w:p w14:paraId="7BF0E6D0" w14:textId="77777777" w:rsidR="00AF3032" w:rsidRDefault="00AF3032" w:rsidP="00AF3032">
      <w:r>
        <w:t xml:space="preserve">Uredba določa pravila za izvajanje intervencije podpora za dejavnosti informiranja in promocije proizvodov iz shem kakovosti iz strateškega načrta skupne kmetijske politike za obdobje 2023–2027. Cilji intervencije so izboljšanje prepoznavnosti in povečanje informiranosti o ponudbi proizvodov iz shem kakovosti med potrošniki v lokalnem okolju, povečanje povpraševanja potrošnikov po proizvodih iz shem kakovosti, spodbujanje bolj aktivne in usklajene promocije proizvodov iz shem kakovosti med proizvajalci, izboljšanje cenovnega položaja proizvodov iz shem kakovosti na notranjem trgu Evropske unije, boljša povezanost proizvajalcev proizvodov iz shem kakovosti in izboljšanje položaja proizvajalcev v vrednostni verigi. </w:t>
      </w:r>
    </w:p>
    <w:p w14:paraId="63D3B98A" w14:textId="77777777" w:rsidR="00AF3032" w:rsidRDefault="00AF3032" w:rsidP="00AF3032"/>
    <w:p w14:paraId="4C81C643" w14:textId="77777777" w:rsidR="00AF3032" w:rsidRDefault="00AF3032" w:rsidP="00AF3032">
      <w:r>
        <w:t>Upravičenci iz intervencije so:</w:t>
      </w:r>
    </w:p>
    <w:p w14:paraId="52A10576" w14:textId="77777777" w:rsidR="00AF3032" w:rsidRDefault="00AF3032" w:rsidP="00AF3032">
      <w:pPr>
        <w:pStyle w:val="Odstavekseznama"/>
        <w:numPr>
          <w:ilvl w:val="0"/>
          <w:numId w:val="11"/>
        </w:numPr>
      </w:pPr>
      <w:r>
        <w:t>skupina proizvajalcev kmetijskih pridelkov in živil za izvajanje shem kakovosti, priznana v skladu s pravilnikom, ki ureja priznanje skupin proizvajalcev za izvajanje shem;</w:t>
      </w:r>
    </w:p>
    <w:p w14:paraId="47AE22AA" w14:textId="11E9D51A" w:rsidR="00AF3032" w:rsidRDefault="00AF3032" w:rsidP="00AF3032">
      <w:pPr>
        <w:pStyle w:val="Odstavekseznama"/>
        <w:numPr>
          <w:ilvl w:val="0"/>
          <w:numId w:val="11"/>
        </w:numPr>
      </w:pPr>
      <w:proofErr w:type="spellStart"/>
      <w:r>
        <w:t>kupina</w:t>
      </w:r>
      <w:proofErr w:type="spellEnd"/>
      <w:r>
        <w:t xml:space="preserve"> proizvajalcev za skupno trženje, priznana v skladu s pravilnikom, ki ureja priznanje skupin proizvajalcev za skupno trženje, razen skupine proizvajalcev, priznane za sektorje vino, grozdje za vino ali gozdni lesni proizvodi; </w:t>
      </w:r>
    </w:p>
    <w:p w14:paraId="368A4D9B" w14:textId="3826E864" w:rsidR="00AF3032" w:rsidRDefault="00AF3032" w:rsidP="00AF3032">
      <w:pPr>
        <w:pStyle w:val="Odstavekseznama"/>
        <w:numPr>
          <w:ilvl w:val="0"/>
          <w:numId w:val="11"/>
        </w:numPr>
      </w:pPr>
      <w:r>
        <w:lastRenderedPageBreak/>
        <w:t>organizacija proizvajalcev, ki je priznana v skladu s:</w:t>
      </w:r>
    </w:p>
    <w:p w14:paraId="72D016BC" w14:textId="782BB654" w:rsidR="00AF3032" w:rsidRDefault="00AF3032" w:rsidP="00AF3032">
      <w:pPr>
        <w:pStyle w:val="Odstavekseznama"/>
        <w:numPr>
          <w:ilvl w:val="0"/>
          <w:numId w:val="12"/>
        </w:numPr>
      </w:pPr>
      <w:r>
        <w:t xml:space="preserve">pravilnikom, ki ureja priznanje organizacij proizvajalcev in združenj organizacij proizvajalcev v sektorjih sadje in zelenjava, oljčno olje in namizne oljke ter hmelj, </w:t>
      </w:r>
    </w:p>
    <w:p w14:paraId="34052BED" w14:textId="30DF59C2" w:rsidR="00AF3032" w:rsidRDefault="00AF3032" w:rsidP="00AF3032">
      <w:pPr>
        <w:pStyle w:val="Odstavekseznama"/>
        <w:numPr>
          <w:ilvl w:val="0"/>
          <w:numId w:val="12"/>
        </w:numPr>
      </w:pPr>
      <w:r>
        <w:t>pravilnikom, ki ureja priznanje organizaciji proizvajalcev, ki je priznana v sektorju mleka in mlečnih proizvodov,</w:t>
      </w:r>
    </w:p>
    <w:p w14:paraId="4572DFDD" w14:textId="1B3F1862" w:rsidR="00AF3032" w:rsidRDefault="00AF3032" w:rsidP="00AF3032">
      <w:pPr>
        <w:pStyle w:val="Odstavekseznama"/>
        <w:numPr>
          <w:ilvl w:val="0"/>
          <w:numId w:val="12"/>
        </w:numPr>
      </w:pPr>
      <w:r>
        <w:t>pravilnikom, ki ureja organizacije proizvajalcev in združenja organizacij proizvajalcev v sektorjih žita, sladkor, lan in konoplja, goveje in telečje meso, ovčje in kozje meso, jajca, perutninsko meso, čebelarski proizvodi, vino, živo drevje in druge rastline, čebulice, korenine in podobno, rezano cvetje in okrasno listje ter drugih proizvodov, razen organizacije proizvajalcev, ki je priznana za sektor vino;</w:t>
      </w:r>
    </w:p>
    <w:p w14:paraId="63030709" w14:textId="5B08BD66" w:rsidR="00AF3032" w:rsidRDefault="00AF3032" w:rsidP="00AF3032">
      <w:pPr>
        <w:pStyle w:val="Odstavekseznama"/>
        <w:numPr>
          <w:ilvl w:val="0"/>
          <w:numId w:val="11"/>
        </w:numPr>
      </w:pPr>
      <w:r>
        <w:t xml:space="preserve">skupina izvajalcev, ki je razvidna iz evidence pridelovalcev in predelovalcev ekoloških in integriranih kmetijskih pridelkov ali živil v skladu s pravilnikom, ki ureja evidence s področja ekološke pridelave in predelave kmetijskih pridelkov in živil. </w:t>
      </w:r>
    </w:p>
    <w:p w14:paraId="0631D7BD" w14:textId="77777777" w:rsidR="00AF3032" w:rsidRDefault="00AF3032" w:rsidP="00AF3032"/>
    <w:p w14:paraId="412E1D9D" w14:textId="77777777" w:rsidR="00AF3032" w:rsidRDefault="00AF3032" w:rsidP="00AF3032">
      <w:r>
        <w:t>Pogoji ob vložitvi vloge na javni razpis so med drugim:</w:t>
      </w:r>
    </w:p>
    <w:p w14:paraId="2132F378" w14:textId="6541AFD0" w:rsidR="00AF3032" w:rsidRDefault="00AF3032" w:rsidP="00AF3032">
      <w:pPr>
        <w:pStyle w:val="Odstavekseznama"/>
        <w:numPr>
          <w:ilvl w:val="0"/>
          <w:numId w:val="14"/>
        </w:numPr>
      </w:pPr>
      <w:r>
        <w:t>skupina ali organizacija proizvajalcev mora imeti najmanj dva člana, ki imata certifikat za upravičeno shemo kakovosti oziroma za proizvod iz sheme kakovosti, za katerega se vloži vloga na javni razpis, ali sta vključena v shemo neobvezne navedbe kakovosti;</w:t>
      </w:r>
    </w:p>
    <w:p w14:paraId="3AB2F77E" w14:textId="34029766" w:rsidR="00AF3032" w:rsidRDefault="00AF3032" w:rsidP="00AF3032">
      <w:pPr>
        <w:pStyle w:val="Odstavekseznama"/>
        <w:numPr>
          <w:ilvl w:val="0"/>
          <w:numId w:val="14"/>
        </w:numPr>
      </w:pPr>
      <w:r>
        <w:t>skupina izvajalcev mora imeti na dan vložitve vloge na javni razpis certifikat o ekološki pridelavi oziroma predelavi kmetijskih pridelkov oziroma živil;</w:t>
      </w:r>
    </w:p>
    <w:p w14:paraId="7ECD7FC0" w14:textId="5443E0AD" w:rsidR="00AF3032" w:rsidRDefault="00AF3032" w:rsidP="00AF3032">
      <w:pPr>
        <w:pStyle w:val="Odstavekseznama"/>
        <w:numPr>
          <w:ilvl w:val="0"/>
          <w:numId w:val="14"/>
        </w:numPr>
      </w:pPr>
      <w:r>
        <w:t>vlagatelj vlogi na javni razpis priloži načrt aktivnosti informiranja in promocije.</w:t>
      </w:r>
    </w:p>
    <w:p w14:paraId="2CAAE6EE" w14:textId="77777777" w:rsidR="00AF3032" w:rsidRDefault="00AF3032" w:rsidP="00AF3032"/>
    <w:p w14:paraId="336A0DCE" w14:textId="77777777" w:rsidR="00AF3032" w:rsidRDefault="00AF3032" w:rsidP="00AF3032">
      <w:r>
        <w:t>V okviru intervencije se financirajo stroški, ki nastanejo pri izvajanju aktivnosti informiranja in promocije naslednjih shem kakovosti oziroma proizvodov iz shem kakovosti:</w:t>
      </w:r>
    </w:p>
    <w:p w14:paraId="06A06D68" w14:textId="7B0CF2A1" w:rsidR="00AF3032" w:rsidRDefault="00AF3032" w:rsidP="00AF3032">
      <w:pPr>
        <w:pStyle w:val="Odstavekseznama"/>
        <w:numPr>
          <w:ilvl w:val="0"/>
          <w:numId w:val="15"/>
        </w:numPr>
      </w:pPr>
      <w:r>
        <w:t xml:space="preserve">zaščitena geografska označba, </w:t>
      </w:r>
    </w:p>
    <w:p w14:paraId="5391F2E4" w14:textId="0A63F34C" w:rsidR="00AF3032" w:rsidRDefault="00AF3032" w:rsidP="00AF3032">
      <w:pPr>
        <w:pStyle w:val="Odstavekseznama"/>
        <w:numPr>
          <w:ilvl w:val="0"/>
          <w:numId w:val="15"/>
        </w:numPr>
      </w:pPr>
      <w:r>
        <w:t xml:space="preserve">zaščitena označba porekla, </w:t>
      </w:r>
    </w:p>
    <w:p w14:paraId="211FF2F1" w14:textId="2C0BA973" w:rsidR="00AF3032" w:rsidRDefault="00AF3032" w:rsidP="00AF3032">
      <w:pPr>
        <w:pStyle w:val="Odstavekseznama"/>
        <w:numPr>
          <w:ilvl w:val="0"/>
          <w:numId w:val="15"/>
        </w:numPr>
      </w:pPr>
      <w:r>
        <w:t>zajamčena tradicionalna posebnost,</w:t>
      </w:r>
    </w:p>
    <w:p w14:paraId="61B7C06B" w14:textId="131DD881" w:rsidR="00AF3032" w:rsidRDefault="00AF3032" w:rsidP="00AF3032">
      <w:pPr>
        <w:pStyle w:val="Odstavekseznama"/>
        <w:numPr>
          <w:ilvl w:val="0"/>
          <w:numId w:val="15"/>
        </w:numPr>
      </w:pPr>
      <w:r>
        <w:t>ekološka pridelava in predelava,</w:t>
      </w:r>
    </w:p>
    <w:p w14:paraId="615DC3E7" w14:textId="5D93D867" w:rsidR="00AF3032" w:rsidRDefault="00AF3032" w:rsidP="00AF3032">
      <w:pPr>
        <w:pStyle w:val="Odstavekseznama"/>
        <w:numPr>
          <w:ilvl w:val="0"/>
          <w:numId w:val="15"/>
        </w:numPr>
      </w:pPr>
      <w:r>
        <w:t>izbrana kakovost in</w:t>
      </w:r>
    </w:p>
    <w:p w14:paraId="6531587F" w14:textId="392C464E" w:rsidR="00AF3032" w:rsidRDefault="00AF3032" w:rsidP="00AF3032">
      <w:pPr>
        <w:pStyle w:val="Odstavekseznama"/>
        <w:numPr>
          <w:ilvl w:val="0"/>
          <w:numId w:val="15"/>
        </w:numPr>
      </w:pPr>
      <w:r>
        <w:t>neobvezne navedbe kakovosti.</w:t>
      </w:r>
    </w:p>
    <w:p w14:paraId="311CE956" w14:textId="77777777" w:rsidR="00AF3032" w:rsidRDefault="00AF3032" w:rsidP="00AF3032"/>
    <w:p w14:paraId="3D3062FB" w14:textId="77777777" w:rsidR="00AF3032" w:rsidRDefault="00AF3032" w:rsidP="00AF3032">
      <w:r>
        <w:t>Upravičeni stroški v okviru intervencije so: stroški dela, stroški kilometrine, stroški udeležbe na dogodkih, stroški uporabe javnega prevoza, stroški nastanitve, stroški hrane in pijače za namen degustacije, posredni stroški in stroški zunanjih storitev, ki jih ne opravijo zaposleni pri upravičencu oziroma njegovi člani, kot so na primer stroški upravljanja in koordinacije izvajanja načrta, stroški priprave idejne zasnove, stroški izdelave spletne strani, stroški izdelave in distribucije promocijskih gradiv, stroški sodelovanja na javnih predstavitvah, stroški zakupa oglasnega prostora.</w:t>
      </w:r>
    </w:p>
    <w:p w14:paraId="04520FC1" w14:textId="77777777" w:rsidR="00AF3032" w:rsidRDefault="00AF3032" w:rsidP="00AF3032"/>
    <w:p w14:paraId="5B33070C" w14:textId="77777777" w:rsidR="00AF3032" w:rsidRDefault="00AF3032" w:rsidP="00AF3032">
      <w:r>
        <w:t xml:space="preserve">Sredstva se dodelijo na zaprtem javnem razpisu. V celotnem programskem obdobju je za intervencijo na razpolago 2,6 milijona evrov. Podpora se dodeli v obliki nepovratnih sredstev, in sicer v višini 70 % upravičenih stroškov, nastalih z izvajanjem aktivnosti promocije in informiranja iz načrta aktivnosti informiranja in promocije. Najvišji znesek podpore je 200.000 evrov za shemo kakovosti ali za proizvod iz sheme kakovosti, za katerega je vložena vloga za podporo. Najnižji znesek podpore znaša 5.000 evrov na vlogo. </w:t>
      </w:r>
    </w:p>
    <w:p w14:paraId="0BCD0295" w14:textId="4FA25071" w:rsidR="00561E75" w:rsidRDefault="00AF3032" w:rsidP="00AF3032">
      <w:pPr>
        <w:pStyle w:val="Vir"/>
      </w:pPr>
      <w:r>
        <w:t>Vir: Ministrstvo za kmetijstvo, gozdarstvo in prehrano</w:t>
      </w:r>
    </w:p>
    <w:p w14:paraId="10BBBE33" w14:textId="647A772C" w:rsidR="00061AD5" w:rsidRDefault="00061AD5" w:rsidP="00061AD5">
      <w:pPr>
        <w:pStyle w:val="Naslov2"/>
      </w:pPr>
      <w:r>
        <w:t>Vlada je izdala Uredbo o spremembah Uredbe o plačah in drugih prejemkih javnih uslužbencev za delo v tujini</w:t>
      </w:r>
    </w:p>
    <w:p w14:paraId="793A467F" w14:textId="77777777" w:rsidR="00061AD5" w:rsidRDefault="00061AD5" w:rsidP="00061AD5">
      <w:r>
        <w:t>Vlada Republike Slovenije je izdala Uredbo o spremembah Uredbe o plačah in drugih prejemkih javnih uslužbencev za delo v tujini in jo objavi v Uradnem listu Republike Slovenije.</w:t>
      </w:r>
    </w:p>
    <w:p w14:paraId="4BAF60C2" w14:textId="77777777" w:rsidR="00061AD5" w:rsidRDefault="00061AD5" w:rsidP="00061AD5"/>
    <w:p w14:paraId="221FDE9A" w14:textId="77777777" w:rsidR="00061AD5" w:rsidRDefault="00061AD5" w:rsidP="00061AD5">
      <w:r>
        <w:lastRenderedPageBreak/>
        <w:t xml:space="preserve">Uredba o spremembah Uredbe o plačah in drugih prejemkih javnih uslužbencev za delo v tujini predstavlja realizacijo 1. točke Dogovora o uskladitvi vrednosti plačnih razredov plačne lestvice in datumu izplačila regresa za letni dopust v letu 2024 (Dogovor), ki ga je Vlada Republike Slovenije sklenila z reprezentativnimi sindikati javnega sektorja. </w:t>
      </w:r>
    </w:p>
    <w:p w14:paraId="3BAB718B" w14:textId="77777777" w:rsidR="00061AD5" w:rsidRDefault="00061AD5" w:rsidP="00061AD5"/>
    <w:p w14:paraId="3B2FB2CB" w14:textId="77777777" w:rsidR="00061AD5" w:rsidRDefault="00061AD5" w:rsidP="00061AD5">
      <w:r>
        <w:t xml:space="preserve">V skladu s 1. točko Dogovora znaša višina uskladitve vrednosti nominalnih osnov in dodatkov, ki so določeni v nominalni vrednosti po Uredbi o plačah in drugih prejemkih javnih uslužbencev za delo v tujini 80 odstotkov rasti cen življenjskih potrebščin v obdobju december 2022 – december 2023, pri tem pa se uskladitev vrednosti plačnih razredov ter nominalnih osnov in dodatkov izvede 1. junija 2024. </w:t>
      </w:r>
    </w:p>
    <w:p w14:paraId="2FEAF2A9" w14:textId="77777777" w:rsidR="00061AD5" w:rsidRDefault="00061AD5" w:rsidP="00061AD5"/>
    <w:p w14:paraId="636BF9DC" w14:textId="77777777" w:rsidR="00061AD5" w:rsidRDefault="00061AD5" w:rsidP="00061AD5">
      <w:r>
        <w:t xml:space="preserve">Vrednosti nominalnih osnov iz Priloge 1 ter nekaterih dodatkov iz Uredbe se povišujejo za 3,36 odstotka, z učinkom od 1. junija 2024 dalje. </w:t>
      </w:r>
    </w:p>
    <w:p w14:paraId="405D5D2A" w14:textId="77777777" w:rsidR="00061AD5" w:rsidRDefault="00061AD5" w:rsidP="00061AD5"/>
    <w:p w14:paraId="58CBF1D8" w14:textId="77777777" w:rsidR="00061AD5" w:rsidRDefault="00061AD5" w:rsidP="00061AD5">
      <w:r>
        <w:t>Uredba se objavi v Uradnem listu Republike Slovenije, začne pa veljati 1. junija 2024.</w:t>
      </w:r>
    </w:p>
    <w:p w14:paraId="482CB3E6" w14:textId="2309C04A" w:rsidR="00561E75" w:rsidRDefault="00061AD5" w:rsidP="00061AD5">
      <w:pPr>
        <w:pStyle w:val="Vir"/>
      </w:pPr>
      <w:r>
        <w:t>Vir: Ministrstvo za javno upravo</w:t>
      </w:r>
    </w:p>
    <w:p w14:paraId="6475AE0F" w14:textId="369499D5" w:rsidR="00960EC2" w:rsidRDefault="00960EC2" w:rsidP="00960EC2">
      <w:pPr>
        <w:pStyle w:val="Naslov2"/>
      </w:pPr>
      <w:r>
        <w:t>Vlada je izdala Uredbo o spremembi Uredbe o delovnem času v organih državne uprave</w:t>
      </w:r>
    </w:p>
    <w:p w14:paraId="4694DCF6" w14:textId="77777777" w:rsidR="00960EC2" w:rsidRDefault="00960EC2" w:rsidP="00960EC2">
      <w:r>
        <w:t xml:space="preserve">Vlada Republike Slovenije je izdala Uredbo o spremembi Uredbe o delovnem času v organih državne uprave in jo objavi v Uradnem listu Republike Slovenije.  </w:t>
      </w:r>
    </w:p>
    <w:p w14:paraId="57EDA30E" w14:textId="77777777" w:rsidR="00960EC2" w:rsidRDefault="00960EC2" w:rsidP="00960EC2"/>
    <w:p w14:paraId="52953A2F" w14:textId="77777777" w:rsidR="00960EC2" w:rsidRDefault="00960EC2" w:rsidP="00960EC2">
      <w:r>
        <w:t xml:space="preserve">Uredba o upravnem poslovanju je v zadnji spremembi črtala posebno ureditev uradnih ur na »okencih« v Upravni enoti Ljubljana in območnih enotah na njenem območju. Z uveljavitvijo spremembe se uradne ure izvajajo v enakem časovnem okviru kot na drugih upravnih enotah in na ostalih delovnih mestih Upravne enote Ljubljana ter območnih enotah organov na njenem območju. </w:t>
      </w:r>
    </w:p>
    <w:p w14:paraId="41E5FEB5" w14:textId="77777777" w:rsidR="00960EC2" w:rsidRDefault="00960EC2" w:rsidP="00960EC2"/>
    <w:p w14:paraId="2F69333B" w14:textId="77777777" w:rsidR="00960EC2" w:rsidRDefault="00960EC2" w:rsidP="00960EC2">
      <w:r>
        <w:t xml:space="preserve">Upoštevaje navedeno ni več potreben premakljiv konec delovnega časa za Upravno enoto Ljubljana in območne enote organov na njenem območju, ki jo </w:t>
      </w:r>
      <w:proofErr w:type="spellStart"/>
      <w:r>
        <w:t>dosedaj</w:t>
      </w:r>
      <w:proofErr w:type="spellEnd"/>
      <w:r>
        <w:t xml:space="preserve"> ureja drugi odstavek 11. člena Uredbe o delovnem času v organih državne uprave; kar se s predlagano spremembo tudi črta.</w:t>
      </w:r>
    </w:p>
    <w:p w14:paraId="71DF313A" w14:textId="77777777" w:rsidR="00960EC2" w:rsidRDefault="00960EC2" w:rsidP="00960EC2"/>
    <w:p w14:paraId="1A707343" w14:textId="77777777" w:rsidR="00960EC2" w:rsidRDefault="00960EC2" w:rsidP="00960EC2">
      <w:r>
        <w:t>Uredba začne veljati petnajsti dan po objavi v Uradnem listu Republike Slovenije.</w:t>
      </w:r>
    </w:p>
    <w:p w14:paraId="3C522CAE" w14:textId="6702881C" w:rsidR="00561E75" w:rsidRDefault="00960EC2" w:rsidP="00960EC2">
      <w:pPr>
        <w:pStyle w:val="Vir"/>
      </w:pPr>
      <w:r>
        <w:t>Vir: Ministrstvo za javno upravo</w:t>
      </w:r>
    </w:p>
    <w:p w14:paraId="633EBCF5" w14:textId="0ED18E55" w:rsidR="00D9152C" w:rsidRDefault="00D9152C" w:rsidP="00D9152C">
      <w:pPr>
        <w:pStyle w:val="Naslov2"/>
      </w:pPr>
      <w:r>
        <w:t>Uredba o načinu določanja osebne identifikacijske številke</w:t>
      </w:r>
    </w:p>
    <w:p w14:paraId="5DE03F7C" w14:textId="77777777" w:rsidR="00D9152C" w:rsidRDefault="00D9152C" w:rsidP="00D9152C">
      <w:r>
        <w:t>Vlada Republike Slovenije je izdala Uredbo o dopolnitvi Uredbe o načinu določanja osebne</w:t>
      </w:r>
    </w:p>
    <w:p w14:paraId="7EF06943" w14:textId="77777777" w:rsidR="00D9152C" w:rsidRDefault="00D9152C" w:rsidP="00D9152C">
      <w:r>
        <w:t>identifikacijske številke in jo objavi v Uradnem listu Republike Slovenije. Uredba začne veljati 27. maja 2024.</w:t>
      </w:r>
    </w:p>
    <w:p w14:paraId="68031AC9" w14:textId="77777777" w:rsidR="00D9152C" w:rsidRDefault="00D9152C" w:rsidP="00D9152C"/>
    <w:p w14:paraId="59ECCCEE" w14:textId="270A4878" w:rsidR="00D9152C" w:rsidRDefault="00D9152C" w:rsidP="00D9152C">
      <w:r>
        <w:t>Spremembe uredbe se nanašajo na implementacijo Zakona o spremembi Zakona o centralnem registru prebivalstva. Ta je v uporabo uvedel šifre registra, ki so bile v času začetka uporabe enotne matične številke občana (EMŠO) rezervirane za Republiko Slovenijo, to so šifre od 51 do 59. Uredba o načinu določanja osebne identifikacijske številke se dopolnjuje na način, da se, če je število EMŠO od zaporedne številke 000 do 499 za moške in od 500 do 999 za ženske na isti dan porabljeno, za določitev EMŠO vzame številka naslednjega prostega registra. V primeru porabe zaporednih EMŠO znotraj šifre registra 50 za posamezen spol je omogočen samodejni prehod na naslednjo prosto EMŠO iz registra s šiframi od 51 do 59.</w:t>
      </w:r>
    </w:p>
    <w:p w14:paraId="187E7F20" w14:textId="514E5657" w:rsidR="00561E75" w:rsidRDefault="00D9152C" w:rsidP="00D9152C">
      <w:pPr>
        <w:pStyle w:val="Vir"/>
      </w:pPr>
      <w:r>
        <w:t>Vir: Ministrstvo za notranje zadeve</w:t>
      </w:r>
    </w:p>
    <w:p w14:paraId="38541929" w14:textId="17CB631D" w:rsidR="00EE5BBD" w:rsidRDefault="00EE5BBD" w:rsidP="00EE5BBD">
      <w:pPr>
        <w:pStyle w:val="Naslov2"/>
      </w:pPr>
      <w:r>
        <w:lastRenderedPageBreak/>
        <w:t xml:space="preserve">Vlada sprejela Sklep o ustanovitvi javnega zavoda Center Republike Slovenije za mobilnost in evropske programe izobraževanja in usposabljanja </w:t>
      </w:r>
    </w:p>
    <w:p w14:paraId="3737C7E3" w14:textId="77777777" w:rsidR="00EE5BBD" w:rsidRDefault="00EE5BBD" w:rsidP="00EE5BBD">
      <w:r>
        <w:t xml:space="preserve">Vlada je sprejela Sklep o ustanovitvi javnega zavoda Center Republike Slovenije za mobilnost in evropske programe izobraževanja in usposabljanja. </w:t>
      </w:r>
    </w:p>
    <w:p w14:paraId="71FC2900" w14:textId="77777777" w:rsidR="00EE5BBD" w:rsidRDefault="00EE5BBD" w:rsidP="00EE5BBD"/>
    <w:p w14:paraId="71BDE786" w14:textId="77777777" w:rsidR="00EE5BBD" w:rsidRDefault="00EE5BBD" w:rsidP="00EE5BBD">
      <w:r>
        <w:t>Sprejem novega sklepa o ustanovitvi je potreben zaradi reorganiziranja ministrstev in s tem povezane spremembe pristojnosti (Ministrstvo za vzgojo in izobraževanje, Ministrstvo za visoko šolstvo, znanost in inovacije ter Ministrstvo za gospodarstvo, turizem in šport). Predlog sklepa pomeni tudi izvedbo Priporočil vlade pristojnim ministrstvom za učinkovitejše upravljanje javnih zavodov, z dne 13. 1. 2022.</w:t>
      </w:r>
    </w:p>
    <w:p w14:paraId="698E4EC9" w14:textId="1D67E9B5" w:rsidR="00561E75" w:rsidRDefault="00EE5BBD" w:rsidP="00EE5BBD">
      <w:pPr>
        <w:pStyle w:val="Vir"/>
      </w:pPr>
      <w:r>
        <w:t>Vir: Ministrstvo za vzgojo in izobraževanje</w:t>
      </w:r>
    </w:p>
    <w:p w14:paraId="028C14FC" w14:textId="54F09745" w:rsidR="00783522" w:rsidRDefault="00783522" w:rsidP="00783522">
      <w:pPr>
        <w:pStyle w:val="Naslov2"/>
      </w:pPr>
      <w:r>
        <w:t>Vlada sprejela sklep o spremembah in dopolnitvah sklepa o ustanovitvi Agencije za komunikacijska omrežja in storitve Republike Slovenije</w:t>
      </w:r>
    </w:p>
    <w:p w14:paraId="50C6E71D" w14:textId="77777777" w:rsidR="00783522" w:rsidRDefault="00783522" w:rsidP="00783522">
      <w:r>
        <w:t>Z Zakonom o izvajanju Uredbe (EU) o enotnem trgu digitalnih storitev so določene nove pristojnosti Agencije za komunikacijska omrežja in storitve Republike Slovenije (Agencija). Skladno z določitvijo teh novih pristojnosti je treba spremeniti tudi Sklep o ustanovitvi Agencije za komunikacijska omrežja in storitve Republike Slovenije.</w:t>
      </w:r>
    </w:p>
    <w:p w14:paraId="799D15CE" w14:textId="77777777" w:rsidR="00783522" w:rsidRDefault="00783522" w:rsidP="00783522"/>
    <w:p w14:paraId="1A5A6A9D" w14:textId="77777777" w:rsidR="00783522" w:rsidRDefault="00783522" w:rsidP="00783522">
      <w:r>
        <w:t xml:space="preserve">Ker Zakon o izvajanju Uredbe (EU) o enotnem trgu digitalnih storitev Agenciji določa nove pristojnosti, je treba spremeniti tudi Sklep o ustanovitvi Agencije z namenom, da se vanj doda področje digitalnih storitev. </w:t>
      </w:r>
    </w:p>
    <w:p w14:paraId="19B8B65F" w14:textId="77777777" w:rsidR="00783522" w:rsidRDefault="00783522" w:rsidP="00783522"/>
    <w:p w14:paraId="5E3909DD" w14:textId="77777777" w:rsidR="00783522" w:rsidRDefault="00783522" w:rsidP="00783522">
      <w:r>
        <w:t xml:space="preserve">Na Agenciji se bo za namen izvajanja nalog koordinatorja digitalnih storitev vzpostavila nova notranja organizacijska enota, planira pa se tudi zagotovitev petih dodatnih zaposlitev. Predviden obseg finančnih sredstev za delo koordinatorja digitalnih storitev za leto 2024 je 239.600,00 evrov, za leto 2025 pa 374.500,00 evrov in je preračunan za pet dodatnih uslužbencev. </w:t>
      </w:r>
    </w:p>
    <w:p w14:paraId="4D3C5BB2" w14:textId="77777777" w:rsidR="00783522" w:rsidRDefault="00783522" w:rsidP="00783522"/>
    <w:p w14:paraId="1F969189" w14:textId="77777777" w:rsidR="00783522" w:rsidRDefault="00783522" w:rsidP="00783522">
      <w:r>
        <w:t xml:space="preserve">Predlog Sklepa je posledica uskladitve z Zakonom o izvajanju Uredbe (EU), ki med drugim določa, da vlada uskladi Sklep o ustanovitvi Agencije z določbami tega zakona v dveh mesecih od njegove uveljavitve. Predlog Sklepa tako upošteva Zakon glede novih pristojnosti AKOS in financiranja izvajanja nalog AKOS po tem zakonu.  </w:t>
      </w:r>
    </w:p>
    <w:p w14:paraId="02FB59C3" w14:textId="6E59EE63" w:rsidR="00561E75" w:rsidRDefault="00783522" w:rsidP="00783522">
      <w:pPr>
        <w:pStyle w:val="Vir"/>
      </w:pPr>
      <w:r>
        <w:t>Vir: Ministrstvo za digitalno preobrazbo</w:t>
      </w:r>
    </w:p>
    <w:p w14:paraId="329CD835" w14:textId="21A80D5A" w:rsidR="00F05AB8" w:rsidRDefault="00F05AB8" w:rsidP="00FC543C">
      <w:pPr>
        <w:pStyle w:val="Naslov2"/>
      </w:pPr>
      <w:r>
        <w:t>Vlada dala soglasje k spremembi tarife za izvajanje storitev Javne agencije za civilno letalstvo Republike Slovenije</w:t>
      </w:r>
    </w:p>
    <w:p w14:paraId="3527A661" w14:textId="77777777" w:rsidR="00F05AB8" w:rsidRDefault="00F05AB8" w:rsidP="00F05AB8">
      <w:r>
        <w:t xml:space="preserve">Javna agencija za civilno letalstvo Republike Slovenije se financira s prihodki iz proračuna Republike Slovenije, prihodki iz pristojbin in povračil stroškov, ki jih v skladu s tarifo vplačajo prosilci in imetniki certifikatov in drugih listin, ki jih izdaja agencija, s prihodki iz povračil za izvedene certifikacijske postopke, druge izdane posamične pravne akte in izvedene naloge stalnega nadzora, ki jih agencija pogodbeno opravi za potrebe Evropske agencije za varnost v letalstvu ali druge pristojne letalske organe in s prihodki od drugih dejavnosti. </w:t>
      </w:r>
    </w:p>
    <w:p w14:paraId="4D26A5FD" w14:textId="77777777" w:rsidR="00F05AB8" w:rsidRDefault="00F05AB8" w:rsidP="00F05AB8"/>
    <w:p w14:paraId="5EBAB113" w14:textId="77777777" w:rsidR="00F05AB8" w:rsidRDefault="00F05AB8" w:rsidP="00F05AB8">
      <w:r>
        <w:t>Skladno z Zakonom o javnih agencijah se višina plačil za storitve, ki jih opravlja javna agencija, določi glede na potrebno pokrivanje stroškov posamezne storitve javne agencije ter glede na načrtovane cilje in naloge, določene v programu dela javne agencije.</w:t>
      </w:r>
    </w:p>
    <w:p w14:paraId="3B2821C2" w14:textId="77777777" w:rsidR="00F05AB8" w:rsidRDefault="00F05AB8" w:rsidP="00F05AB8"/>
    <w:p w14:paraId="0DA3F2FC" w14:textId="77777777" w:rsidR="00F05AB8" w:rsidRDefault="00F05AB8" w:rsidP="00F05AB8">
      <w:r>
        <w:lastRenderedPageBreak/>
        <w:t>Tarife se oblikujejo na način, kot se oblikujejo takse in dajatve, ki jih obračunava Evropska agencija za varnost v letalstvu. Temeljno načelo pri pripravi spremembe tarife je bilo, da morajo sredstva, ki jih agencija pridobi s prihodki od pristojbin in povračil stroškov, ob čim manjši obremenitvi prosilcev in imetnikov certifikatov, zagotavljati nemoteno, razvojno in dolgoročno delo agencije.</w:t>
      </w:r>
    </w:p>
    <w:p w14:paraId="65AD696A" w14:textId="77777777" w:rsidR="00F05AB8" w:rsidRDefault="00F05AB8" w:rsidP="00F05AB8"/>
    <w:p w14:paraId="48B1E65E" w14:textId="77777777" w:rsidR="00F05AB8" w:rsidRDefault="00F05AB8" w:rsidP="00F05AB8">
      <w:r>
        <w:t>Razlogi za spremembo tarife so:</w:t>
      </w:r>
    </w:p>
    <w:p w14:paraId="6BDF7C56" w14:textId="110EA6E9" w:rsidR="00F05AB8" w:rsidRDefault="00F05AB8" w:rsidP="00F05AB8">
      <w:pPr>
        <w:pStyle w:val="Odstavekseznama"/>
        <w:numPr>
          <w:ilvl w:val="0"/>
          <w:numId w:val="2"/>
        </w:numPr>
      </w:pPr>
      <w:r>
        <w:t>sprememba evropske zakonodaje, ki razširja naloge agencije oziroma spreminja pogoje za izdajo certifikatov;</w:t>
      </w:r>
    </w:p>
    <w:p w14:paraId="77B1E76D" w14:textId="43414A6B" w:rsidR="00F05AB8" w:rsidRDefault="00F05AB8" w:rsidP="00F05AB8">
      <w:pPr>
        <w:pStyle w:val="Odstavekseznama"/>
        <w:numPr>
          <w:ilvl w:val="0"/>
          <w:numId w:val="2"/>
        </w:numPr>
      </w:pPr>
      <w:r>
        <w:t>sprememba nacionalne zakonodaje, ki razširja naloge agencije oziroma spreminja pogoje za izdajo certifikatov;</w:t>
      </w:r>
    </w:p>
    <w:p w14:paraId="7F0827EC" w14:textId="3BC86D66" w:rsidR="00F05AB8" w:rsidRDefault="00F05AB8" w:rsidP="00F05AB8">
      <w:pPr>
        <w:pStyle w:val="Odstavekseznama"/>
        <w:numPr>
          <w:ilvl w:val="0"/>
          <w:numId w:val="2"/>
        </w:numPr>
      </w:pPr>
      <w:r>
        <w:t>odprava manjših neskladnosti v obstoječi tarifi in določeno prevrednotenje višine tarife na posameznih področjih, kar se je v praksi izkazalo za nujno potrebno v času izvajanja veljavne tarife.</w:t>
      </w:r>
    </w:p>
    <w:p w14:paraId="43DE0053" w14:textId="6D5F6E6D" w:rsidR="00561E75" w:rsidRDefault="00F05AB8" w:rsidP="00F05AB8">
      <w:pPr>
        <w:pStyle w:val="Vir"/>
      </w:pPr>
      <w:r w:rsidRPr="00F05AB8">
        <w:t>Vir: Ministrstvo za infrastrukturo</w:t>
      </w:r>
    </w:p>
    <w:p w14:paraId="36BF4100" w14:textId="3184263D" w:rsidR="00561E75" w:rsidRDefault="00933888" w:rsidP="00933888">
      <w:pPr>
        <w:pStyle w:val="Naslov2"/>
      </w:pPr>
      <w:r>
        <w:t>S</w:t>
      </w:r>
      <w:r w:rsidR="00561E75">
        <w:t>oglasj</w:t>
      </w:r>
      <w:r>
        <w:t>e</w:t>
      </w:r>
      <w:r w:rsidR="00561E75">
        <w:t xml:space="preserve"> k Strategiji razvoja Javnega gospodarskega zavoda Protokolarne storitve Republike Slovenije 2024–2028</w:t>
      </w:r>
    </w:p>
    <w:p w14:paraId="6FFCCD38" w14:textId="6B1C3123" w:rsidR="00933888" w:rsidRDefault="00933888" w:rsidP="00933888">
      <w:r>
        <w:t>Vlada Republike Slovenije je dala soglasje k Strategiji razvoja Javnega gospodarskega zavoda Protokolarne storitve Republike Slovenije 2024-2028, ki jo je Upravni odbor Javnega gospodarskega zavoda Protokolarne storitve Republike Slovenije sprejel na 8. redni seji, ki je potekala dne 6. 3. 2024.</w:t>
      </w:r>
    </w:p>
    <w:p w14:paraId="5059DBE6" w14:textId="77777777" w:rsidR="00933888" w:rsidRDefault="00933888" w:rsidP="00933888"/>
    <w:p w14:paraId="2255D874" w14:textId="77777777" w:rsidR="00933888" w:rsidRDefault="00933888" w:rsidP="00933888">
      <w:r>
        <w:t xml:space="preserve">Odlok o ustanovitvi Javnega gospodarskega zavoda Protokolarne storitve Republike Slovenije  v 23. členu določa, da upravni odbor zavoda na predlog direktorja sprejme srednjeročni in dolgoročni razvojni načrt zavoda in ga predloži v soglasje ustanoviteljici, Republiki Sloveniji. Ustanoviteljske pravice in obveznosti izvaja Vlada Republike Slovenije. </w:t>
      </w:r>
    </w:p>
    <w:p w14:paraId="525DA212" w14:textId="77777777" w:rsidR="00933888" w:rsidRDefault="00933888" w:rsidP="00933888"/>
    <w:p w14:paraId="68211BD3" w14:textId="77777777" w:rsidR="00933888" w:rsidRDefault="00933888" w:rsidP="00933888">
      <w:r>
        <w:t xml:space="preserve">Strategija razvoja Javnega gospodarskega zavoda Protokolarne storitve Republike Slovenije 2024-2028 je izvedbeno naravnan dokument za delo zavoda v naslednjih letih. V ospredju je ohranjanje in promocija vsebin naravne in kulturne dediščine državnih posestev Slovenije, z upoštevanjem znanj in sodobnih trendov upravljanja in delovanja. Ugled zavoda se bo utrdil z repozicioniranjem blagovne znamke protokolarnih posesti Slovenije, internacionalizacijo ter dvigom prepoznavnosti in zavesti o protokolarnih posestvih in storitvah JGZ Brdo kot nosilcih promocije narave in kulture ter enkratnosti Slovenije. Z novo strategijo se želi zagotoviti razvoj zavoda na osnovi uvedbe novih paradigem vodenja za dvig kakovosti delovanja zaposlenih zavoda ter poskrbeti za strokovno in kakovostno izvajanje v strategiji zadanih aktivnosti JGZ Brdo. </w:t>
      </w:r>
    </w:p>
    <w:p w14:paraId="6F969551" w14:textId="77777777" w:rsidR="00933888" w:rsidRDefault="00933888" w:rsidP="00933888"/>
    <w:p w14:paraId="6D1F74C3" w14:textId="59355F51" w:rsidR="00933888" w:rsidRDefault="00933888" w:rsidP="00933888">
      <w:r>
        <w:t>S strategijo razvoja JGZ Brdo se v središče postavlja ljudi, razvoj znanja ter nadaljnje usposabljanje za vrhunsko delo in uspešno sodelovanje s ciljem doseči zastavljene cilje. Strategija protokolarno dejavnost JGZ Brdo dopolnjuje z uvajanjem vsebin ekskluzivnega turizma ter oblikovanjem in trženjem vrhunske ponudbe gostoljubja, s čimer vodi v odgovorno odpiranje državnih posestev. Na posebno pomembnem mestu je odgovorno, trajnostno ravnanje JGZ Brdo do narave, kulture in družbe. Odlične danosti naravnega in kulturnega izročila JGZ Brdo predstavljajo priložnosti za razvoj in napredek.</w:t>
      </w:r>
    </w:p>
    <w:p w14:paraId="6ACF5014" w14:textId="77777777" w:rsidR="00933888" w:rsidRDefault="00933888" w:rsidP="00933888"/>
    <w:p w14:paraId="2E3FF731" w14:textId="77777777" w:rsidR="00933888" w:rsidRDefault="00933888" w:rsidP="00933888">
      <w:r>
        <w:t xml:space="preserve">Realizacija posameznih projektov in aktivnosti iz Strategije razvoja Javnega gospodarskega zavoda Protokolarne storitve Republike Slovenije JZ Brdo 2024-2028 se bo finančno krila s sredstvi iz tekočega poslovanja zavoda. V skladu z Odlokom o ustanovitvi Javnega gospodarskega zavoda Protokolarne storitve Republike Slovenije zavod pridobiva sredstva za opravljanje svoje dejavnosti iz proračuna Republike Slovenije, s prihodki od plačil za </w:t>
      </w:r>
      <w:r>
        <w:lastRenderedPageBreak/>
        <w:t xml:space="preserve">protokolarne storitve in organizacijo drugih dogodkov, s prihodki od tržne dejavnosti in z dotacijami, donacijami, darili in iz drugih virov. </w:t>
      </w:r>
    </w:p>
    <w:p w14:paraId="70724F06" w14:textId="66FAEA3D" w:rsidR="00933888" w:rsidRDefault="00933888" w:rsidP="00933888">
      <w:pPr>
        <w:pStyle w:val="Vir"/>
      </w:pPr>
      <w:r>
        <w:t>Vir: Generalni sekretariat vlade</w:t>
      </w:r>
    </w:p>
    <w:p w14:paraId="5611A75C" w14:textId="72F1B477" w:rsidR="008E6158" w:rsidRDefault="008E6158" w:rsidP="008E6158">
      <w:pPr>
        <w:pStyle w:val="Naslov2"/>
      </w:pPr>
      <w:r>
        <w:t>Poslovni načrt javnega podjetja INFRA</w:t>
      </w:r>
    </w:p>
    <w:p w14:paraId="17F32AF2" w14:textId="77777777" w:rsidR="008E6158" w:rsidRDefault="008E6158" w:rsidP="008E6158">
      <w:r>
        <w:t xml:space="preserve">Vlada je sprejela Poslovni načrt javnega podjetja INFRA izvajanje investicijske dejavnosti d.o.o. za leto 2024. </w:t>
      </w:r>
    </w:p>
    <w:p w14:paraId="66C33784" w14:textId="77777777" w:rsidR="008E6158" w:rsidRDefault="008E6158" w:rsidP="008E6158"/>
    <w:p w14:paraId="6A35A63B" w14:textId="77777777" w:rsidR="008E6158" w:rsidRDefault="008E6158" w:rsidP="008E6158">
      <w:r>
        <w:t xml:space="preserve">Poslovni načrt se nanaša za pridobivanje zemljišč v imenu in za račun Republike Slovenije, gradnjo vodne, državne in lokalne infrastrukture na območju hidroelektrarn Arto-Blanca, Krško, Brežice in Mokrice, vzdrževanje akumulacijskih bazenov, upravljanje odlagališča odpadkov Rakovnik, odpravo posledic poplav ter izvajanje del inženirja v sklopu izdelave strokovnih podlag in druge potrebne dokumentacije za državni prostorski načrt (DPN)  za umeščanje HE na srednji Savi. </w:t>
      </w:r>
    </w:p>
    <w:p w14:paraId="0526886E" w14:textId="27371920" w:rsidR="00561E75" w:rsidRDefault="008E6158" w:rsidP="008E6158">
      <w:pPr>
        <w:pStyle w:val="Vir"/>
      </w:pPr>
      <w:r>
        <w:t>Vir: Ministrstvo za naravne vire in prostor</w:t>
      </w:r>
    </w:p>
    <w:p w14:paraId="374F7568" w14:textId="1F8FE1DD" w:rsidR="00F810F3" w:rsidRDefault="00F810F3" w:rsidP="00F810F3">
      <w:pPr>
        <w:pStyle w:val="Naslov2"/>
      </w:pPr>
      <w:r>
        <w:t>Ukinitev uporabe kriptiranega algoritma TEA1 v omrežju TETRA</w:t>
      </w:r>
    </w:p>
    <w:p w14:paraId="0ECAF488" w14:textId="77777777" w:rsidR="00F810F3" w:rsidRDefault="00F810F3" w:rsidP="00F810F3">
      <w:r>
        <w:t>Vlada Republike Slovenije se je seznanila s predlogom in razlogi za ukinitev uporabe kriptiranega algoritma TEA1 v digitalnem radijskem omrežju TETRA.</w:t>
      </w:r>
    </w:p>
    <w:p w14:paraId="1B13C207" w14:textId="77777777" w:rsidR="00F810F3" w:rsidRDefault="00F810F3" w:rsidP="00F810F3"/>
    <w:p w14:paraId="600737FE" w14:textId="77777777" w:rsidR="00F810F3" w:rsidRDefault="00F810F3" w:rsidP="00F810F3">
      <w:r>
        <w:t xml:space="preserve">Vlada Republike Slovenije je oktobra 2015 potrdila izgradnjo in prenovo enotnega digitalnega radijskega omrežja TETRA in sprejela sklep, da bo digitalno radijsko omrežje TETRA del celotnega hibridnega sistema digitalnega radijskega omrežja državnih organov. V njem se lahko uporabljata dva </w:t>
      </w:r>
      <w:proofErr w:type="spellStart"/>
      <w:r>
        <w:t>kriptirna</w:t>
      </w:r>
      <w:proofErr w:type="spellEnd"/>
      <w:r>
        <w:t xml:space="preserve"> algoritma – TEA1 in varnejši TEA2. Policija sicer že od samega začetka za komunikacijo med uporabniki uporablja izključno varnejši algoritem TEA2.</w:t>
      </w:r>
    </w:p>
    <w:p w14:paraId="0FFC06FC" w14:textId="77777777" w:rsidR="00F810F3" w:rsidRDefault="00F810F3" w:rsidP="00F810F3"/>
    <w:p w14:paraId="52A4A0C0" w14:textId="77777777" w:rsidR="00F810F3" w:rsidRDefault="00F810F3" w:rsidP="00F810F3">
      <w:r>
        <w:t xml:space="preserve">Raziskava podjetja </w:t>
      </w:r>
      <w:proofErr w:type="spellStart"/>
      <w:r>
        <w:t>MidnightBlue</w:t>
      </w:r>
      <w:proofErr w:type="spellEnd"/>
      <w:r>
        <w:t xml:space="preserve"> (Nizozemska), ki jo je finančno podprla Evropska komisija, je pokazala ranljivost </w:t>
      </w:r>
      <w:proofErr w:type="spellStart"/>
      <w:r>
        <w:t>kriptirnega</w:t>
      </w:r>
      <w:proofErr w:type="spellEnd"/>
      <w:r>
        <w:t xml:space="preserve"> algoritma TEA1. Na podlagi ugotovitev te raziskave ugotavljamo, da uporaba terminalne opreme TETRA z vgrajenim </w:t>
      </w:r>
      <w:proofErr w:type="spellStart"/>
      <w:r>
        <w:t>kriptirnim</w:t>
      </w:r>
      <w:proofErr w:type="spellEnd"/>
      <w:r>
        <w:t xml:space="preserve"> algoritmom TEA1 za uporabnike ne zagotavlja potrebne ravni varnosti pri prenosu govornih in podatkovnih komunikacij. Zato predlagamo prehod na </w:t>
      </w:r>
      <w:proofErr w:type="spellStart"/>
      <w:r>
        <w:t>kriptirni</w:t>
      </w:r>
      <w:proofErr w:type="spellEnd"/>
      <w:r>
        <w:t xml:space="preserve"> algoritem TEA2 za vse uporabnike digitalnega radijskega omrežja TETRA v Republiki Sloveniji, in sicer najkasneje do konca leta 2025.</w:t>
      </w:r>
    </w:p>
    <w:p w14:paraId="5D1D9278" w14:textId="10B7D03A" w:rsidR="00561E75" w:rsidRDefault="00F810F3" w:rsidP="00F810F3">
      <w:pPr>
        <w:pStyle w:val="Vir"/>
      </w:pPr>
      <w:r>
        <w:t>Vir: Ministrstvo za notranje zadeve</w:t>
      </w:r>
    </w:p>
    <w:p w14:paraId="75603EE4" w14:textId="145CBD23" w:rsidR="003C0076" w:rsidRDefault="003C0076" w:rsidP="003C0076">
      <w:pPr>
        <w:pStyle w:val="Naslov2"/>
      </w:pPr>
      <w:r>
        <w:t>Sprejeta izhodišča za pogajanja o Kolektivni pogodbi za policiste</w:t>
      </w:r>
    </w:p>
    <w:p w14:paraId="7450CCFF" w14:textId="31343D1F" w:rsidR="003C0076" w:rsidRDefault="003C0076" w:rsidP="003C0076">
      <w:r>
        <w:t xml:space="preserve">Vlada Republike Slovenije je sprejela izhodišča za pogajanja v zvezi s spremembami in dopolnitvami </w:t>
      </w:r>
      <w:proofErr w:type="spellStart"/>
      <w:r>
        <w:t>22.č</w:t>
      </w:r>
      <w:proofErr w:type="spellEnd"/>
      <w:r>
        <w:t xml:space="preserve"> člena Kolektivne pogodbe za policiste. Vlada za pogajanja pooblašča vladno pogajalsko skupino, imenovano na seji 16. maja 2024.</w:t>
      </w:r>
    </w:p>
    <w:p w14:paraId="5AD53817" w14:textId="77777777" w:rsidR="003C0076" w:rsidRDefault="003C0076" w:rsidP="003C0076"/>
    <w:p w14:paraId="40D5A219" w14:textId="6A863785" w:rsidR="003C0076" w:rsidRDefault="003C0076" w:rsidP="003C0076">
      <w:r>
        <w:t xml:space="preserve">Vladna pogajalska skupina v pogajalskem procesu med drugim upošteva V. točko Sporazuma o razreševanju stavkovnih zahtev, določbe veljavne Kolektivne pogodbe za policiste, ki se nanašajo na karierni sistem v policiji, in določbe vseh sporazumov ali dogovorov, ki jih je vlada sklenila z reprezentativnimi sindikati javnega sektorja oziroma jih bo sklenila v času pogajanj in se nanašajo na sistem javnih uslužbencev ter sistem plač v javnem sektorju. Morebitne zahteve sindikatov, ki se nanašajo na sistem plač javnih uslužbencev, se obravnava v okviru pogajanj o prenovi plačnega sistema in odpravi nesorazmerij v osnovnih plačah ter o drugih pravicah iz delovnega razmerja javnih uslužbencev. Dogovorjene rešitve ne smejo pomeniti odstopanja od </w:t>
      </w:r>
      <w:r>
        <w:lastRenderedPageBreak/>
        <w:t>enotnega sistema javnih plač. Glede predlogov, ki bi pomenile neposredne finančne posledice, mora pogajalska skupina pridobiti soglasje vlade.</w:t>
      </w:r>
    </w:p>
    <w:p w14:paraId="5EB86775" w14:textId="77777777" w:rsidR="003C0076" w:rsidRDefault="003C0076" w:rsidP="003C0076"/>
    <w:p w14:paraId="6365CD31" w14:textId="3A0CE1BA" w:rsidR="003C0076" w:rsidRDefault="003C0076" w:rsidP="003C0076">
      <w:r>
        <w:t>Končni rezultat pogajanj mora biti sklenitev dopolnila h Kolektivni pogodbi za policiste. Dogovorjene rešitve naj omogočajo pregleden, transparenten in učinkovit sistem zaposlovanja, premeščanja, (horizontalnega in vertikalnega) napredovanja, izobraževanja, usposabljanja in izpopolnjevanja, ocenjevanja ter ugotavljanja sposobnosti oziroma nesposobnosti policistov. Poleg tega morajo dogovorjene rešitve omogočati vzpostavitev in uporabo kompetenčnega modela v policiji.</w:t>
      </w:r>
    </w:p>
    <w:p w14:paraId="68D66CA6" w14:textId="537DBAE6" w:rsidR="00561E75" w:rsidRDefault="003C0076" w:rsidP="003C0076">
      <w:pPr>
        <w:pStyle w:val="Vir"/>
      </w:pPr>
      <w:r>
        <w:t>Vir: Ministrstvo za notranje zadeve</w:t>
      </w:r>
    </w:p>
    <w:p w14:paraId="0B855852" w14:textId="791A45E2" w:rsidR="006527B2" w:rsidRDefault="006527B2" w:rsidP="006527B2">
      <w:pPr>
        <w:pStyle w:val="Naslov2"/>
      </w:pPr>
      <w:r>
        <w:t xml:space="preserve">Soglasje Atletski zvezi Slovenije za vložitev kandidature za organizacijo Evropskega prvenstva v gorskih in </w:t>
      </w:r>
      <w:proofErr w:type="spellStart"/>
      <w:r>
        <w:t>trail</w:t>
      </w:r>
      <w:proofErr w:type="spellEnd"/>
      <w:r>
        <w:t xml:space="preserve"> tekih</w:t>
      </w:r>
    </w:p>
    <w:p w14:paraId="50B0545D" w14:textId="77777777" w:rsidR="006527B2" w:rsidRDefault="006527B2" w:rsidP="006527B2">
      <w:r>
        <w:t xml:space="preserve">Vlada je Atletski zvezi Slovenije dala soglasje za vložitev kandidature pri Evropski atletiki za organizacijo Evropskega prvenstva v gorskih in </w:t>
      </w:r>
      <w:proofErr w:type="spellStart"/>
      <w:r>
        <w:t>trail</w:t>
      </w:r>
      <w:proofErr w:type="spellEnd"/>
      <w:r>
        <w:t xml:space="preserve"> tekih – Kamnik 2026. S kandidaturo se je na 10. dopisni seji dne 12. 4. 2024 seznanil tudi Strokovni svet Republike Slovenije za šport in podal pozitivno mnenje h kandidaturi.</w:t>
      </w:r>
    </w:p>
    <w:p w14:paraId="17A15B00" w14:textId="77777777" w:rsidR="006527B2" w:rsidRDefault="006527B2" w:rsidP="006527B2"/>
    <w:p w14:paraId="242CDDAD" w14:textId="77777777" w:rsidR="006527B2" w:rsidRDefault="006527B2" w:rsidP="006527B2">
      <w:r>
        <w:t xml:space="preserve">V skladu z Zakonom o športu morajo kandidati za organizacijo velikih mednarodnih športnih prireditev v Republiki Sloveniji pred vložitvijo kandidature za evropska prvenstva pri mednarodni športni zvezi pridobiti soglasje Vlade Republike Slovenije. </w:t>
      </w:r>
    </w:p>
    <w:p w14:paraId="6841050B" w14:textId="77777777" w:rsidR="006527B2" w:rsidRDefault="006527B2" w:rsidP="006527B2"/>
    <w:p w14:paraId="216B76FA" w14:textId="77777777" w:rsidR="006527B2" w:rsidRDefault="006527B2" w:rsidP="006527B2">
      <w:r>
        <w:t xml:space="preserve">Atletska zveza Slovenije je dolžna ministrstvo, pristojno za šport, takoj po prejemu odločitve obvestiti, ali je pri Evropski atletiki pridobila pravice za organizacijo prireditve. Najkasneje do 15. novembra v letu pred izvedbo prireditve je Atletska zveza Slovenije dolžna ministrstvu, pristojnemu za šport, predložiti tudi končno študijo o organizaciji in financiranju prireditve. </w:t>
      </w:r>
    </w:p>
    <w:p w14:paraId="32C01197" w14:textId="77777777" w:rsidR="006527B2" w:rsidRDefault="006527B2" w:rsidP="006527B2"/>
    <w:p w14:paraId="0D6F8D40" w14:textId="77777777" w:rsidR="006527B2" w:rsidRDefault="006527B2" w:rsidP="006527B2">
      <w:r>
        <w:t>Organizacija evropskega prvenstva se sofinancira skladno z letnim programom športa v Republiki Sloveniji in na podlagi Pravilnika o sofinanciranju izvajanja letnega programa športa na državni ravni.</w:t>
      </w:r>
    </w:p>
    <w:p w14:paraId="5A039E3A" w14:textId="77777777" w:rsidR="006527B2" w:rsidRDefault="006527B2" w:rsidP="006527B2">
      <w:pPr>
        <w:pStyle w:val="Vir"/>
      </w:pPr>
      <w:r>
        <w:t>Vir: Ministrstvo za gospodarstvo, turizem in šport</w:t>
      </w:r>
    </w:p>
    <w:p w14:paraId="6FAE0A0C" w14:textId="087CBED9" w:rsidR="00562567" w:rsidRDefault="00562567" w:rsidP="00562567">
      <w:pPr>
        <w:pStyle w:val="Naslov2"/>
      </w:pPr>
      <w:r>
        <w:t>Poročilo o izvajanju celovitega strateškega projekta razogljičenja Slovenije preko prehoda v krožno gospodarstvo za obdobje oktober 2022 – december 2023</w:t>
      </w:r>
    </w:p>
    <w:p w14:paraId="43934A57" w14:textId="1B07B93B" w:rsidR="00562567" w:rsidRDefault="00562567" w:rsidP="00562567">
      <w:r>
        <w:t>Vlada se je seznanila s poročilom o izvajanju celovitega strateškega projekta razogljičenja Slovenije preko prehoda v krožno gospodarstvo za obdobje oktober 2022 – december 2023.</w:t>
      </w:r>
    </w:p>
    <w:p w14:paraId="0497C214" w14:textId="77777777" w:rsidR="00562567" w:rsidRDefault="00562567" w:rsidP="00562567"/>
    <w:p w14:paraId="4CFD34E8" w14:textId="77777777" w:rsidR="00562567" w:rsidRDefault="00562567" w:rsidP="00562567">
      <w:r>
        <w:t xml:space="preserve">Celoviti strateški projekt razogljičenja Slovenije preko prehoda v krožno gospodarstvo – s ciljem podpreti Slovenijo pri doseganju izrazito medsektorskih podnebnih ciljev z uvajanjem načel krožnega gospodarstva – je projekt Vlade Republike Slovenije, ki se izvaja na podlagi Dogovora o sodelovanju Republike Slovenije in EIT Climate KIC iz leta 2019. </w:t>
      </w:r>
    </w:p>
    <w:p w14:paraId="28E3989A" w14:textId="77777777" w:rsidR="00562567" w:rsidRDefault="00562567" w:rsidP="00562567"/>
    <w:p w14:paraId="3E620A23" w14:textId="77777777" w:rsidR="00562567" w:rsidRDefault="00562567" w:rsidP="00562567">
      <w:r>
        <w:t>Namenjen je razvoju in vpeljavi inovativnih pristopov za dvig usposobljenosti in kapacitet za sistemsko inoviranje v državni upravi ter širše tudi v drugih skupinah deležnikov. Vlada je leta 2022 s sklepom opredelila način izvajanja 2. faze Celovitega strateškega projekta razogljičenja Slovenije preko prehoda na krožno gospodarstvo in potrdila načrt izvedbe 2. faze projekta. Ministrstvo za javno upravo Vladi Republike Slovenije predloži poročilo o izvajanju načrta, ki ga predhodno obravnava tudi Delovna skupina vlade za usmerjanje Celovitega strateškega projekta.</w:t>
      </w:r>
    </w:p>
    <w:p w14:paraId="522BB169" w14:textId="77777777" w:rsidR="00562567" w:rsidRDefault="00562567" w:rsidP="00562567"/>
    <w:p w14:paraId="7141FB08" w14:textId="77777777" w:rsidR="00562567" w:rsidRDefault="00562567" w:rsidP="00562567">
      <w:r>
        <w:lastRenderedPageBreak/>
        <w:t xml:space="preserve">Vsebinsko poročilo po posameznih delovnih sklopih projekta vključuje kratek opis izvedenih aktivnosti, rezultate dosedanjega dela in identificirane izzive. Vključeno je tudi poročanje glede doseganja ključnih kazalnikov projekta, finančno poročilo in pregled ključnih deležnikov, ki so bili </w:t>
      </w:r>
      <w:proofErr w:type="spellStart"/>
      <w:r>
        <w:t>dosedaj</w:t>
      </w:r>
      <w:proofErr w:type="spellEnd"/>
      <w:r>
        <w:t xml:space="preserve"> vključeni v izvajanje projektnih aktivnosti. </w:t>
      </w:r>
    </w:p>
    <w:p w14:paraId="0B4865B5" w14:textId="77777777" w:rsidR="00562567" w:rsidRDefault="00562567" w:rsidP="00562567"/>
    <w:p w14:paraId="737297B5" w14:textId="77777777" w:rsidR="00562567" w:rsidRDefault="00562567" w:rsidP="00562567">
      <w:r>
        <w:t>V zaključku so podana tudi priporočila in nadaljnji koraki za izvajanje projekta, kot npr. zavzemanje za čim večjo uporabnost rezultatov in prenos dognanj projekta v prakso, iskanje rešitve za aktivacijo portfelja ukrepov, kjer se trenutno kaže največji izziv za izvajanje projekta, pa tudi proaktivno sodelovanje ministrstev pri aktivnostih na prečnih področjih (podjetništvo, oblikovanje politik, izobraževanje, portfeljsko financiranje) ter pri krepitvi sposobnosti za sistemsko delovanje in inoviranje.</w:t>
      </w:r>
    </w:p>
    <w:p w14:paraId="6FE21670" w14:textId="0E32FB7C" w:rsidR="00561E75" w:rsidRDefault="00562567" w:rsidP="00562567">
      <w:pPr>
        <w:pStyle w:val="Vir"/>
      </w:pPr>
      <w:r>
        <w:t>Vir: Ministrstvo za javno upravo</w:t>
      </w:r>
    </w:p>
    <w:p w14:paraId="21FE5E78" w14:textId="5CBAB360" w:rsidR="00802523" w:rsidRDefault="00802523" w:rsidP="00802523">
      <w:pPr>
        <w:pStyle w:val="Naslov2"/>
      </w:pPr>
      <w:r>
        <w:t>Poročilo o delu Stalne medresorske delovne skupine za OECD na operativni ravni v letu 2023</w:t>
      </w:r>
    </w:p>
    <w:p w14:paraId="22807760" w14:textId="77777777" w:rsidR="00802523" w:rsidRDefault="00802523" w:rsidP="00802523">
      <w:r>
        <w:t>Vlada Republike Slovenije se je seznanila s Poročilom o delu Stalne medresorske delovne skupine za OECD na operativni ravni v letu 2023.</w:t>
      </w:r>
    </w:p>
    <w:p w14:paraId="3570644F" w14:textId="77777777" w:rsidR="00802523" w:rsidRDefault="00802523" w:rsidP="00802523"/>
    <w:p w14:paraId="33C4FAA6" w14:textId="77777777" w:rsidR="00802523" w:rsidRDefault="00802523" w:rsidP="00802523">
      <w:r>
        <w:t xml:space="preserve">Ministrstva  v poročilu poročajo o delovanju na različnih vsebinskih področjih dela OECD – ekonomska politika, okolje in podnebne spremembe, digitalizacija, izobraževanje, kmetijstvo, trgovinska politika in turizem. Ministri so se udeležili več srečanj na ministrski ravni. </w:t>
      </w:r>
    </w:p>
    <w:p w14:paraId="26D084E1" w14:textId="77777777" w:rsidR="00802523" w:rsidRDefault="00802523" w:rsidP="00802523">
      <w:r>
        <w:t xml:space="preserve">Slovenija je bila v letu 2023 aktivna tudi na ravni globalnih forumov, ki se organizirajo v okviru OECD. Na področju horizontalnih tem je bilo največ časa namenjenega izvajanju strokovnega pregleda pripravljenosti držav kandidatk na članstvo v OECD in pripravi proračuna za leto 2025 ter 2026, kakor tudi pripravi reforme proračunskega načrtovanja OECD kot organizacije. </w:t>
      </w:r>
    </w:p>
    <w:p w14:paraId="4F83CC6F" w14:textId="46F6C788" w:rsidR="00561E75" w:rsidRDefault="00802523" w:rsidP="00802523">
      <w:pPr>
        <w:pStyle w:val="Vir"/>
      </w:pPr>
      <w:r>
        <w:t>Vir: Ministrstvo za zunanje in evropske zadeve</w:t>
      </w:r>
    </w:p>
    <w:p w14:paraId="469B85AB" w14:textId="66FF9D55" w:rsidR="00561E75" w:rsidRDefault="00561E75" w:rsidP="00C0557E">
      <w:pPr>
        <w:pStyle w:val="Naslov2"/>
      </w:pPr>
      <w:r>
        <w:t>Poročilo o delu Delovne skupine vlade za podporo izvajanju Slovenske strategije trajnostne pametne specializacije v letu 2023</w:t>
      </w:r>
    </w:p>
    <w:p w14:paraId="20FE5B40" w14:textId="77777777" w:rsidR="00C0557E" w:rsidRDefault="00C0557E" w:rsidP="00C0557E">
      <w:r>
        <w:t>Vlada Republike Slovenije se je seznanila s Poročilom o delu Delovne skupine vlade za podporo izvajanju Slovenske strategije trajnostne pametne specializacije v letu 2023.</w:t>
      </w:r>
    </w:p>
    <w:p w14:paraId="58FF6903" w14:textId="77777777" w:rsidR="00C0557E" w:rsidRDefault="00C0557E" w:rsidP="00C0557E"/>
    <w:p w14:paraId="596C6BDC" w14:textId="525204D3" w:rsidR="00C0557E" w:rsidRDefault="00C0557E" w:rsidP="00C0557E">
      <w:r>
        <w:t>Vlada je sklepom z dne 13. 7. 2023 ustanovila Delovno skupino vlade za podporo izvajanju Slovenske strategije trajnostne pametne specializacije. V delovno skupino so imenovani državni sekretarji naslednjih resorjev: Ministrstva za kohezijo in regionalni razvoj, Ministrstva za visoko šolstvo, znanost in inovacije, Ministrstva za gospodarstvo, turizem in šport, Ministrstva za digitalno preobrazbo, Ministrstva za delo, družino, socialne zadeve in enake možnosti, Ministrstva za okolje, podnebje in energijo, Ministrstva za solidarno prihodnost, Ministrstva za kmetijstvo, gozdarstvo in prehrano, Ministrstva za zunanje in evropske zadeve in Ministrstva za vzgojo in izobraževanje. Zaradi nekaterih sprememb na pozicijah državnih sekretarjev bo DSV S5 v letu 2024 kadrovsko dopolnjena z novo imenovanimi državnimi sekretarji (MKGP, MVI, MZEZ).</w:t>
      </w:r>
    </w:p>
    <w:p w14:paraId="2F72B39C" w14:textId="77777777" w:rsidR="00C0557E" w:rsidRDefault="00C0557E" w:rsidP="00C0557E"/>
    <w:p w14:paraId="13E95A89" w14:textId="5E613599" w:rsidR="00C0557E" w:rsidRDefault="00C0557E" w:rsidP="00C0557E">
      <w:r>
        <w:t xml:space="preserve">DSV S5 se je sestala na eni seji (4. 10. 2023). Ker je bila to prva ustanovna seja, je najprej sprejela Poslovnik o delu. Nato se je seznanila s preteklim delom ožje delovne skupine državnih sekretarjev. Ožja delovna skupina državnih sekretarjev se je v letu 2023 sestala trikrat (10. 1., 23. 3. in 24. 4. 2023). Na prvem sestanku so se člani seznanili z zaključkom procesa usklajevanja S5 z EK kot Tematskega omogočitvenega pogoja za Cilj politike 1 v Programu evropske kohezijske politike 2021-2027. Na drugem sestanku so člani delovne skupine potrdili plan dela in naložili MKRR, da pripravi vse potrebno za ponovno ustanovitev delovne skupine </w:t>
      </w:r>
      <w:r>
        <w:lastRenderedPageBreak/>
        <w:t>vlade za izvajanje nadgrajene S5. Ravno tako so obravnavali izhodišča za pripravo koncepta podpore strateško razvojno inovacijskim partnerstvom na prednostnih področjih S5. Na tretjem sestanku pa so se seznanili z medresorskimi usklajevanji glede koncepta javne spodbude za strateško razvojno inovacijska partnerstva in s tem usmerila delo na pripravi ukrepa.</w:t>
      </w:r>
    </w:p>
    <w:p w14:paraId="3FD50AEB" w14:textId="466537B6" w:rsidR="00C0557E" w:rsidRDefault="00C0557E" w:rsidP="00C0557E">
      <w:pPr>
        <w:pStyle w:val="Vir"/>
      </w:pPr>
      <w:r w:rsidRPr="00C0557E">
        <w:t>Vir: Ministrstvo za kohezijo in regionalni razvoj</w:t>
      </w:r>
    </w:p>
    <w:p w14:paraId="23733D44" w14:textId="141807CF" w:rsidR="0015786F" w:rsidRDefault="0015786F" w:rsidP="0015786F">
      <w:pPr>
        <w:pStyle w:val="Naslov2"/>
      </w:pPr>
      <w:r>
        <w:t>Poročilo o delu Zdravstvenega inšpektorata Republike Slovenije za leto 2023</w:t>
      </w:r>
    </w:p>
    <w:p w14:paraId="17022D8D" w14:textId="6CF4F1DA" w:rsidR="0015786F" w:rsidRDefault="0015786F" w:rsidP="0015786F">
      <w:r>
        <w:t xml:space="preserve">Vlada Republike Slovenije je na današnji seji sprejela letno poročilo o delu Zdravstvenega inšpektorata Republike Slovenije za leto 2023. </w:t>
      </w:r>
    </w:p>
    <w:p w14:paraId="499A3784" w14:textId="77777777" w:rsidR="0015786F" w:rsidRDefault="0015786F" w:rsidP="0015786F"/>
    <w:p w14:paraId="3C508CC2" w14:textId="77777777" w:rsidR="0015786F" w:rsidRDefault="0015786F" w:rsidP="0015786F">
      <w:r>
        <w:t xml:space="preserve">Zdravstveni inšpektorat opravlja inšpekcijski nadzor nad izvajanjem zakonov in drugih predpisov, ki urejajo področja: </w:t>
      </w:r>
    </w:p>
    <w:p w14:paraId="7934C517" w14:textId="04118235" w:rsidR="0015786F" w:rsidRDefault="0015786F" w:rsidP="0015786F">
      <w:pPr>
        <w:pStyle w:val="Odstavekseznama"/>
        <w:numPr>
          <w:ilvl w:val="0"/>
          <w:numId w:val="4"/>
        </w:numPr>
      </w:pPr>
      <w:r>
        <w:t xml:space="preserve">zdravstvene dejavnosti; </w:t>
      </w:r>
    </w:p>
    <w:p w14:paraId="787A02A8" w14:textId="43678289" w:rsidR="0015786F" w:rsidRDefault="0015786F" w:rsidP="0015786F">
      <w:pPr>
        <w:pStyle w:val="Odstavekseznama"/>
        <w:numPr>
          <w:ilvl w:val="0"/>
          <w:numId w:val="4"/>
        </w:numPr>
      </w:pPr>
      <w:r>
        <w:t xml:space="preserve">pacientovih pravic; </w:t>
      </w:r>
    </w:p>
    <w:p w14:paraId="7BC4D83F" w14:textId="04F10FFD" w:rsidR="0015786F" w:rsidRDefault="0015786F" w:rsidP="0015786F">
      <w:pPr>
        <w:pStyle w:val="Odstavekseznama"/>
        <w:numPr>
          <w:ilvl w:val="0"/>
          <w:numId w:val="4"/>
        </w:numPr>
      </w:pPr>
      <w:r>
        <w:t xml:space="preserve">zdravniške službe; </w:t>
      </w:r>
    </w:p>
    <w:p w14:paraId="49A8D469" w14:textId="2BCD4368" w:rsidR="0015786F" w:rsidRDefault="0015786F" w:rsidP="0015786F">
      <w:pPr>
        <w:pStyle w:val="Odstavekseznama"/>
        <w:numPr>
          <w:ilvl w:val="0"/>
          <w:numId w:val="4"/>
        </w:numPr>
      </w:pPr>
      <w:r>
        <w:t xml:space="preserve">duševnega zdravja; </w:t>
      </w:r>
    </w:p>
    <w:p w14:paraId="6CE98CCB" w14:textId="223764D9" w:rsidR="0015786F" w:rsidRDefault="0015786F" w:rsidP="0015786F">
      <w:pPr>
        <w:pStyle w:val="Odstavekseznama"/>
        <w:numPr>
          <w:ilvl w:val="0"/>
          <w:numId w:val="4"/>
        </w:numPr>
      </w:pPr>
      <w:r>
        <w:t xml:space="preserve">presaditev delov telesa zaradi zdravljenja; </w:t>
      </w:r>
    </w:p>
    <w:p w14:paraId="56CB40FB" w14:textId="6ABF6A19" w:rsidR="0015786F" w:rsidRDefault="0015786F" w:rsidP="0015786F">
      <w:pPr>
        <w:pStyle w:val="Odstavekseznama"/>
        <w:numPr>
          <w:ilvl w:val="0"/>
          <w:numId w:val="4"/>
        </w:numPr>
      </w:pPr>
      <w:r>
        <w:t xml:space="preserve">ravnanja z odpadki, ki nastanejo v zdravstveni dejavnosti; </w:t>
      </w:r>
    </w:p>
    <w:p w14:paraId="4E88B320" w14:textId="7B421868" w:rsidR="0015786F" w:rsidRDefault="0015786F" w:rsidP="0015786F">
      <w:pPr>
        <w:pStyle w:val="Odstavekseznama"/>
        <w:numPr>
          <w:ilvl w:val="0"/>
          <w:numId w:val="4"/>
        </w:numPr>
      </w:pPr>
      <w:r>
        <w:t xml:space="preserve">nalezljivih bolezni; </w:t>
      </w:r>
    </w:p>
    <w:p w14:paraId="6D4CB993" w14:textId="2534D3AB" w:rsidR="0015786F" w:rsidRDefault="0015786F" w:rsidP="0015786F">
      <w:pPr>
        <w:pStyle w:val="Odstavekseznama"/>
        <w:numPr>
          <w:ilvl w:val="0"/>
          <w:numId w:val="4"/>
        </w:numPr>
      </w:pPr>
      <w:r>
        <w:t xml:space="preserve">minimalnih sanitarno-zdravstvenih pogojev; </w:t>
      </w:r>
    </w:p>
    <w:p w14:paraId="33782C45" w14:textId="433E0084" w:rsidR="0015786F" w:rsidRDefault="0015786F" w:rsidP="0015786F">
      <w:pPr>
        <w:pStyle w:val="Odstavekseznama"/>
        <w:numPr>
          <w:ilvl w:val="0"/>
          <w:numId w:val="4"/>
        </w:numPr>
      </w:pPr>
      <w:r>
        <w:t xml:space="preserve">zdravilstva; </w:t>
      </w:r>
    </w:p>
    <w:p w14:paraId="24473440" w14:textId="5D0A0A4C" w:rsidR="0015786F" w:rsidRDefault="0015786F" w:rsidP="0015786F">
      <w:pPr>
        <w:pStyle w:val="Odstavekseznama"/>
        <w:numPr>
          <w:ilvl w:val="0"/>
          <w:numId w:val="4"/>
        </w:numPr>
      </w:pPr>
      <w:r>
        <w:t xml:space="preserve">kopališč in kopalnih vod; </w:t>
      </w:r>
    </w:p>
    <w:p w14:paraId="5AAC4547" w14:textId="63C01346" w:rsidR="0015786F" w:rsidRDefault="0015786F" w:rsidP="0015786F">
      <w:pPr>
        <w:pStyle w:val="Odstavekseznama"/>
        <w:numPr>
          <w:ilvl w:val="0"/>
          <w:numId w:val="4"/>
        </w:numPr>
      </w:pPr>
      <w:r>
        <w:t xml:space="preserve">pitne vode; </w:t>
      </w:r>
    </w:p>
    <w:p w14:paraId="1DEAA051" w14:textId="2424A62F" w:rsidR="0015786F" w:rsidRDefault="0015786F" w:rsidP="0015786F">
      <w:pPr>
        <w:pStyle w:val="Odstavekseznama"/>
        <w:numPr>
          <w:ilvl w:val="0"/>
          <w:numId w:val="4"/>
        </w:numPr>
      </w:pPr>
      <w:r>
        <w:t xml:space="preserve">varnosti na smučiščih; </w:t>
      </w:r>
    </w:p>
    <w:p w14:paraId="4D151001" w14:textId="5E37AACD" w:rsidR="0015786F" w:rsidRDefault="0015786F" w:rsidP="0015786F">
      <w:pPr>
        <w:pStyle w:val="Odstavekseznama"/>
        <w:numPr>
          <w:ilvl w:val="0"/>
          <w:numId w:val="4"/>
        </w:numPr>
      </w:pPr>
      <w:r>
        <w:t xml:space="preserve">splošne varnosti proizvodov; </w:t>
      </w:r>
    </w:p>
    <w:p w14:paraId="3C13C244" w14:textId="6BBDC43B" w:rsidR="0015786F" w:rsidRDefault="0015786F" w:rsidP="0015786F">
      <w:pPr>
        <w:pStyle w:val="Odstavekseznama"/>
        <w:numPr>
          <w:ilvl w:val="0"/>
          <w:numId w:val="4"/>
        </w:numPr>
      </w:pPr>
      <w:r>
        <w:t xml:space="preserve">kozmetičnih proizvodov; </w:t>
      </w:r>
    </w:p>
    <w:p w14:paraId="5D10849E" w14:textId="03510D57" w:rsidR="0015786F" w:rsidRDefault="0015786F" w:rsidP="0015786F">
      <w:pPr>
        <w:pStyle w:val="Odstavekseznama"/>
        <w:numPr>
          <w:ilvl w:val="0"/>
          <w:numId w:val="4"/>
        </w:numPr>
      </w:pPr>
      <w:r>
        <w:t xml:space="preserve">varnosti igrač; </w:t>
      </w:r>
    </w:p>
    <w:p w14:paraId="5DBC7A0A" w14:textId="1937D04E" w:rsidR="0015786F" w:rsidRDefault="0015786F" w:rsidP="0015786F">
      <w:pPr>
        <w:pStyle w:val="Odstavekseznama"/>
        <w:numPr>
          <w:ilvl w:val="0"/>
          <w:numId w:val="4"/>
        </w:numPr>
      </w:pPr>
      <w:r>
        <w:t>materialov ter izdelkov, namenjenih za stik z živili; njihove uporabe v postopkih proizvodnje in distribucije prehranskih dopolnil ter živil, namenjenim dojenčkom in majhnim otrokom, živil za posebne zdravstvene namene ter popolnih prehranskih nadomestkov za nadzor nad telesno težo;</w:t>
      </w:r>
    </w:p>
    <w:p w14:paraId="22A2A6E7" w14:textId="44A4CF41" w:rsidR="0015786F" w:rsidRDefault="0015786F" w:rsidP="0015786F">
      <w:pPr>
        <w:pStyle w:val="Odstavekseznama"/>
        <w:numPr>
          <w:ilvl w:val="0"/>
          <w:numId w:val="4"/>
        </w:numPr>
      </w:pPr>
      <w:r>
        <w:t>prehranskih dopolnil; živil, namenjenih dojenčkom in majhnim otrokom; živil za posebne zdravstvene namene ter popolnih prehranskih nadomestkov za nadzor nad telesno težo;</w:t>
      </w:r>
    </w:p>
    <w:p w14:paraId="54E9BA84" w14:textId="7B94296F" w:rsidR="0015786F" w:rsidRDefault="0015786F" w:rsidP="0015786F">
      <w:pPr>
        <w:pStyle w:val="Odstavekseznama"/>
        <w:numPr>
          <w:ilvl w:val="0"/>
          <w:numId w:val="4"/>
        </w:numPr>
      </w:pPr>
      <w:r>
        <w:t xml:space="preserve">omejevanja porabe alkohola in omejevanja uporabe tobačnih in povezanih izdelkov; </w:t>
      </w:r>
    </w:p>
    <w:p w14:paraId="25A5488D" w14:textId="2537BCB0" w:rsidR="0015786F" w:rsidRDefault="0015786F" w:rsidP="0015786F">
      <w:pPr>
        <w:pStyle w:val="Odstavekseznama"/>
        <w:numPr>
          <w:ilvl w:val="0"/>
          <w:numId w:val="4"/>
        </w:numPr>
      </w:pPr>
      <w:r>
        <w:t xml:space="preserve">dela in zaposlovanja na črno pri izvajalcih dejavnosti, ki so pod nadzorom inšpektorata.  </w:t>
      </w:r>
    </w:p>
    <w:p w14:paraId="3ACFA385" w14:textId="77777777" w:rsidR="0015786F" w:rsidRDefault="0015786F" w:rsidP="0015786F"/>
    <w:p w14:paraId="50DD0098" w14:textId="3AA08308" w:rsidR="0015786F" w:rsidRDefault="0015786F" w:rsidP="0015786F">
      <w:r>
        <w:t>V poročilu za leto 2023 so predstavljeni podatki o delu inšpektorata na posameznih področjih, o najpogostejši problematiki, upravnih ukrepih in prekrškovnih sankcijah oziroma ukrepih.</w:t>
      </w:r>
    </w:p>
    <w:p w14:paraId="496CA9F9" w14:textId="77777777" w:rsidR="0015786F" w:rsidRDefault="0015786F" w:rsidP="0015786F">
      <w:r>
        <w:t xml:space="preserve">Inšpektorji so leta 2023 skupaj na vseh področjih opravili 26.068 inšpekcijskih pregledov. Od tega je bilo na področjih, kjer je nadzor vključeval tudi vzorčenje, odvzeto 675 vzorcev različnih vrst proizvodov in materialov za laboratorijske analize. </w:t>
      </w:r>
    </w:p>
    <w:p w14:paraId="6A6DE32A" w14:textId="77777777" w:rsidR="0015786F" w:rsidRDefault="0015786F" w:rsidP="0015786F"/>
    <w:p w14:paraId="68C19EBB" w14:textId="4AC10872" w:rsidR="0015786F" w:rsidRDefault="0015786F" w:rsidP="0015786F">
      <w:r>
        <w:t>V letu 2023 je inšpektorat skupaj izrekel 4.837 ukrepov. V inšpekcijsko upravnih postopkih je bilo izrečeno 2.519 ukrepov, v prekrškovnih postopkih pa 2.318 ukrepov oziroma sankcij, od tega je bilo 51 odstotkov upravnih in 49 odstotkov prekrškovnih sankcij in ukrepov. Področja, na katerih je bilo izrečenih največ ukrepov, so bila: področje pacientovih pravic, področje nalezljivih bolezni, področje prehranskih dopolnil in področje pitne vode. Skupni znesek izrečenih glob je v letu 2023 znašal 729.276,16 evra. Drugih terjatev, kot so upravne takse in denarne kazni, je bilo izrečenih za 106.459,07 evra.</w:t>
      </w:r>
    </w:p>
    <w:p w14:paraId="66F34DA3" w14:textId="77777777" w:rsidR="0015786F" w:rsidRDefault="0015786F" w:rsidP="0015786F"/>
    <w:p w14:paraId="2C39FC59" w14:textId="1EF66106" w:rsidR="00561E75" w:rsidRDefault="0015786F" w:rsidP="0015786F">
      <w:r>
        <w:lastRenderedPageBreak/>
        <w:t>V poročilu za leto 2023 je podan tudi oris poteka drugih aktivnosti Zdravstvenega inšpektorata (na primer organiziranost, izobraževanje, obveščanje in sodelovanje), ki so bile ključnega pomena za izvedbo inšpekcijskega nadzora.</w:t>
      </w:r>
    </w:p>
    <w:p w14:paraId="5A385086" w14:textId="38C1AE5D" w:rsidR="0015786F" w:rsidRDefault="0015786F" w:rsidP="0015786F">
      <w:pPr>
        <w:pStyle w:val="Vir"/>
      </w:pPr>
      <w:r w:rsidRPr="0015786F">
        <w:t>Vir: Ministrstvo za zdravje</w:t>
      </w:r>
    </w:p>
    <w:p w14:paraId="2DBC9693" w14:textId="143B0D15" w:rsidR="00561E75" w:rsidRDefault="00561E75" w:rsidP="002611BA">
      <w:pPr>
        <w:pStyle w:val="Naslov2"/>
      </w:pPr>
      <w:r>
        <w:t xml:space="preserve">Letno poročilo Stanovanjskega sklada Republike Slovenije, za leto 2023 </w:t>
      </w:r>
    </w:p>
    <w:p w14:paraId="69069928" w14:textId="77777777" w:rsidR="002611BA" w:rsidRDefault="002611BA" w:rsidP="002611BA">
      <w:r>
        <w:t xml:space="preserve">Vlada je sprejela Letno poročilo Stanovanjskega sklada Republike Slovenije, javnega sklada, za leto 2023 z revizorjevim poročilom.  </w:t>
      </w:r>
    </w:p>
    <w:p w14:paraId="3D2E898B" w14:textId="77777777" w:rsidR="002611BA" w:rsidRDefault="002611BA" w:rsidP="002611BA"/>
    <w:p w14:paraId="3D5F768F" w14:textId="5CB64338" w:rsidR="002611BA" w:rsidRDefault="002611BA" w:rsidP="002611BA">
      <w:r>
        <w:t xml:space="preserve">V letu 2023 je bil realiziran presežek odhodkov nad prihodki v višini 2.553.518 </w:t>
      </w:r>
      <w:r w:rsidR="007B6E04">
        <w:t>evrov</w:t>
      </w:r>
      <w:r>
        <w:t xml:space="preserve">. </w:t>
      </w:r>
    </w:p>
    <w:p w14:paraId="1254165B" w14:textId="77777777" w:rsidR="002611BA" w:rsidRDefault="002611BA" w:rsidP="002611BA"/>
    <w:p w14:paraId="3EEA62B2" w14:textId="76DA37B2" w:rsidR="002611BA" w:rsidRDefault="002611BA" w:rsidP="002611BA">
      <w:r>
        <w:t>Z upoštevanjem računa finančnih terjatev in naložb ter računa financiranja je realizirano povečanje sredstev na računih v višini 3.405.640 evrov kot rezultat poslovanja z lastnim premoženjem v letu 2023. Rezultat vpliva na povečanje sklada namenskega premoženja, ki se je povečal iz 414.106.023 evrov na 449.051.744 evrov. Največji vpliv na spremembo je prejeta dokapitalizacija v višini 25,5 milijona evrov. Rezervni sklad je na stanje 31. 12. 2023 znašal 2.076.053 evrov. V primerjavi s stanjem konec leta 2022 se je rezervni sklad povečal za 21 odstotkov. Največji vpliv je zaradi povečanja potrebnih sredstev za rezervacije iz naslova kreditnih tveganj posojilojemalcev. Na spremembe višine rezervnega sklada vplivajo gibanja zaradi povečanja sredstev rezervnega sklada in zmanjšanja zaradi vzdrževanja stanovanjskih stavb, za katera so se porabila sredstva, črpana iz zbranega rezervnega sklada.</w:t>
      </w:r>
    </w:p>
    <w:p w14:paraId="65BE28AF" w14:textId="656D3EC6" w:rsidR="002611BA" w:rsidRDefault="002611BA" w:rsidP="002611BA">
      <w:pPr>
        <w:pStyle w:val="Vir"/>
      </w:pPr>
      <w:r>
        <w:t>Vir: Ministrstvo za solidarno prihodnost</w:t>
      </w:r>
    </w:p>
    <w:p w14:paraId="06BC8B71" w14:textId="65A18B3C" w:rsidR="003E5F70" w:rsidRDefault="003E5F70" w:rsidP="003E5F70">
      <w:pPr>
        <w:pStyle w:val="Naslov2"/>
      </w:pPr>
      <w:r>
        <w:t>Vlada sprejela poročilo proračunske inšpekcije</w:t>
      </w:r>
    </w:p>
    <w:p w14:paraId="0A20A62C" w14:textId="77777777" w:rsidR="003E5F70" w:rsidRDefault="003E5F70" w:rsidP="003E5F70">
      <w:r>
        <w:t>Vlada je danes sprejela poročilo o opravljenih postopkih inšpekcijskega nadzora nad porabo sredstev državnega proračuna v obdobju od 1. julija do 31. decembra 2023.</w:t>
      </w:r>
    </w:p>
    <w:p w14:paraId="21938AED" w14:textId="77777777" w:rsidR="003E5F70" w:rsidRDefault="003E5F70" w:rsidP="003E5F70"/>
    <w:p w14:paraId="34456EA1" w14:textId="77777777" w:rsidR="003E5F70" w:rsidRDefault="003E5F70" w:rsidP="003E5F70">
      <w:r>
        <w:t xml:space="preserve">Omenjeni nadzor izvaja Urad Republike Slovenije za nadzor proračuna kot organ v sestavi Ministrstva za finance, ministrstvo pa o opravljenih nadzorih, ugotovitvah in odločitvah polletno obvešča vlado. </w:t>
      </w:r>
    </w:p>
    <w:p w14:paraId="66B1E9BB" w14:textId="77777777" w:rsidR="003E5F70" w:rsidRDefault="003E5F70" w:rsidP="003E5F70"/>
    <w:p w14:paraId="5260A391" w14:textId="77777777" w:rsidR="003E5F70" w:rsidRDefault="003E5F70" w:rsidP="003E5F70">
      <w:r>
        <w:t xml:space="preserve">V obdobju od 1. julija do 31. decembra 2023 je proračunska inšpekcija izvajala 28 inšpekcijskih nadzorov, od tega 26 rednih, enega na podlagi prijave in enega na podlagi predloga Komisije za nadzor javnih financ. 19 nadzorov je opravila pri neposrednih proračunskih uporabnikih, devet pa pri posrednih proračunskih uporabnikih. </w:t>
      </w:r>
    </w:p>
    <w:p w14:paraId="606FDC72" w14:textId="77777777" w:rsidR="003E5F70" w:rsidRDefault="003E5F70" w:rsidP="003E5F70"/>
    <w:p w14:paraId="303FD2FC" w14:textId="3E68FB66" w:rsidR="00561E75" w:rsidRDefault="003E5F70" w:rsidP="003E5F70">
      <w:r>
        <w:t>V 28 nadzorih so bile nepravilnosti in pomanjkljivosti ugotovljene pri 12 proračunskih uporabnikih oziroma v 43 odstotkih vseh izvajanih nadzorih, od tega pri 11 neposrednih uporabnikih in pri enem posrednem uporabniku. Pri tem je bilo skupaj ugotovljenih 18 primerov nepravilnosti in pomanjkljivosti, za njihovo odpravo pa je proračunska inšpekcija podala 21 predlogov ukrepov, na primer za določitev pravil za zagotovitev gospodarnosti pri porabi sredstev in vzpostavitev oziroma izboljšanje notranjih kontrol poslovanja.</w:t>
      </w:r>
    </w:p>
    <w:p w14:paraId="5D83D590" w14:textId="06566202" w:rsidR="003E5F70" w:rsidRDefault="003E5F70" w:rsidP="003E5F70">
      <w:pPr>
        <w:pStyle w:val="Vir"/>
      </w:pPr>
      <w:r w:rsidRPr="003E5F70">
        <w:t>Vir: Ministrstvo za finance</w:t>
      </w:r>
    </w:p>
    <w:p w14:paraId="0192271B" w14:textId="617CE2C6" w:rsidR="00530553" w:rsidRDefault="00530553" w:rsidP="00530553">
      <w:pPr>
        <w:pStyle w:val="Naslov2"/>
      </w:pPr>
      <w:r>
        <w:t>Vlada sprejela predlog stališča Republike Slovenije k predlagani evropski direktivi o boju proti spolni zlorabi in spolnemu izkoriščanju otrok ter gradiv spolne zlorabe otrok</w:t>
      </w:r>
    </w:p>
    <w:p w14:paraId="282CA308" w14:textId="77777777" w:rsidR="00530553" w:rsidRDefault="00530553" w:rsidP="00530553">
      <w:r>
        <w:lastRenderedPageBreak/>
        <w:t>Vlada Republike Slovenije je sprejela predlog stališča Republike Slovenije k Predlogu direktive Evropskega parlamenta in Sveta o boju proti spolni zlorabi in spolnemu izkoriščanju otrok ter gradivu spolne zlorabe otrok in ga v odločanje pošilja Državnemu zboru.</w:t>
      </w:r>
    </w:p>
    <w:p w14:paraId="537729AB" w14:textId="77777777" w:rsidR="00530553" w:rsidRDefault="00530553" w:rsidP="00530553"/>
    <w:p w14:paraId="1D867511" w14:textId="77777777" w:rsidR="00530553" w:rsidRDefault="00530553" w:rsidP="00530553">
      <w:r>
        <w:t xml:space="preserve">Predlagana direktiva predstavlja enega ključnih dokumentov EU s tega področja, ki je bil napovedan že s Strategijo EU za učinkovitejši boj proti spolni zlorabi otrok iz leta 2020. </w:t>
      </w:r>
    </w:p>
    <w:p w14:paraId="4A45CEE3" w14:textId="77777777" w:rsidR="00530553" w:rsidRDefault="00530553" w:rsidP="00530553">
      <w:r>
        <w:t>Republika Slovenija podpira cilje in namen predloga direktive, ki vzpostavlja evropski pravni okvir za inkriminacijo vseh oblik spolne zlorabe in spolnega izkoriščanja otrok, vključno z zlorabami, ki so posledica tehnološkega razvoja.</w:t>
      </w:r>
    </w:p>
    <w:p w14:paraId="731EBFC4" w14:textId="77777777" w:rsidR="00530553" w:rsidRDefault="00530553" w:rsidP="00530553">
      <w:r>
        <w:t xml:space="preserve">Veljavna ureditev je bila sprejeta pred več kot desetletjem in je postala zastarela. Predlagana direktiva zato posodablja obstoječi kazenskopravni okvir. Naslavlja uporabo novih tehnologij, saj je njihova uporaba pri teh kaznivih dejanjih izrazito narasla in se med drugim osredotoča na nejasnosti in dvoumnosti v obstoječi ureditvi, ki vodijo do različnega tolmačenja po državah. </w:t>
      </w:r>
    </w:p>
    <w:p w14:paraId="7DAFB238" w14:textId="77777777" w:rsidR="00530553" w:rsidRDefault="00530553" w:rsidP="00530553"/>
    <w:p w14:paraId="5854FD76" w14:textId="77777777" w:rsidR="00530553" w:rsidRDefault="00530553" w:rsidP="00530553">
      <w:r>
        <w:t>Vlada v predlaganem stališču Republike Slovenije pojasnjuje spremembe, ki jih prinaša predlagana direktiva, in napoveduje, za kakšne rešitve si bo prizadevala v procesu njenega sprejemanja.</w:t>
      </w:r>
    </w:p>
    <w:p w14:paraId="2AA298CA" w14:textId="4F8C8018" w:rsidR="00561E75" w:rsidRDefault="00530553" w:rsidP="00530553">
      <w:pPr>
        <w:pStyle w:val="Vir"/>
      </w:pPr>
      <w:r>
        <w:t>Vir: Ministrstvo za pravosodje</w:t>
      </w:r>
    </w:p>
    <w:p w14:paraId="6B9D2439" w14:textId="22C189A9" w:rsidR="00732458" w:rsidRDefault="00732458" w:rsidP="00732458">
      <w:pPr>
        <w:pStyle w:val="Naslov2"/>
      </w:pPr>
      <w:r>
        <w:t>Stališče Slovenije k Smernicam za tesnejše sodelovanje med državami članicami EU v zadevah, povezanih z gozdovi - Skupina za gozdove +</w:t>
      </w:r>
    </w:p>
    <w:p w14:paraId="31701809" w14:textId="77777777" w:rsidR="008726BE" w:rsidRDefault="008726BE" w:rsidP="008726BE">
      <w:r>
        <w:t xml:space="preserve">Vlada je sprejela stališče k Smernicam za tesnejše sodelovanje med državami članicami EU v zadevah, povezanih z gozdovi - Skupina za gozdove +. Slovenija podpira vzpostavitev delovanja razširjenega partnerstva s Skupino za gozdove (ang. For Forest Group) pod imenom Skupina za gozdove + (ang. For Forest Group +). </w:t>
      </w:r>
    </w:p>
    <w:p w14:paraId="1C6D0390" w14:textId="77777777" w:rsidR="008726BE" w:rsidRDefault="008726BE" w:rsidP="008726BE"/>
    <w:p w14:paraId="3456CD10" w14:textId="66AD2B8F" w:rsidR="008726BE" w:rsidRDefault="008726BE" w:rsidP="008726BE">
      <w:r>
        <w:t xml:space="preserve">Ministri, pristojni za gozdarstvo Avstrije, Finske, Slovenije in Švedske, so 17. oktobra 2022 v Luksemburgu podpisali Smernice in načela za tesnejše sodelovanje pri gozdarskih zadevah v Evropski uniji. S tem je bila uradno oblikovana Skupina za gozdove (ang. For Forest Group). Ključni cilji Skupine za gozdove so vzpostavitev neformalnega dialoga za pripravo skupnih stališč, izmenjava znanja in poznavanja okoliščin ozadij delovanja Evropske komisije ter zagotovitev medsebojne podpore v zvezi z odločanjem na ravni EU o temah, povezanih z gozdovi. Partnerstvo se zavzema za celostni pristop k trajnostnemu gospodarjenju z gozdovi, pri katerem so vse funkcije gozdov (ekonomske, okoljske in socialne) obravnavane enakovredno.  Pristop partnerstva je skladen z načinom upravljanja z gozdovi v Sloveniji, kjer z gozdovi upravljamo večnamensko. </w:t>
      </w:r>
    </w:p>
    <w:p w14:paraId="1A0DB97E" w14:textId="77777777" w:rsidR="008726BE" w:rsidRDefault="008726BE" w:rsidP="008726BE"/>
    <w:p w14:paraId="4FA1865A" w14:textId="1D2E7365" w:rsidR="008726BE" w:rsidRDefault="008726BE" w:rsidP="008726BE">
      <w:r>
        <w:t>Skupina pri svojem delovanju ni bila strogo omejena na omenjene štiri države. Z namenom možnosti okrepitve sodelovanja z drugimi državami je zato Skupina za gozdove oblikovala smernice delovanja razširjenega partnerstva pod imenom Skupina za gozdove + (ang. For Forest Group +). Skupini se zdaj lahko pridružijo tudi druge države, s čimer se še bolj krepi mednarodno sodelovanje v gozdarskem sektorju in okrepi komunikacija z Evropsko komisijo kot glavnim izvršilnim organom Evropske unije, s čimer se povečajo možnosti za upoštevanje naših stališč.</w:t>
      </w:r>
    </w:p>
    <w:p w14:paraId="4A60ACB8" w14:textId="02AC018B" w:rsidR="00561E75" w:rsidRDefault="00732458" w:rsidP="00732458">
      <w:pPr>
        <w:pStyle w:val="Vir"/>
      </w:pPr>
      <w:r>
        <w:t>Vir: Ministrstvo za kmetijstvo, gozdarstvo in prehrano</w:t>
      </w:r>
    </w:p>
    <w:p w14:paraId="4851E64D" w14:textId="10B89460" w:rsidR="000E30F4" w:rsidRDefault="000E30F4" w:rsidP="000E30F4">
      <w:pPr>
        <w:pStyle w:val="Naslov2"/>
      </w:pPr>
      <w:r>
        <w:t xml:space="preserve">Stališče k predlogu sklepa Sveta o stališču, ki se v imenu Evropske unije zastopa v odboru za pristop v Mednarodnem svetu za sladkor glede pogojev za pristop Kuvajta k Mednarodnemu sporazumu o sladkorju iz leta 1992 </w:t>
      </w:r>
    </w:p>
    <w:p w14:paraId="6D620CE0" w14:textId="77777777" w:rsidR="000E30F4" w:rsidRDefault="000E30F4" w:rsidP="000E30F4">
      <w:r>
        <w:lastRenderedPageBreak/>
        <w:t xml:space="preserve">Vlada je sprejela stališče Republike Slovenije k zadevi Predlogu sklepa Sveta o stališču, ki se v imenu Evropske unije zastopa v odboru za pristop v Mednarodnem svetu za sladkor glede pogojev za pristop Kuvajta k Mednarodnemu sporazumu o sladkorju iz leta 1992. Slovenija predlog stališča podpira. </w:t>
      </w:r>
    </w:p>
    <w:p w14:paraId="112BE613" w14:textId="77777777" w:rsidR="000E30F4" w:rsidRDefault="000E30F4" w:rsidP="000E30F4"/>
    <w:p w14:paraId="6594DE5D" w14:textId="089682FD" w:rsidR="000E30F4" w:rsidRDefault="000E30F4" w:rsidP="000E30F4">
      <w:r>
        <w:t>Ta predlog se nanaša na sklep o določitvi stališča, ki naj se v imenu Unije zastopa v odboru za pristop v Mednarodnem svetu za sladkor v zvezi s predvidenim sprejetjem sklepa glede pogojev za pristop Kuvajta k Mednarodnemu sporazumu o sladkorju iz leta 1992.</w:t>
      </w:r>
    </w:p>
    <w:p w14:paraId="1B2392B1" w14:textId="77777777" w:rsidR="000E30F4" w:rsidRDefault="000E30F4" w:rsidP="000E30F4">
      <w:r>
        <w:t>Unija je s Sklepom Sveta 92/580/EGS1 sklenila Mednarodni sporazum o sladkorju iz leta 1992, ki je začel veljati 1. januarja 1993. Skladno s sporazumom lahko k Sporazumu pristopijo vlade vseh držav pod pogoji, ki jih določi Mednarodni svet za sladkor. Mednarodni svet za sladkor je na svojem prvem zasedanju leta 1993 ustanovil odbor za pristop kot podskupino, katerega naloga je preučiti prošnje za pristop držav, ki niso navedene v Prilogi k sporazumu. Unija je članica odbora za pristop. Vlada Kuvajta je uradno izrazila interes za pristop k Sporazumu. Kuvajt v Prilogi k Sporazumu ni naveden, kar pomeni, da je treba določiti pogoje za pristop. Odbor za pristop je zato pozvan, da z izmenjavo dopisov sprejme sklep o določitvi pogojev za pristop Kuvajta. Ti pogoji so število glasov, plačilo letnega prispevka in obveznosti poročanja Mednarodnemu svetu za sladkor.</w:t>
      </w:r>
    </w:p>
    <w:p w14:paraId="72ECFC43" w14:textId="77777777" w:rsidR="000E30F4" w:rsidRDefault="000E30F4" w:rsidP="000E30F4"/>
    <w:p w14:paraId="3EBF6246" w14:textId="4F1EFD6C" w:rsidR="000E30F4" w:rsidRDefault="000E30F4" w:rsidP="000E30F4">
      <w:r>
        <w:t xml:space="preserve">Unija je dejavna članica Mednarodnega sporazuma o sladkorju in podpira razširitev njegovega članstva. </w:t>
      </w:r>
    </w:p>
    <w:p w14:paraId="101AC643" w14:textId="4F29E654" w:rsidR="00561E75" w:rsidRDefault="000E30F4" w:rsidP="000E30F4">
      <w:pPr>
        <w:pStyle w:val="Vir"/>
      </w:pPr>
      <w:r>
        <w:t>Vir: Ministrstvo za kmetijstvo, gozdarstvo in prehrano</w:t>
      </w:r>
    </w:p>
    <w:p w14:paraId="542CCAB9" w14:textId="2FFE605D" w:rsidR="007F09C5" w:rsidRDefault="007F09C5" w:rsidP="007F09C5">
      <w:pPr>
        <w:pStyle w:val="Naslov2"/>
      </w:pPr>
      <w:r>
        <w:t>Vlada odločila o prispevku Slovenije v podporo mirovnim operacijam OZN</w:t>
      </w:r>
    </w:p>
    <w:p w14:paraId="5F5D42D6" w14:textId="77777777" w:rsidR="007F09C5" w:rsidRDefault="007F09C5" w:rsidP="007F09C5">
      <w:r>
        <w:t>Vlada Republike Slovenije se je na današnji seji odločila, da Republika Slovenija v podporo izvenproračunskih projektov v podporo mirovnim operacijam Organizacije združenih narodov za leto 2024 nameni prispevek v višini 25.000 evrov in za leto 2025 v višini 50.000 evrov. Vlada je naložila Ministrstvu za obrambo, da zagotovi finančna sredstva in izvede ustrezne postopke za realizacijo tega sklepa.</w:t>
      </w:r>
    </w:p>
    <w:p w14:paraId="17D9FB77" w14:textId="77777777" w:rsidR="007F09C5" w:rsidRDefault="007F09C5" w:rsidP="007F09C5"/>
    <w:p w14:paraId="2090B10A" w14:textId="77777777" w:rsidR="007F09C5" w:rsidRDefault="007F09C5" w:rsidP="007F09C5">
      <w:r>
        <w:t>Organizacija združenih narodov (OZN) si vseskozi prizadeva povečati svojo učinkovitost in kredibilnost. S tem namenom posodablja arhitekturo na področju miru, varnosti, razvoja ter jo aktivno prilagaja aktualnim potrebam na kriznih področjih. Generalni sekretar OZN je spomladi 2018 predstavil pobudo »Ukrepanje za mirovne operacije« (</w:t>
      </w:r>
      <w:proofErr w:type="spellStart"/>
      <w:r>
        <w:t>Action</w:t>
      </w:r>
      <w:proofErr w:type="spellEnd"/>
      <w:r>
        <w:t xml:space="preserve"> for </w:t>
      </w:r>
      <w:proofErr w:type="spellStart"/>
      <w:r>
        <w:t>Peacekeeping</w:t>
      </w:r>
      <w:proofErr w:type="spellEnd"/>
      <w:r>
        <w:t xml:space="preserve"> – A4P) in Deklaracijo o skupnih zavezah. K realizaciji je pozval vse partnerje in deležnike, ki delujejo na področju vzdrževanja miru pod okriljem OZN. Republika Slovenija je ena od 154 držav, ki so podprle omenjeno deklaracijo, podprli sta jo tudi organizaciji Nato in EU. </w:t>
      </w:r>
    </w:p>
    <w:p w14:paraId="69E497EF" w14:textId="77777777" w:rsidR="007F09C5" w:rsidRDefault="007F09C5" w:rsidP="007F09C5"/>
    <w:p w14:paraId="01A59AB9" w14:textId="77777777" w:rsidR="007F09C5" w:rsidRDefault="007F09C5" w:rsidP="007F09C5">
      <w:r>
        <w:t xml:space="preserve">Republika Slovenija je v zadnjih štirih letih (2021 – 2024), poleg prispevkov v redni proračun OZN ter prispevkov Slovenske vojske v proračune mirovnih operacij, iz sredstev Ministrstva za obrambo, prispevala 60.000 evrov za nadzor nad oborožitvijo in razoroževanjem ter 20.000 evrov v podporo projektu OZN s področja izboljšanja varnosti mirovnih sil. Slednji je bil prispevek Republike Slovenije na zaprosilo OZN in namenjen v okviru pobude A4P, kot enkratni prispevek. </w:t>
      </w:r>
    </w:p>
    <w:p w14:paraId="492D5817" w14:textId="77777777" w:rsidR="007F09C5" w:rsidRDefault="007F09C5" w:rsidP="007F09C5"/>
    <w:p w14:paraId="6B993CA0" w14:textId="77777777" w:rsidR="007F09C5" w:rsidRDefault="007F09C5" w:rsidP="007F09C5">
      <w:r>
        <w:t xml:space="preserve">Republika Slovenija je ponovno prejela zaprosilo OZN za financiranje izvenproračunskih projektov, ki so v skladu z zavezami A4P in so ključnega pomena za soočanje z aktualnimi izzivi mednarodnih operacij in misij (MOM) v okviru OZN ter njihovo modernizacijo in učinkovitejše delovanje na terenu. Republika Slovenija bo s prispevkom v sklad za izvenproračunske projekte OZN A4P okrepila svoj položaj in prepoznavnost kot nestalna članica Varnostnega sveta OZN v obdobju 2024-2025 ter zavezanost k izboljšanju pogojev za delovanje MOM. </w:t>
      </w:r>
    </w:p>
    <w:p w14:paraId="70B7BC5C" w14:textId="77777777" w:rsidR="007F09C5" w:rsidRDefault="007F09C5" w:rsidP="007F09C5"/>
    <w:p w14:paraId="53C20789" w14:textId="77777777" w:rsidR="007F09C5" w:rsidRDefault="007F09C5" w:rsidP="007F09C5">
      <w:r>
        <w:lastRenderedPageBreak/>
        <w:t xml:space="preserve">Republika Slovenija je do sedaj sodelovala v petih MOM pod okriljem OZN, in sicer v UNFICYP Ciper, UNMIK Kosovo, UNSMIS Sirija, UNTSO Bližnji vzhod in UNIFIL Libanon, zato je izboljšanje pogojev za MOM v okviru OZN tudi v njenem lastnem interesu. V širokem naboru projektov bo RS identificirala tiste, ki so skladni s splošnimi tematskimi prednostnimi področji delovanja Republike Slovenije kot nestalne članice Varnostnega sveta OZN. To so: preprečevanje konfliktov; zaščita prebivalstva v oboroženih spopadih; ženske mir in varnost ter podnebje, mir in varnost. </w:t>
      </w:r>
    </w:p>
    <w:p w14:paraId="55A8052F" w14:textId="77777777" w:rsidR="007F09C5" w:rsidRDefault="007F09C5" w:rsidP="007F09C5"/>
    <w:p w14:paraId="29DBC3ED" w14:textId="77777777" w:rsidR="007F09C5" w:rsidRDefault="007F09C5" w:rsidP="007F09C5">
      <w:r>
        <w:t>Sklep o finančnem prispevku upošteva zakonodajne in strateške dokumente ter aktualne prioritete Republike Slovenije na področju večstranskega sodelovanja, predvsem v luči nestalnega članstva Republike Slovenije v Varnostnem svetu OZN za obdobje 2024–2025 in predsedovanja Varnostnemu svetu OZN v septembru 2024.</w:t>
      </w:r>
    </w:p>
    <w:p w14:paraId="1E8574D6" w14:textId="79053580" w:rsidR="007F09C5" w:rsidRDefault="007F09C5" w:rsidP="007F09C5">
      <w:pPr>
        <w:pStyle w:val="Vir"/>
      </w:pPr>
      <w:r w:rsidRPr="007F09C5">
        <w:t>Vir: Ministrstvo za obrambo</w:t>
      </w:r>
    </w:p>
    <w:p w14:paraId="33614FD3" w14:textId="2F5308EE" w:rsidR="00775B05" w:rsidRDefault="00775B05" w:rsidP="00775B05">
      <w:pPr>
        <w:pStyle w:val="Naslov2"/>
      </w:pPr>
      <w:r>
        <w:t>Sprejeta odgovora glede postopka sporočanja kršitev po Izbirnem protokolu h Konvenciji o otrokovih pravicah glede postopka sporočanja kršitev</w:t>
      </w:r>
    </w:p>
    <w:p w14:paraId="01675067" w14:textId="77777777" w:rsidR="00775B05" w:rsidRDefault="00775B05" w:rsidP="00775B05">
      <w:r>
        <w:t xml:space="preserve">Vlada je sprejela odgovora na stranski intervenci tretjih strank, na prijavo v komunikacijskem postopku po  Izbirnem protokolu h Konvenciji o otrokovih pravicah glede postopka sporočanja kršitev. Stransko intervenco sta podala Varuh človekovih pravic Republike Slovenije in Mreža za spremljanje nasilja na meji (Border </w:t>
      </w:r>
      <w:proofErr w:type="spellStart"/>
      <w:r>
        <w:t>Violence</w:t>
      </w:r>
      <w:proofErr w:type="spellEnd"/>
      <w:r>
        <w:t xml:space="preserve"> Monitoring </w:t>
      </w:r>
      <w:proofErr w:type="spellStart"/>
      <w:r>
        <w:t>Network</w:t>
      </w:r>
      <w:proofErr w:type="spellEnd"/>
      <w:r>
        <w:t>), na prijavo, ki je bila podana junija 2022 in na katero je Vlada v postopku obravnave pred Odborom za človekove pravice, vsebinsko odgovorila že novembra 2023. Konkretni primer se nanaša na obravnavo mladoletnika brez spremstva, ki je bil vrnjen na Hrvaško, med pridržanjem in policijsko obravnavo pa mu ni bila nudena zaščita kot je predvidena za mladoletne osebe. Vlagatelj dokazuje, da so mu bile v postopku kratene pravice dostopa do pravne pomoči in prevajalca. Vloga naslavlja tudi vrnitev na Hrvaško na podlagi bilateralnega sporazuma o ponovnem sprejemu.</w:t>
      </w:r>
    </w:p>
    <w:p w14:paraId="1B5587CB" w14:textId="1656C2F4" w:rsidR="00561E75" w:rsidRDefault="00775B05" w:rsidP="00775B05">
      <w:pPr>
        <w:pStyle w:val="Vir"/>
      </w:pPr>
      <w:r>
        <w:t>Vir: Ministrstvo za delo, družino,socialne zadeve in enake možnosti</w:t>
      </w:r>
    </w:p>
    <w:p w14:paraId="49AAD7A1" w14:textId="0E922A14" w:rsidR="00B43481" w:rsidRDefault="00B43481" w:rsidP="00B43481">
      <w:pPr>
        <w:pStyle w:val="Naslov2"/>
      </w:pPr>
      <w:r>
        <w:t>Drugo periodično poročilo Republike Slovenije Mednarodni zvezi za spomin na holokavst</w:t>
      </w:r>
    </w:p>
    <w:p w14:paraId="56A17C41" w14:textId="77777777" w:rsidR="00B43481" w:rsidRDefault="00B43481" w:rsidP="00B43481">
      <w:r>
        <w:t>Vlada Republike Slovenije je sprejela drugo periodično poročilo Republike Slovenije Mednarodni zvezi za spomin na holokavst (IHRA) in zadolžila Ministrstvo za zunanje in evropske zadeve, da drugo periodično poročilo posreduje Mednarodni zvezi za spomin na holokavst (IHRA).</w:t>
      </w:r>
    </w:p>
    <w:p w14:paraId="0C28ACE6" w14:textId="77777777" w:rsidR="00B43481" w:rsidRDefault="00B43481" w:rsidP="00B43481"/>
    <w:p w14:paraId="0F7D9A85" w14:textId="77777777" w:rsidR="00B43481" w:rsidRDefault="00B43481" w:rsidP="00B43481">
      <w:r>
        <w:t xml:space="preserve">Poročilo se nanaša na izpolnjevanje zavez Republike Slovenije za izpolnjevanje Stockholmske deklaracije (iz leta 2000) ter IHRA Ministrske deklaracije (2020). Opisane so večletne aktivnosti pri izobraževanju, raziskovanju in spominjanju na holokavst, romski genocid in trpljenje drugih žrtev, tudi slovenskih,  iz obdobja med drugo svetovno vojno. Izpostavljeno je vsakoletno ozaveščanje in izobraževanje  vseh, predvsem pa mladih generacij skozi različne projekte (npr. Šoa-spominjajmo se, Festival strpnosti, program </w:t>
      </w:r>
      <w:proofErr w:type="spellStart"/>
      <w:r>
        <w:t>Krokus</w:t>
      </w:r>
      <w:proofErr w:type="spellEnd"/>
      <w:r>
        <w:t xml:space="preserve">) ter redno usposabljanje pedagoškega osebja. Opisano je raziskovanje teh tematik, akademski članki ter razstave kot tudi neoviran dostop do arhivov. </w:t>
      </w:r>
    </w:p>
    <w:p w14:paraId="609DA52D" w14:textId="77777777" w:rsidR="00B43481" w:rsidRDefault="00B43481" w:rsidP="00B43481"/>
    <w:p w14:paraId="1AD6866B" w14:textId="77777777" w:rsidR="00B43481" w:rsidRDefault="00B43481" w:rsidP="00B43481">
      <w:r>
        <w:t xml:space="preserve">Vprašanja in odgovori se nanašajo tudi na aktualne izzive pri soočanju s sovražnim govorom ter spodbujanja k nasilju, antisemitizmu, </w:t>
      </w:r>
      <w:proofErr w:type="spellStart"/>
      <w:r>
        <w:t>anticiganizmu</w:t>
      </w:r>
      <w:proofErr w:type="spellEnd"/>
      <w:r>
        <w:t xml:space="preserve"> oziroma diskriminaciji Romov.  Navedeni so pravni okviri za odzivanje Republike Slovenije na ta dejanja, in sicer Nacionalni program ukrepov za Rome za obdobje 2012-2030, novela Kazenskega zakonika (49. člen, nov tretji odstavek), delovanje Strateškega sveta za preprečevanje sovražnega  govora ter sprejem Strategije RS za boj proti antisemitizmu do leta 2033. </w:t>
      </w:r>
    </w:p>
    <w:p w14:paraId="32EF6CE5" w14:textId="77777777" w:rsidR="00B43481" w:rsidRDefault="00B43481" w:rsidP="00B43481"/>
    <w:p w14:paraId="2631659C" w14:textId="77777777" w:rsidR="00B43481" w:rsidRDefault="00B43481" w:rsidP="00B43481">
      <w:r>
        <w:t>Glede na to, da je del vizije IHRA tudi "Svet brez genocida", so opisana večletna prizadevanja Republike Slovenije za preprečevanje procesov, ki lahko vodijo v genocid ter prizadevanja pri rehabilitaciji in psihosocialni podpori  travmatiziranih preživelih v oboroženih konfliktih.</w:t>
      </w:r>
    </w:p>
    <w:p w14:paraId="545D967C" w14:textId="236D7E3C" w:rsidR="00B43481" w:rsidRDefault="00B43481" w:rsidP="00B43481">
      <w:pPr>
        <w:pStyle w:val="Vir"/>
      </w:pPr>
      <w:r>
        <w:t>Vir: Ministrstvo za zunanje in evropske zadeve</w:t>
      </w:r>
    </w:p>
    <w:p w14:paraId="4EB21D20" w14:textId="608BC29A" w:rsidR="008059C0" w:rsidRDefault="008059C0" w:rsidP="008059C0">
      <w:pPr>
        <w:pStyle w:val="Naslov2"/>
      </w:pPr>
      <w:r>
        <w:t>Mnenje k sklepom glede Strategije prilagajanja slovenskega čebelarstva na podnebne spremembe za obdobje 2023–2030</w:t>
      </w:r>
    </w:p>
    <w:p w14:paraId="7E43FA80" w14:textId="77777777" w:rsidR="008059C0" w:rsidRDefault="008059C0" w:rsidP="008059C0">
      <w:r>
        <w:t xml:space="preserve">Vlada je sprejela Mnenje k sklepom glede Strategije prilagajanja slovenskega čebelarstva na podnebne spremembe za obdobje 2023–2030 in ga pošlje Državnemu svetu Republike Slovenije.         </w:t>
      </w:r>
    </w:p>
    <w:p w14:paraId="10EDEA3A" w14:textId="77777777" w:rsidR="008059C0" w:rsidRDefault="008059C0" w:rsidP="008059C0"/>
    <w:p w14:paraId="123F71F0" w14:textId="6B5C32F2" w:rsidR="008059C0" w:rsidRDefault="008059C0" w:rsidP="008059C0">
      <w:r>
        <w:t xml:space="preserve">Vlada Republike Slovenije je 21. 3. 2024 prejela mnenje Državnega sveta k Strategiji prilagajanja slovenskega čebelarstva na podnebne spremembe za obdobje 2023–2030, ki so jih sprejeli na 15. seji z dne 20. 3. 2024. </w:t>
      </w:r>
    </w:p>
    <w:p w14:paraId="2702C6E0" w14:textId="77777777" w:rsidR="008059C0" w:rsidRDefault="008059C0" w:rsidP="008059C0"/>
    <w:p w14:paraId="30944C2E" w14:textId="2F5FBE4C" w:rsidR="008059C0" w:rsidRDefault="008059C0" w:rsidP="008059C0">
      <w:r>
        <w:t>V nadaljevanju vlada podaja mnenje k sklepom glede Strategije prilagajanja slovenskega čebelarstva na podnebne spremembe za obdobje 2023–2030.</w:t>
      </w:r>
    </w:p>
    <w:p w14:paraId="443B3B28" w14:textId="77777777" w:rsidR="008059C0" w:rsidRDefault="008059C0" w:rsidP="008059C0"/>
    <w:p w14:paraId="2F593B15" w14:textId="30F5FFFF" w:rsidR="008059C0" w:rsidRDefault="008059C0" w:rsidP="008059C0">
      <w:r>
        <w:t>Strategija prilagajanja slovenskega čebelarstva na podnebne spremembe za obdobje 2023–2030  je ena izmed prvih sektorskih strategij  prilagajanja na podnebne spremembe v kmetijstvu. Čebelarstvo je zaradi podnebnih sprememb čedalje bolj ogroženo, ne le z vidika produktivnosti (povečevanje brezpašnih obdobij, zmanjševanje pestrosti rastlin), temveč tudi z vidika pojavljanja novih oziroma čedalje pogostejših izbruhov bolezni in pojavljanja novih škodljivcev oziroma njihovega hitrejšega razmnoževanja. Podnebne projekcije za Slovenijo pa izpostavljajo tudi podaljšanje letne rastne dobe, kar bo imelo pozitiven vpliv na prehrano čebel in drugih opraševalcev.</w:t>
      </w:r>
    </w:p>
    <w:p w14:paraId="0D3C6E65" w14:textId="77777777" w:rsidR="008059C0" w:rsidRDefault="008059C0" w:rsidP="008059C0"/>
    <w:p w14:paraId="6263E365" w14:textId="77777777" w:rsidR="008059C0" w:rsidRDefault="008059C0" w:rsidP="008059C0">
      <w:r>
        <w:t>Z vidika čebelarstva je izredno pomembno tudi zgodnje obveščanje in napovedi, skratka preventiva, česar pa strategija čebelarstva žal ne obravnava. Dodatno pozornost bi bilo treba nameniti tudi sodelovanju z Upravo za varno hrano, veterinarstvo in varstvo rastlin na področju preprečevanja bolezni. Navedeni cilji v strategiji čebelarstva so splošni, brez navedenih kazalcev uspešnosti, zato jih je težko podrobneje komentirati in oceniti prispevek k njihovem doseganju. Ker bo poudarek finančne perspektive Evropske unije (EU) po letu 2027 na podnebnih spremembah še večji, je strategija čebelarstva zelo dobra osnova za oblikovanje ukrepov na področju čebelarstva za prihodnje obdobje. Vremenske ujme zmanjšujejo medenje in s tem hrano za medovite čebele in druge opraševalce.</w:t>
      </w:r>
    </w:p>
    <w:p w14:paraId="2D177734" w14:textId="77777777" w:rsidR="008059C0" w:rsidRDefault="008059C0" w:rsidP="008059C0"/>
    <w:p w14:paraId="7844D3BD" w14:textId="4B48A51C" w:rsidR="008059C0" w:rsidRDefault="008059C0" w:rsidP="008059C0">
      <w:r>
        <w:t>Strategija čebelarstva je skladna s Strateškim načrtom skupne kmetijske politike za obdobje 2023–2027 za Slovenijo (v nadaljnjem besedilu SN SKP 2023–2027). V okviru SN SKP 2023–2027 je za podporo čebelarjem namenjena sektorska ovojnica v višini cca. 1,3 milijona evrov letno, od tega 50 % sredstev Evropskega kmetijskega jamstvenega sklada in 50 % nacionalnih sredstev. Intervencije se izvajajo na podlagi nacionalnega predpisa - Uredbe o izvajanju intervencij v sektorju čebelarskih proizvodov iz SN SKP 2023–2027, in sicer preko oblikovanih šestih intervencij:</w:t>
      </w:r>
    </w:p>
    <w:p w14:paraId="037BEF4D" w14:textId="516E1E6D" w:rsidR="008059C0" w:rsidRDefault="008059C0" w:rsidP="008059C0">
      <w:pPr>
        <w:pStyle w:val="Odstavekseznama"/>
        <w:numPr>
          <w:ilvl w:val="0"/>
          <w:numId w:val="16"/>
        </w:numPr>
      </w:pPr>
      <w:r>
        <w:t xml:space="preserve">Prenos znanja v čebelarstvu, </w:t>
      </w:r>
    </w:p>
    <w:p w14:paraId="44981758" w14:textId="1DE0158A" w:rsidR="008059C0" w:rsidRDefault="008059C0" w:rsidP="008059C0">
      <w:pPr>
        <w:pStyle w:val="Odstavekseznama"/>
        <w:numPr>
          <w:ilvl w:val="0"/>
          <w:numId w:val="16"/>
        </w:numPr>
      </w:pPr>
      <w:r>
        <w:t xml:space="preserve">Podpora čebelarjem in čebelarskim društvom, </w:t>
      </w:r>
    </w:p>
    <w:p w14:paraId="19C4518E" w14:textId="4727CC4D" w:rsidR="008059C0" w:rsidRDefault="008059C0" w:rsidP="008059C0">
      <w:pPr>
        <w:pStyle w:val="Odstavekseznama"/>
        <w:numPr>
          <w:ilvl w:val="0"/>
          <w:numId w:val="16"/>
        </w:numPr>
      </w:pPr>
      <w:r>
        <w:t xml:space="preserve">Vzreja čebeljih matic, </w:t>
      </w:r>
    </w:p>
    <w:p w14:paraId="1B796C1C" w14:textId="11F7C838" w:rsidR="008059C0" w:rsidRDefault="008059C0" w:rsidP="008059C0">
      <w:pPr>
        <w:pStyle w:val="Odstavekseznama"/>
        <w:numPr>
          <w:ilvl w:val="0"/>
          <w:numId w:val="16"/>
        </w:numPr>
      </w:pPr>
      <w:r>
        <w:t xml:space="preserve">Raziskovalno delo na področju čebelarstva, </w:t>
      </w:r>
    </w:p>
    <w:p w14:paraId="1C353881" w14:textId="7B0BC030" w:rsidR="008059C0" w:rsidRDefault="008059C0" w:rsidP="008059C0">
      <w:pPr>
        <w:pStyle w:val="Odstavekseznama"/>
        <w:numPr>
          <w:ilvl w:val="0"/>
          <w:numId w:val="16"/>
        </w:numPr>
      </w:pPr>
      <w:r>
        <w:t xml:space="preserve">Promocija in raziskava trga sektorja čebelarstva in Kakovost in varnost čebeljih pridelkov </w:t>
      </w:r>
    </w:p>
    <w:p w14:paraId="40C56788" w14:textId="77777777" w:rsidR="008059C0" w:rsidRDefault="008059C0" w:rsidP="008059C0">
      <w:r>
        <w:lastRenderedPageBreak/>
        <w:t>Poleg sektorskih intervencij v čebelarstvu so čebelarji iz SN SKP 2023–2027 podprti še z intervencijami, kot so ekološko čebelarjenje in podpora za vzpostavitev gospodarstev mladih kmetov, medtem ko imajo LEADER, shema za podnebje in okolje (SOPO), kmetijsko okoljsko podnebna plačila (KOPOP) posreden vpliv na čebelarstvo.</w:t>
      </w:r>
    </w:p>
    <w:p w14:paraId="6F4DFE8A" w14:textId="77777777" w:rsidR="008059C0" w:rsidRDefault="008059C0" w:rsidP="008059C0"/>
    <w:p w14:paraId="7021AEDC" w14:textId="3A5DFB05" w:rsidR="008059C0" w:rsidRDefault="008059C0" w:rsidP="008059C0">
      <w:r>
        <w:t>Podporno okolje za izvajanje čebelarske dejavnosti in izvajanje ukrepov je vzpostavljeno tudi preko Javne službe svetovanja v čebelarstvu (JSSČ). Naloge JSSČ vključujejo svetovanje na področju tehnologije, ekonomike in varne hrane, pri izdelavi razvojnih načrtov čebelarstva in pri uveljavljanju ukrepov skupne kmetijske politike s področja čebelarstva, pri organizaciji in delovanju organizacij proizvajalcev ali skupin proizvajalcev ter pri pripravi predpisov s področja čebelarstva. Del svetovanja je tudi sodelovanje pri pripravi razvojnih programov v čebelarstvu, ozaveščanje mladine in širše javnosti o pomenu čebelarstva ter druge svetovalne naloge v čebelarstvu. Po letu 2025 pa bo v o okviru nalog JSSČ vključena tudi napoved medenja in opazovalno napovedovalna služba. Storitev svetovanja je za uporabnike brezplačna. Program JSSČ je skladen z dolgoročnima ciljema Resolucije o zaščiti kranjske čebele, sprejete  leta 2014: ohranitev pasemske čistosti kranjske čebele ter enakomerne in zadostne poseljenosti Slovenije s čebeljimi družinami. V letu 2024 je za izvajanje programa JSSČ namenjenih 712.742 evrov. Prenos znanja s področja čebelarstva v prakso v domačem in mednarodnem okolju izvaja Slovenska čebelarska akademija, ki deluje v okviru Kmetijskega inštituta Slovenije.</w:t>
      </w:r>
    </w:p>
    <w:p w14:paraId="573E21AF" w14:textId="77777777" w:rsidR="008059C0" w:rsidRDefault="008059C0" w:rsidP="008059C0">
      <w:r>
        <w:t xml:space="preserve">Kvalitetne prehranske pašne vire za čebele in druge (divje) opraševalce, razporejene preko celotne čebelarske sezone, je treba zagotoviti preko aktivnosti za povečanje virov medenja oziroma prisotnosti medovitih rastlin v prostoru, tako v gozdu kot v urbanih okoljih, saj se s tem zagotavljajo bolj enakomerno razporejeni viri za prehrano tako medonosni čebeli kot divjim opraševalcem, kot so čebele samotarke, čmrlji, muhe trepetavke in drugi divji opraševalci. V okviru SN SKP 2023–2027 se izvaja </w:t>
      </w:r>
      <w:proofErr w:type="spellStart"/>
      <w:r>
        <w:t>podintervencija</w:t>
      </w:r>
      <w:proofErr w:type="spellEnd"/>
      <w:r>
        <w:t xml:space="preserve"> sofinanciranja sadik medovitih rastlin, posajenih za čebelarjenje in ne za pridelavo rastlin, ki omogočajo čebelam nabiranje cvetnega prahu, medičine in mane. To so drevesa, grmovnice in trajnice, ki omogočajo ohranjanje biotske pestrosti, dober razvoj čebeljih družin in boljše izkoriščanje čebelje paše. Sodelovanje čebelarstva z ostalimi kmetijskimi panogami je dobro, vendar ne more potrditi, da se to tudi odraža preko indikatorjev o čistosti okolja, ker s temi podatki ne razpolaga. Opozarja pa, da povečevanje števila čebeljih družin (in njihove gostote), ki iščejo iste prehranske vire kot divji opraševalci, ne more prispevati k izboljšanju biotske raznovrstnosti. Potrebna je enakomerna in zadostna poseljenost s čebeljimi družinami po vsej Sloveniji, za kar v skladu z Resolucijo o zaščiti kranjske čebele zadostuje 150.000 čebeljih družin. </w:t>
      </w:r>
    </w:p>
    <w:p w14:paraId="6EE88692" w14:textId="77777777" w:rsidR="008059C0" w:rsidRDefault="008059C0" w:rsidP="008059C0"/>
    <w:p w14:paraId="059F28D8" w14:textId="4273C8BB" w:rsidR="008059C0" w:rsidRDefault="008059C0" w:rsidP="008059C0">
      <w:r>
        <w:t>Od opraševanja žuželk je vsaj deloma odvisnih približno 80 % kmetijskih in divjih rastlin. Medonosne čebele niso edine opraševalke rastlin, najmanj polovico opraševanja opravijo divji opraševalci. V Sloveniji poleg kranjske čebele živi še prek 500 vrst divjih čebel, kamor štejemo čmrlje in čebele samotarke, rastline pa oprašujejo tudi muhe trepetavke, metulji, nekateri hrošči. Za dolgoročno zagotavljanje zanesljivega opraševanja rastlin je treba izpostaviti vprašanje razdelitve omejenih naravnih pašnih virov med medonosnimi čebelami, katerih število v zadnjih letih narašča, in divjimi opraševalci, katerih populacije v zadnjih letih upadajo.</w:t>
      </w:r>
    </w:p>
    <w:p w14:paraId="5CF7B73C" w14:textId="77777777" w:rsidR="008059C0" w:rsidRDefault="008059C0" w:rsidP="008059C0"/>
    <w:p w14:paraId="45EE9A05" w14:textId="697F8AAB" w:rsidR="008059C0" w:rsidRDefault="008059C0" w:rsidP="008059C0">
      <w:r>
        <w:t xml:space="preserve">Vlada podpira čebelarstvo, saj se zaveda njegovega gospodarskega pomena. Čebelje pridelke (med, cvetni prah, vosek, propolis, matični mleček in čebelji strup) človek uporablja kot hrano in kot pomoč pri lajšanju zdravstvenih težav. Glede na rastlinsko pestrost naše države je slovenskim čebelarjem omogočeno pridobivanje različnih vrst medu. Čebelji pridelki so tudi pomembna surovina za pridobivanje nekaterih živilskih in drugih proizvodov. Poleg pomena čebel za uspešno kmetijsko proizvodnjo, ki zagotavlja preskrbo s hrano, je zelo pomembna tudi njihova vloga pri ohranjanju ekološkega ravnotežja in biotske raznovrstnosti v naravi. </w:t>
      </w:r>
    </w:p>
    <w:p w14:paraId="190B2F3A" w14:textId="77777777" w:rsidR="008059C0" w:rsidRDefault="008059C0" w:rsidP="008059C0"/>
    <w:p w14:paraId="6D978A74" w14:textId="263D4EF7" w:rsidR="008059C0" w:rsidRDefault="008059C0" w:rsidP="008059C0">
      <w:r>
        <w:t xml:space="preserve">V Sloveniji je s pridelkom medu zadoščeno le polovici domače porabe in stopnja samooskrbe z medom med leti precej niha. Za povečanje donosa medu ter večjo ekonomičnost in konkurenčnost sektorja čebelarstva je treba okrepiti naložbe v sodobnejše tehnologije ter </w:t>
      </w:r>
      <w:r>
        <w:lastRenderedPageBreak/>
        <w:t>pridobiti več znanja s pomočjo raziskav in ga prenašati v prakso. Čebelarstvo namreč omogoča zelena delovna mesta in nove priložnosti za sektor, kot sta na primer razvoj čebelarskega turizma ter razvoj čebelarskih izdelkov z dodano vrednostjo.</w:t>
      </w:r>
    </w:p>
    <w:p w14:paraId="47597A58" w14:textId="69A77FC5" w:rsidR="00561E75" w:rsidRDefault="008059C0" w:rsidP="008059C0">
      <w:pPr>
        <w:pStyle w:val="Vir"/>
      </w:pPr>
      <w:r>
        <w:t>Vir: Ministrstvo za kmetijstvo, gozdarstvo in prehrano</w:t>
      </w:r>
    </w:p>
    <w:p w14:paraId="12855E30" w14:textId="5BDAF282" w:rsidR="003155F9" w:rsidRDefault="003155F9" w:rsidP="003155F9">
      <w:pPr>
        <w:pStyle w:val="Naslov2"/>
      </w:pPr>
      <w:r>
        <w:t>Odgovor na sklepe Komisije Državnega sveta za kmetijstvo, gozdarstvo in prehrano glede problematike prodaje kmetijskih zemljišč in gozdov, predvsem v obmejnem pasu, državljanom EU, ki nimajo stalnega oziroma začasnega prebivališča v Sloveniji, in državljanom tretjih držav</w:t>
      </w:r>
    </w:p>
    <w:p w14:paraId="4A18B1FC" w14:textId="77777777" w:rsidR="003155F9" w:rsidRDefault="003155F9" w:rsidP="003155F9">
      <w:r>
        <w:t xml:space="preserve">Vlada je sprejela Odgovor na sklepe Komisije Državnega sveta za kmetijstvo, gozdarstvo in prehrano glede problematike prodaje kmetijskih zemljišč in gozdov, predvsem v obmejnem pasu, državljanom Evropske unije (EU), ki nimajo stalnega oziroma začasnega prebivališča v Sloveniji, in državljanom tretjih držav in ga pošlje Državnemu svetu.       </w:t>
      </w:r>
    </w:p>
    <w:p w14:paraId="3070FAF2" w14:textId="77777777" w:rsidR="003155F9" w:rsidRDefault="003155F9" w:rsidP="003155F9"/>
    <w:p w14:paraId="7957ED0D" w14:textId="77777777" w:rsidR="003155F9" w:rsidRDefault="003155F9" w:rsidP="003155F9">
      <w:r>
        <w:t>Mnenje Komisije Državnega sveta za kmetijstvo, gozdarstvo in prehrano glede problematike prodaje kmetijskih zemljišč in gozdov, predvsem v obmejnem pasu, državljanom EU, ki nimajo stalnega oziroma začasnega prebivališča v Sloveniji, in državljanom tretjih držav je Vlada prejela 23. 4. 2024</w:t>
      </w:r>
    </w:p>
    <w:p w14:paraId="3D2E1571" w14:textId="77777777" w:rsidR="003155F9" w:rsidRDefault="003155F9" w:rsidP="003155F9"/>
    <w:p w14:paraId="71243CC2" w14:textId="77777777" w:rsidR="003155F9" w:rsidRDefault="003155F9" w:rsidP="003155F9">
      <w:r>
        <w:t xml:space="preserve">Glede nakupa kmetijskih zemljišč s strani tujih državljanov vlada pojasnjuje, da morajo države članice EU pri pripravi zakonodajnih rešitev slediti razlagalnemu sporočilu Komisije o pridobivanju kmetijskih zemljišč in pravu EU, v katerem so podane smernice unije za regulacijo trgov kmetijskih zemljišč v skladu s pravom EU. Iz razlagalnega sporočila izhaja, da države članice EU lahko omejijo prodajo kmetijskih zemljišč, da bi ohranile kmetijske skupnosti in spodbujale trajnostno kmetijstvo. Pri tem morajo upoštevati pravo EU, zlasti načelo o prostem pretoku kapitala, ki je ena izmed temeljnih svoboščin iz pogodbe o delovanju EU. </w:t>
      </w:r>
    </w:p>
    <w:p w14:paraId="163BDE75" w14:textId="77777777" w:rsidR="003155F9" w:rsidRDefault="003155F9" w:rsidP="003155F9"/>
    <w:p w14:paraId="11D1EB46" w14:textId="77777777" w:rsidR="003155F9" w:rsidRDefault="003155F9" w:rsidP="003155F9">
      <w:r>
        <w:t>V razlagalnem sporočilu so podane usmeritve, ki jih države članice lahko uporabijo za regulacijo trga kmetijskih zemljišč. Usmeritve temeljijo na sodni praksi Sodišča EU, ki v sodbah povzema Akt o pogojih pristopa Češke republike, Republike Estonije, Republike Cipra, Republike Latvije, Republike Litve, Republike Madžarske, Republike Malte, Republike Poljske, Republike Slovenije in Slovaške republike in prilagoditvah Pogodb, na katerih temelji Evropska unija (UL L št. 236 z dne 23. 9. 2003, str. 346), ki določa, » da se državljani držav članic EU ali pravne osebe, ki so ustanovljene v skladu z zakonodajo drugih držav članic, glede pridobitve kmetijskih zemljišč ne smejo obravnavati manj ugodno kot na dan podpisa Pristopne pogodbe«. Sodišče zavzema stališče, da je vsak nacionalni ukrep, ki omejuje prost pretok kapitala, mogoče dopustiti samo, če je utemeljen z nujnimi razlogi v splošnem interesu in če se z njim spoštuje načelo sorazmernosti, kar zahteva, da je primeren za uresničitev legitimnega želenega cilja in ne presega tega, kar je nujno za njegovo uresničitev. Nacionalna ureditev za uresničevanje cilja, na katerega se sklicuje, je primerna le, če resnično odraža namen doslednega in sistematičnega doseganja tega cilja (sodba Komisija proti Portugalski, zadeva C-543/08; sodba SEGRO, zadeva C-52/16; sodba Horvath, zadeva C-113/16; sodba Komisija proti Madžarski, zadeva C-235/17).</w:t>
      </w:r>
    </w:p>
    <w:p w14:paraId="3D3B9BD2" w14:textId="77777777" w:rsidR="003155F9" w:rsidRDefault="003155F9" w:rsidP="003155F9"/>
    <w:p w14:paraId="32D59464" w14:textId="77777777" w:rsidR="003155F9" w:rsidRDefault="003155F9" w:rsidP="003155F9">
      <w:r>
        <w:t xml:space="preserve">Državljani držav članic EU, Organizacije za gospodarsko sodelovanje in razvoj (v angleščini </w:t>
      </w:r>
      <w:proofErr w:type="spellStart"/>
      <w:r>
        <w:t>Organisation</w:t>
      </w:r>
      <w:proofErr w:type="spellEnd"/>
      <w:r>
        <w:t xml:space="preserve"> for Economic </w:t>
      </w:r>
      <w:proofErr w:type="spellStart"/>
      <w:r>
        <w:t>Co</w:t>
      </w:r>
      <w:proofErr w:type="spellEnd"/>
      <w:r>
        <w:t>-</w:t>
      </w:r>
      <w:proofErr w:type="spellStart"/>
      <w:r>
        <w:t>operation</w:t>
      </w:r>
      <w:proofErr w:type="spellEnd"/>
      <w:r>
        <w:t xml:space="preserve"> and </w:t>
      </w:r>
      <w:proofErr w:type="spellStart"/>
      <w:r>
        <w:t>Development</w:t>
      </w:r>
      <w:proofErr w:type="spellEnd"/>
      <w:r>
        <w:t xml:space="preserve"> OECD) in Evropskega združenja za prosto trgovino (v angleščini </w:t>
      </w:r>
      <w:proofErr w:type="spellStart"/>
      <w:r>
        <w:t>European</w:t>
      </w:r>
      <w:proofErr w:type="spellEnd"/>
      <w:r>
        <w:t xml:space="preserve"> Free Trade </w:t>
      </w:r>
      <w:proofErr w:type="spellStart"/>
      <w:r>
        <w:t>Association</w:t>
      </w:r>
      <w:proofErr w:type="spellEnd"/>
      <w:r>
        <w:t xml:space="preserve"> EFTA) pridobivajo lastninsko pravico na nepremičninah v Republiki Sloveniji na podlagi mednarodnih pogodb oziroma pristopnih pogodb k EU), v katerih ni predviden dodatni pogoj obstoja vzajemnosti. Državljani držav članic EU, OECD in EFTA so pri pridobivanju nepremičnin (tudi kmetijskih zemljišč) izenačeni s državljani Republike Slovenije, kar pomeni, da na ozemlju Republike Slovenije pridobivajo lastninsko pravico na podlagi vseh pravnih temeljev in pod enakimi pogoji, kot </w:t>
      </w:r>
      <w:r>
        <w:lastRenderedPageBreak/>
        <w:t>veljajo za državljane Republike Slovenije, ter brez posebnih omejitev, ki bi veljale samo za tujce.</w:t>
      </w:r>
    </w:p>
    <w:p w14:paraId="46AA96A5" w14:textId="77777777" w:rsidR="003155F9" w:rsidRDefault="003155F9" w:rsidP="003155F9"/>
    <w:p w14:paraId="19621B60" w14:textId="77777777" w:rsidR="003155F9" w:rsidRDefault="003155F9" w:rsidP="003155F9">
      <w:r>
        <w:t xml:space="preserve">Vlada se zaveda pomena zaščite kmetijskih zemljišč in gozdov v Sloveniji in bo pri pripravi predpisov s področja prometa s kmetijskimi zemljišči in gozdovi iskala rešitve, ki bodo skladne s slovenskim pravnim redom in pravnim redom EU. V nasprotnem primeru lahko Evropska komisija proti državi članici zaradi nespoštovanja pravnega reda EU sproži postopek za ugotavljanja kršitev, ki lahko privede tudi do finančnih kazni. Pri pripravi predpisov s področja prometa s kmetijskimi zemljišči in gozdovi bo sledila tudi razlagalnemu sporočilu. Razlagalno sporočilo namreč naslavlja številne usmeritve, med drugim usmeritve glede predhodne odobritve prenosa kmetijskega zemljišča, predkupne pravice (pravica do prve zavrnitve) v korist kmetov, nadzora cen, obveznosti, obdelovanja zemljišča s strani pridobitelja, kvalifikacije pri kmetovanju, zahtev glede prebivališča, prepovedi prodaje pravnim osebam ter omejitev v zvezi s pridobitvami. </w:t>
      </w:r>
    </w:p>
    <w:p w14:paraId="6C9FF67B" w14:textId="63C0E6C6" w:rsidR="00561E75" w:rsidRDefault="003155F9" w:rsidP="003155F9">
      <w:pPr>
        <w:pStyle w:val="Vir"/>
      </w:pPr>
      <w:r>
        <w:t>Vir: Ministrstvo za kmetijstvo, gozdarstvo in prehrano</w:t>
      </w:r>
    </w:p>
    <w:p w14:paraId="39628365" w14:textId="18E05CAB" w:rsidR="005F1092" w:rsidRDefault="005F1092" w:rsidP="005F1092">
      <w:pPr>
        <w:pStyle w:val="Naslov2"/>
      </w:pPr>
      <w:r>
        <w:t>O</w:t>
      </w:r>
      <w:r w:rsidRPr="005F1092">
        <w:t>dgovor na poslansko vprašanje Anje Bah Žibert v zvezi s pripravljenostjo Republike Slovenije na kibernetske napade</w:t>
      </w:r>
    </w:p>
    <w:p w14:paraId="473E6AAA" w14:textId="77777777" w:rsidR="005F1092" w:rsidRDefault="005F1092" w:rsidP="005F1092">
      <w:r>
        <w:t>Vlada je sprejela odgovor na poslansko vprašanje Anje Bah Žibert v zvezi s pripravljenostjo Republike Slovenije na kibernetske napade. V Republiki Sloveniji imamo vzpostavljen sistem informacijske in kibernetske varnosti, ki zajema tako pravne kot organizacijske vidike in nudi temelj zagotavljanja informacijske in kibernetske varnosti. Republika Slovenije ima tako vzpostavljene sistemske rešitve za ustrezno reagiranje v primeru kibernetskih incidentov. Področje je zelo spreminjajoče, tako da je smiselno in potrebno ostati pozoren na dogajanje tako v mednarodnem, kakor tudi nacionalnem kibernetskem prostoru, ter temu ustrezno prilagajati tudi nacionalne rešitve in postopke, ki bodo omogočali kar najboljšo odpornost in odzivnost tudi v primeru kibernetskega napada.</w:t>
      </w:r>
    </w:p>
    <w:p w14:paraId="02F0C582" w14:textId="77777777" w:rsidR="005F1092" w:rsidRDefault="005F1092" w:rsidP="005F1092"/>
    <w:p w14:paraId="69D5CD43" w14:textId="77777777" w:rsidR="005F1092" w:rsidRDefault="005F1092" w:rsidP="005F1092">
      <w:r>
        <w:t xml:space="preserve">V Sloveniji imamo za podporo zavezancem po Zakonu o informacijski varnosti, pri katerem se zgodi kibernetski incident, na voljo nacionalni odzivni center za kibernetske incidente SI-CERT, kakor tudi ločen odzivni center za državne organe SIGOV-CERT. Oba v celoti financira Urad Vlade Republike Slovenije za informacijsko varnost (URSIV). Oba zavezancem nudita metodološko podporo, pomoč in sodelovanje pri priglasitvi kibernetskega incidenta. Za usklajeno poročanje in obravnavno kibernetskih incidentov je bil na nacionalni ravni sprejet tudi Nacionalni načrt odzivanja na kibernetske incidente oz. NOKI. </w:t>
      </w:r>
    </w:p>
    <w:p w14:paraId="2EE1C71D" w14:textId="77777777" w:rsidR="005F1092" w:rsidRDefault="005F1092" w:rsidP="005F1092"/>
    <w:p w14:paraId="26A07EE0" w14:textId="77777777" w:rsidR="005F1092" w:rsidRDefault="005F1092" w:rsidP="005F1092">
      <w:r>
        <w:t>Poleg koordinacije na operativni ravni, ki poteka prek Koordinacijske skupine za kibernetsko varnost, ki jo je vzpostavil URSIV, se o aktivnostih in grožnjah s področja kibernetske varnosti tedensko seznanja oziroma jih obravnava operativna skupina Sekretariata Sveta za nacionalno varnost (OSSNAV) in na svojih sejah tudi Svet za nacionalno varnost (SNAV). Kibernetsko varnost v Republiki Sloveniji okvirja Strategija kibernetske varnosti, ki poudarja pomen vzpostavitve celovitega sistema zagotavljanja kibernetske varnosti kot pomembnega dejavnika varnosti države, ki bo prispeval k zagotovitvi odprtega, varnega in varovanega kibernetskega prostora ter bo podlaga za nemoteno delovanje infrastrukture, pomembne za delovanje državnih organov, gospodarstva in za življenje vsakega posameznika.</w:t>
      </w:r>
    </w:p>
    <w:p w14:paraId="1158F29C" w14:textId="77777777" w:rsidR="005F1092" w:rsidRDefault="005F1092" w:rsidP="005F1092"/>
    <w:p w14:paraId="1C5FFD53" w14:textId="77777777" w:rsidR="005F1092" w:rsidRDefault="005F1092" w:rsidP="005F1092">
      <w:r>
        <w:t>Urad preko letnih poročil poroča Odboru Državnega zbora za obrambo, hkrati pa na svojih spletnih straneh na polletni ravni objavlja poročila o aktualnem dogajanju v slovenskem kibernetskem prostoru. Zavezanci, ki so pomembni sestavni del ekosistema informacijske in kibernetske varnosti v Republiki Sloveniji morajo poleg zahtev zakona upoštevati tudi podzakonske akte (Uredba o varnostni dokumentaciji in minimalnih varnostnih ukrepih povezanih subjektov, Uredba o varnostni dokumentaciji</w:t>
      </w:r>
    </w:p>
    <w:p w14:paraId="29862AE7" w14:textId="77777777" w:rsidR="005F1092" w:rsidRDefault="005F1092" w:rsidP="005F1092">
      <w:r>
        <w:lastRenderedPageBreak/>
        <w:t>in ukrepih organov državne uprave, Uredba o varnostni dokumentaciji in varnostnih ukrepih izvajalcev bistvenih storitev).</w:t>
      </w:r>
    </w:p>
    <w:p w14:paraId="08CAD4AA" w14:textId="77777777" w:rsidR="005F1092" w:rsidRDefault="005F1092" w:rsidP="005F1092"/>
    <w:p w14:paraId="684D4636" w14:textId="77777777" w:rsidR="005F1092" w:rsidRDefault="005F1092" w:rsidP="005F1092">
      <w:r>
        <w:t xml:space="preserve">Poleg rednih aktivnosti subjektov kibernetske varnosti je vlada zagotovila dodatna sredstva in kadre za delovanje Urada vključno s SIGOV-CERT in SI-CERT. V pripravi je sprejem ukrepov za dvig odpornosti informacijsko-komunikacijskih sistemov državnih organov s poudarkom na porazdeljenem napadu onemogočanja (v nadaljevanju </w:t>
      </w:r>
      <w:proofErr w:type="spellStart"/>
      <w:r>
        <w:t>DDoS</w:t>
      </w:r>
      <w:proofErr w:type="spellEnd"/>
      <w:r>
        <w:t>). Izvajalce bistvenih storitev, ponudnike digitalnih storitev in organe državne uprave se redno obvešča o zaznanih grožnjah in se za nanje izvajajo tudi usposabljanja in vaje.</w:t>
      </w:r>
    </w:p>
    <w:p w14:paraId="5ACB26AA" w14:textId="040F03AB" w:rsidR="005F1092" w:rsidRDefault="005F1092" w:rsidP="005F1092">
      <w:pPr>
        <w:pStyle w:val="Vir"/>
      </w:pPr>
      <w:r w:rsidRPr="005F1092">
        <w:t>Vir: Urad za informacijsko varnost</w:t>
      </w:r>
    </w:p>
    <w:p w14:paraId="3B4474D2" w14:textId="36953070" w:rsidR="00B335B6" w:rsidRDefault="00B335B6" w:rsidP="00B335B6">
      <w:pPr>
        <w:pStyle w:val="Naslov2"/>
      </w:pPr>
      <w:r>
        <w:t>Odgovor vlade na pobudo državnih svetnikov Marka Lotriča in dr. Matjaža Štolfe glede načrtovanja in izvajanja ukrepov za razvoj slovenske Istre</w:t>
      </w:r>
    </w:p>
    <w:p w14:paraId="38A872B0" w14:textId="77777777" w:rsidR="00B335B6" w:rsidRDefault="00B335B6" w:rsidP="00B335B6">
      <w:r>
        <w:t xml:space="preserve">Vlada Republike Slovenije je sprejela odgovor na pobudo državnih svetnikov Marka Lotriča in dr. Matjaža Štolfe glede načrtovanja in izvajanja ukrepov za razvoj slovenske Istre. Pobuda vsebuje 11 konkretnih vprašanj, ki se nanašajo na: oskrbo Istre s pitno vodo, spremembo Zakona o dedovanju, urejanje desnega tira nove železniške proge Koper–Divača, rekonstrukcijo Šmarske ceste, protipoplavno zaščito Pirana, revitalizacijo zemljišč na degradiranem območju ob solinah v Sečovljah, pripravo posodobljenega nacionalnega programa razvoja pomorstva oz. pomorske strategije Republike Slovenije, razvoj visokega šolstva in poklicnega izobraževanja  ter na regulacijo turističnih kapacitet in reševanje stanovanjske problematike. </w:t>
      </w:r>
    </w:p>
    <w:p w14:paraId="3F96C513" w14:textId="0A6B30CB" w:rsidR="00B335B6" w:rsidRDefault="00B335B6" w:rsidP="00B335B6">
      <w:pPr>
        <w:pStyle w:val="Vir"/>
      </w:pPr>
      <w:r w:rsidRPr="00B335B6">
        <w:t>Vir: Ministrstvo za kohezijo in regionalni razvoj</w:t>
      </w:r>
    </w:p>
    <w:p w14:paraId="57776879" w14:textId="6C310890" w:rsidR="002F4BE4" w:rsidRDefault="002F4BE4" w:rsidP="002F4BE4">
      <w:pPr>
        <w:pStyle w:val="Naslov2"/>
      </w:pPr>
      <w:r>
        <w:t>Predlog zakona o uvrstitvi funkcij sodne oblasti in državno tožilskih funkcij v plačne razrede zaradi odločbe Ustavnega sodišča št. U-I-772/21-23</w:t>
      </w:r>
    </w:p>
    <w:p w14:paraId="51CB9FBA" w14:textId="63EDF218" w:rsidR="00553E3A" w:rsidRDefault="00553E3A" w:rsidP="00553E3A">
      <w:r>
        <w:t xml:space="preserve">Vlada Republike Slovenije je določila besedilo predloga </w:t>
      </w:r>
      <w:r>
        <w:t xml:space="preserve"> </w:t>
      </w:r>
      <w:r>
        <w:t xml:space="preserve">Zakona o uvrstitvi funkcij sodne oblasti in državno tožilskih funkcij v plačne razrede zaradi odločbe Ustavnega sodišča št. U-I-772/21-23, redni postopek, in ga pošlje Državnemu zboru Republike Slovenije. </w:t>
      </w:r>
    </w:p>
    <w:p w14:paraId="0BBB91D8" w14:textId="77777777" w:rsidR="00553E3A" w:rsidRDefault="00553E3A" w:rsidP="00553E3A"/>
    <w:p w14:paraId="35D6B4D5" w14:textId="12B81247" w:rsidR="00553E3A" w:rsidRDefault="00553E3A" w:rsidP="00553E3A">
      <w:r>
        <w:t xml:space="preserve">Predlog zakona določa novo uvrstitev funkcij sodne oblasti in državnotožilskih funkcij v plačne razrede kot prvi korak v smeri uresničitve odločbe Ustavnega sodišča. Ta se uresničuje v delu, ki se nanaša na vzpostavitev ustreznih razmerij v vrednotenju funkcij vseh treh vej oblasti oziroma relativno primerljivost uvrstitev nosilcev vseh treh vej oblasti v plačne razrede. Predlog zakona predvideva začetek uporabe </w:t>
      </w:r>
      <w:r>
        <w:t>z</w:t>
      </w:r>
      <w:r>
        <w:t xml:space="preserve"> 31. 12. 2024.</w:t>
      </w:r>
    </w:p>
    <w:p w14:paraId="08E40D0C" w14:textId="77777777" w:rsidR="00553E3A" w:rsidRDefault="00553E3A" w:rsidP="00553E3A"/>
    <w:p w14:paraId="2FD54BA5" w14:textId="77777777" w:rsidR="00553E3A" w:rsidRDefault="00553E3A" w:rsidP="00553E3A">
      <w:r>
        <w:t xml:space="preserve">Predlog zakona v zvezi s povišanjem uvrstitev funkcij sodne oblasti glede na uvrstitve funkcij zakonodajne veje oblasti v obstoječi plačni lestvici določa povišanje uvrstitev za največ 3 plačne razrede, s predlagano rešitvijo pa se uresničuje zahteva po ustavnopravni enakovrednosti oziroma relativni primerljivosti sodne veje oblasti v primerjavi z zakonodajno in izvršilno vejo oblasti. </w:t>
      </w:r>
    </w:p>
    <w:p w14:paraId="24C3BAF5" w14:textId="77777777" w:rsidR="00553E3A" w:rsidRDefault="00553E3A" w:rsidP="00553E3A"/>
    <w:p w14:paraId="03E7FD75" w14:textId="77777777" w:rsidR="00553E3A" w:rsidRDefault="00553E3A" w:rsidP="00553E3A">
      <w:r>
        <w:t>Drugi korak k uresničevanju odločbe Ustavnega sodišča pa bo urejen v okviru novega zakona o plačah v javnem sektorju, ki predstavlja sistemsko prenovo plačnega sistema javnega sektorja.</w:t>
      </w:r>
    </w:p>
    <w:p w14:paraId="75F32AAC" w14:textId="77777777" w:rsidR="00553E3A" w:rsidRDefault="00553E3A" w:rsidP="00553E3A"/>
    <w:p w14:paraId="0CB8F908" w14:textId="77777777" w:rsidR="00553E3A" w:rsidRDefault="00553E3A" w:rsidP="00553E3A">
      <w:r>
        <w:t>Ker je v Zakonu o državnem tožilstvu določeno, da se plača državnega tožilca določi po enakih osnovah, z enakimi dodatki in na enak način kakor plača sodnika ustreznega naziva oziroma položaja, se argumente iz odločitve Ustavnega sodišča smiselno upošteva tudi pri urejanju pravnega položaja državnih tožilcev.</w:t>
      </w:r>
    </w:p>
    <w:p w14:paraId="2F3654CA" w14:textId="77777777" w:rsidR="00553E3A" w:rsidRDefault="00553E3A" w:rsidP="00553E3A"/>
    <w:p w14:paraId="525F9BA7" w14:textId="77777777" w:rsidR="00553E3A" w:rsidRDefault="00553E3A" w:rsidP="00553E3A">
      <w:r>
        <w:lastRenderedPageBreak/>
        <w:t xml:space="preserve">Vlada Republike Slovenije ostaja zavezana zakonski ureditvi vzpostavitve mehanizma rednega usklajevanja vrednosti sodniških plač ter ureditvi ustreznega materialnega položaja sodnikov in s tem dokončni odpravi neustavnosti sodniških plač. </w:t>
      </w:r>
    </w:p>
    <w:p w14:paraId="38E34071" w14:textId="77777777" w:rsidR="00553E3A" w:rsidRDefault="00553E3A" w:rsidP="00553E3A"/>
    <w:p w14:paraId="012C02AD" w14:textId="77777777" w:rsidR="00553E3A" w:rsidRDefault="00553E3A" w:rsidP="00553E3A">
      <w:r>
        <w:t>Vlada predlog zakona posreduje Državnemu zboru in predlaga obravnavo po rednem postopku.</w:t>
      </w:r>
    </w:p>
    <w:p w14:paraId="01681873" w14:textId="73DBDE64" w:rsidR="002F4BE4" w:rsidRDefault="002F4BE4" w:rsidP="002F4BE4">
      <w:pPr>
        <w:pStyle w:val="Vir"/>
      </w:pPr>
      <w:r w:rsidRPr="002F4BE4">
        <w:t>Vir: Ministrstvo za javno upravo</w:t>
      </w:r>
    </w:p>
    <w:p w14:paraId="0E2BD514" w14:textId="32D2B189" w:rsidR="007F0B4B" w:rsidRDefault="007F0B4B" w:rsidP="007F0B4B">
      <w:pPr>
        <w:pStyle w:val="Naslov2"/>
      </w:pPr>
      <w:r>
        <w:t>Uredba o spremembah in dopolnitvi Uredbe o izvajanju intervencij podpora za vzpostavitev gospodarstev mladih kmetov in medgeneracijski prenos znanja iz strateškega načrta skupne kmetijske politike 2023–2027</w:t>
      </w:r>
    </w:p>
    <w:p w14:paraId="08BA8506" w14:textId="77777777" w:rsidR="007F0B4B" w:rsidRDefault="007F0B4B" w:rsidP="007F0B4B">
      <w:r>
        <w:t>Vlada je izdala Uredbo o spremembah in dopolnitvi Uredbe o izvajanju intervencij podpora za vzpostavitev gospodarstev mladih kmetov in medgeneracijski prenos znanja iz strateškega načrta skupne kmetijske politike 2023–2027 in jo objavi v Uradnem listu Republike Slovenije.</w:t>
      </w:r>
    </w:p>
    <w:p w14:paraId="768DD9B8" w14:textId="77777777" w:rsidR="007F0B4B" w:rsidRDefault="007F0B4B" w:rsidP="007F0B4B"/>
    <w:p w14:paraId="3AE65DEE" w14:textId="18087A84" w:rsidR="007F0B4B" w:rsidRDefault="007F0B4B" w:rsidP="007F0B4B">
      <w:r>
        <w:t>S predlogom Uredbe o spremembah in dopolnitvi Uredbe o izvajanju intervencij podpora za vzpostavitev gospodarstev mladih kmetov in medgeneracijski prenos znanja iz strateškega načrta skupne kmetijske politike 2023–2027 (SN SKP 2023–2027) se črta pogoj državljanstva Republike Slovenije pri opredelitvi vlagatelja. Prav tako se na novo določa izjema od prepovedi odtujitve nepremičnine v obdobju med lastniškim prevzemom kmetijskega gospodarstva in vložitvijo vloge na javni razpis.</w:t>
      </w:r>
    </w:p>
    <w:p w14:paraId="32AE577E" w14:textId="77777777" w:rsidR="007F0B4B" w:rsidRDefault="007F0B4B" w:rsidP="007F0B4B">
      <w:pPr>
        <w:pStyle w:val="Vir"/>
      </w:pPr>
      <w:r>
        <w:t>Vir: Ministrstvo za kmetijstvo, gozdarstvo in prehrano</w:t>
      </w:r>
    </w:p>
    <w:p w14:paraId="01C31183" w14:textId="1F927DA9" w:rsidR="00561E75" w:rsidRDefault="00561E75" w:rsidP="00135D2D">
      <w:pPr>
        <w:pStyle w:val="Naslov2"/>
      </w:pPr>
      <w:r>
        <w:t>Program odprave posledic neposredne škode na stvareh zaradi poplav 4. avgusta 2023 na področju državne cestne in železniške infrastrukture</w:t>
      </w:r>
    </w:p>
    <w:p w14:paraId="16E959E3" w14:textId="32164E3A" w:rsidR="007A387D" w:rsidRDefault="007A387D" w:rsidP="007A387D">
      <w:r>
        <w:t>Vlada sprejela Program odprave posledic neposredne škode na stvareh zaradi poplav 4. avgusta 2023 na področju državne cestne in železniške infrastrukture.</w:t>
      </w:r>
    </w:p>
    <w:p w14:paraId="5AEF2B73" w14:textId="77777777" w:rsidR="00A87E18" w:rsidRDefault="00A87E18" w:rsidP="00A87E18">
      <w:pPr>
        <w:jc w:val="both"/>
        <w:rPr>
          <w:iCs/>
          <w:szCs w:val="20"/>
        </w:rPr>
      </w:pPr>
    </w:p>
    <w:p w14:paraId="28B0BAA5" w14:textId="1B31A762" w:rsidR="00A87E18" w:rsidRDefault="00A87E18" w:rsidP="00A87E18">
      <w:pPr>
        <w:jc w:val="both"/>
      </w:pPr>
      <w:r w:rsidRPr="00612795">
        <w:rPr>
          <w:iCs/>
          <w:szCs w:val="20"/>
        </w:rPr>
        <w:t xml:space="preserve">Vlada </w:t>
      </w:r>
      <w:r>
        <w:t xml:space="preserve">Republike Slovenije </w:t>
      </w:r>
      <w:r>
        <w:rPr>
          <w:iCs/>
          <w:szCs w:val="20"/>
        </w:rPr>
        <w:t>je 12. 10. 2023</w:t>
      </w:r>
      <w:r w:rsidRPr="00612795">
        <w:rPr>
          <w:iCs/>
          <w:szCs w:val="20"/>
        </w:rPr>
        <w:t xml:space="preserve"> sprejela t.</w:t>
      </w:r>
      <w:r>
        <w:rPr>
          <w:iCs/>
          <w:szCs w:val="20"/>
        </w:rPr>
        <w:t xml:space="preserve"> </w:t>
      </w:r>
      <w:r w:rsidRPr="00612795">
        <w:rPr>
          <w:iCs/>
          <w:szCs w:val="20"/>
        </w:rPr>
        <w:t>i. Predhodni program odprave posledic neposredne škode na stvareh zaradi poplav 4. avgusta 2023 na področju državne cest</w:t>
      </w:r>
      <w:r>
        <w:rPr>
          <w:iCs/>
          <w:szCs w:val="20"/>
        </w:rPr>
        <w:t xml:space="preserve">ne in železniške infrastrukture, ki </w:t>
      </w:r>
      <w:r>
        <w:rPr>
          <w:rFonts w:cs="Arial"/>
          <w:szCs w:val="20"/>
        </w:rPr>
        <w:t>je</w:t>
      </w:r>
      <w:r w:rsidRPr="007B1EE3">
        <w:rPr>
          <w:rFonts w:cs="Arial"/>
          <w:szCs w:val="20"/>
        </w:rPr>
        <w:t xml:space="preserve"> obravnav</w:t>
      </w:r>
      <w:r>
        <w:rPr>
          <w:rFonts w:cs="Arial"/>
          <w:szCs w:val="20"/>
        </w:rPr>
        <w:t>al</w:t>
      </w:r>
      <w:r w:rsidRPr="007B1EE3">
        <w:rPr>
          <w:rFonts w:cs="Arial"/>
          <w:szCs w:val="20"/>
        </w:rPr>
        <w:t xml:space="preserve"> nujne ukrepe za preprečitev povečanja že nastale škode in zavarovanje življenj in premoženja prebivalstva</w:t>
      </w:r>
      <w:r>
        <w:rPr>
          <w:iCs/>
          <w:szCs w:val="20"/>
        </w:rPr>
        <w:t>.</w:t>
      </w:r>
      <w:r>
        <w:rPr>
          <w:rFonts w:cs="Arial"/>
        </w:rPr>
        <w:t xml:space="preserve"> </w:t>
      </w:r>
      <w:r>
        <w:t xml:space="preserve">Vlada je </w:t>
      </w:r>
      <w:r w:rsidRPr="00C61C62">
        <w:t>25</w:t>
      </w:r>
      <w:r w:rsidRPr="00C61C62">
        <w:rPr>
          <w:rFonts w:cs="Arial"/>
        </w:rPr>
        <w:t>. 10. 2023 potrdila</w:t>
      </w:r>
      <w:r w:rsidRPr="00C61C62">
        <w:rPr>
          <w:iCs/>
          <w:szCs w:val="20"/>
        </w:rPr>
        <w:t xml:space="preserve"> končno oceno neposredne škode na </w:t>
      </w:r>
      <w:bookmarkStart w:id="0" w:name="OLE_LINK1"/>
      <w:bookmarkStart w:id="1" w:name="OLE_LINK2"/>
      <w:r w:rsidRPr="00C61C62">
        <w:rPr>
          <w:iCs/>
          <w:szCs w:val="20"/>
        </w:rPr>
        <w:t xml:space="preserve">stvareh </w:t>
      </w:r>
      <w:bookmarkEnd w:id="0"/>
      <w:bookmarkEnd w:id="1"/>
      <w:r w:rsidRPr="00C61C62">
        <w:rPr>
          <w:iCs/>
          <w:szCs w:val="20"/>
        </w:rPr>
        <w:t xml:space="preserve">zaradi </w:t>
      </w:r>
      <w:r w:rsidRPr="00C61C62">
        <w:rPr>
          <w:rFonts w:cs="Arial"/>
          <w:color w:val="000000"/>
        </w:rPr>
        <w:t>močnih neurij z večdnevnim obilnim deževjem s poplavami in plazovi 4. avgusta 2023</w:t>
      </w:r>
      <w:r w:rsidRPr="00C61C62">
        <w:rPr>
          <w:rFonts w:cs="Arial"/>
        </w:rPr>
        <w:t xml:space="preserve"> </w:t>
      </w:r>
      <w:r w:rsidRPr="00C61C62">
        <w:t>ter ugotovila, da skupna končna ocena neposredne škod</w:t>
      </w:r>
      <w:r>
        <w:t>e na stvareh presega 0,3 promila</w:t>
      </w:r>
      <w:r w:rsidRPr="00C61C62">
        <w:t xml:space="preserve"> načrtovanih prihodkov državnega proračuna za leto 2023 in je tako dosežen limit za pomoč v skladu z Zakonom o odpravi posledic naravnih nesreč.</w:t>
      </w:r>
      <w:r w:rsidRPr="00846D32">
        <w:t xml:space="preserve"> </w:t>
      </w:r>
    </w:p>
    <w:p w14:paraId="1EF50CE8" w14:textId="77777777" w:rsidR="00A87E18" w:rsidRPr="00846D32" w:rsidRDefault="00A87E18" w:rsidP="00A87E18">
      <w:pPr>
        <w:jc w:val="both"/>
        <w:rPr>
          <w:iCs/>
          <w:szCs w:val="20"/>
        </w:rPr>
      </w:pPr>
    </w:p>
    <w:p w14:paraId="39FCE644" w14:textId="77777777" w:rsidR="00A87E18" w:rsidRDefault="00A87E18" w:rsidP="00A87E18">
      <w:pPr>
        <w:overflowPunct w:val="0"/>
        <w:autoSpaceDE w:val="0"/>
        <w:autoSpaceDN w:val="0"/>
        <w:adjustRightInd w:val="0"/>
        <w:jc w:val="both"/>
        <w:textAlignment w:val="baseline"/>
        <w:rPr>
          <w:color w:val="000000"/>
        </w:rPr>
      </w:pPr>
      <w:r w:rsidRPr="00C10194">
        <w:t>N</w:t>
      </w:r>
      <w:r w:rsidRPr="00C10194">
        <w:rPr>
          <w:color w:val="000000"/>
        </w:rPr>
        <w:t xml:space="preserve">a podlagi </w:t>
      </w:r>
      <w:r w:rsidRPr="00C10194">
        <w:rPr>
          <w:shd w:val="clear" w:color="auto" w:fill="FBFCFD"/>
        </w:rPr>
        <w:t xml:space="preserve">Zakona </w:t>
      </w:r>
      <w:r w:rsidRPr="00C10194">
        <w:rPr>
          <w:rFonts w:cs="Arial"/>
          <w:color w:val="000000"/>
          <w:szCs w:val="20"/>
        </w:rPr>
        <w:t>o odpravi posledic naravnih nesreč</w:t>
      </w:r>
      <w:r w:rsidRPr="00C10194">
        <w:rPr>
          <w:shd w:val="clear" w:color="auto" w:fill="FBFCFD"/>
        </w:rPr>
        <w:t xml:space="preserve"> je </w:t>
      </w:r>
      <w:r w:rsidRPr="00C10194">
        <w:rPr>
          <w:color w:val="000000"/>
        </w:rPr>
        <w:t xml:space="preserve">Ministrstvo za </w:t>
      </w:r>
      <w:r>
        <w:rPr>
          <w:color w:val="000000"/>
        </w:rPr>
        <w:t>infrastrukturo, Direkcija RS za infrastrukturo,</w:t>
      </w:r>
      <w:r w:rsidRPr="00C10194">
        <w:rPr>
          <w:color w:val="000000"/>
        </w:rPr>
        <w:t xml:space="preserve"> pripravilo </w:t>
      </w:r>
      <w:r>
        <w:rPr>
          <w:color w:val="000000"/>
        </w:rPr>
        <w:t>Program</w:t>
      </w:r>
      <w:r w:rsidRPr="00612795">
        <w:rPr>
          <w:color w:val="000000"/>
        </w:rPr>
        <w:t xml:space="preserve"> odprave posledic neposredne škode na stvareh zaradi poplav 4. avgusta 2023 na področju državne cestne in železniške infrastr</w:t>
      </w:r>
      <w:r>
        <w:rPr>
          <w:color w:val="000000"/>
        </w:rPr>
        <w:t>ukture.</w:t>
      </w:r>
      <w:r w:rsidRPr="001E1B3B">
        <w:rPr>
          <w:color w:val="000000"/>
        </w:rPr>
        <w:t xml:space="preserve"> </w:t>
      </w:r>
      <w:r>
        <w:rPr>
          <w:color w:val="000000"/>
        </w:rPr>
        <w:t>P</w:t>
      </w:r>
      <w:r w:rsidRPr="00451859">
        <w:rPr>
          <w:color w:val="000000"/>
        </w:rPr>
        <w:t>o dopolnitvi oz. evidentiranju novih odsekov, kjer so potrebni ukrepi za odpravljan</w:t>
      </w:r>
      <w:r>
        <w:rPr>
          <w:color w:val="000000"/>
        </w:rPr>
        <w:t>je škode zaradi posledic ujme,</w:t>
      </w:r>
      <w:r w:rsidRPr="00451859">
        <w:rPr>
          <w:color w:val="000000"/>
        </w:rPr>
        <w:t xml:space="preserve"> ocena škode na cestni infrastrukturi </w:t>
      </w:r>
      <w:r>
        <w:rPr>
          <w:color w:val="000000"/>
        </w:rPr>
        <w:t>znaša 559.2 milijona evrov, o</w:t>
      </w:r>
      <w:r w:rsidRPr="00E9591F">
        <w:rPr>
          <w:color w:val="000000"/>
        </w:rPr>
        <w:t xml:space="preserve">cena škode na železniški infrastrukturi </w:t>
      </w:r>
      <w:r>
        <w:rPr>
          <w:color w:val="000000"/>
        </w:rPr>
        <w:t xml:space="preserve">pa znaša </w:t>
      </w:r>
      <w:r w:rsidRPr="00E9591F">
        <w:rPr>
          <w:color w:val="000000"/>
        </w:rPr>
        <w:t xml:space="preserve">265,07 </w:t>
      </w:r>
      <w:r>
        <w:rPr>
          <w:color w:val="000000"/>
        </w:rPr>
        <w:t>milijona</w:t>
      </w:r>
      <w:r w:rsidRPr="00E9591F">
        <w:rPr>
          <w:color w:val="000000"/>
        </w:rPr>
        <w:t xml:space="preserve"> </w:t>
      </w:r>
      <w:r>
        <w:rPr>
          <w:color w:val="000000"/>
        </w:rPr>
        <w:t>evrov</w:t>
      </w:r>
      <w:r w:rsidRPr="00E9591F">
        <w:rPr>
          <w:color w:val="000000"/>
        </w:rPr>
        <w:t>.</w:t>
      </w:r>
    </w:p>
    <w:p w14:paraId="361A8B35" w14:textId="77777777" w:rsidR="00A87E18" w:rsidRDefault="00A87E18" w:rsidP="00A87E18">
      <w:pPr>
        <w:jc w:val="both"/>
        <w:rPr>
          <w:color w:val="000000"/>
        </w:rPr>
      </w:pPr>
    </w:p>
    <w:p w14:paraId="335B3530" w14:textId="77777777" w:rsidR="00A87E18" w:rsidRPr="00383966" w:rsidRDefault="00A87E18" w:rsidP="00A87E18">
      <w:pPr>
        <w:pStyle w:val="Oddelek"/>
        <w:widowControl w:val="0"/>
        <w:numPr>
          <w:ilvl w:val="0"/>
          <w:numId w:val="0"/>
        </w:numPr>
        <w:spacing w:before="0" w:after="0" w:line="260" w:lineRule="exact"/>
        <w:jc w:val="both"/>
        <w:rPr>
          <w:b w:val="0"/>
          <w:bCs/>
          <w:color w:val="000000"/>
          <w:sz w:val="20"/>
          <w:szCs w:val="20"/>
        </w:rPr>
      </w:pPr>
      <w:r w:rsidRPr="00070700">
        <w:rPr>
          <w:b w:val="0"/>
          <w:bCs/>
          <w:color w:val="000000"/>
          <w:sz w:val="20"/>
          <w:szCs w:val="20"/>
        </w:rPr>
        <w:t>Pravice porabe za izvedbo programa za leto 2024 se zagotovijo z razporeditvijo sredstev iz splošne proračunske rezervacije</w:t>
      </w:r>
      <w:r>
        <w:rPr>
          <w:b w:val="0"/>
          <w:bCs/>
          <w:color w:val="000000"/>
          <w:sz w:val="20"/>
          <w:szCs w:val="20"/>
        </w:rPr>
        <w:t xml:space="preserve">. </w:t>
      </w:r>
      <w:r w:rsidRPr="00C61C62">
        <w:rPr>
          <w:b w:val="0"/>
          <w:bCs/>
          <w:color w:val="000000"/>
          <w:sz w:val="20"/>
          <w:szCs w:val="20"/>
        </w:rPr>
        <w:t>Pravice porabe za izvedbo programa za obdobje 2025 - 2028 se bodo zagotavljale v okviru državnega proračuna za posamezno leto (tekom priprave proračunov, izvrševanja proračunov v skladu s proračunsko prakso) oziroma iz sredstev sklada za obnovo.</w:t>
      </w:r>
    </w:p>
    <w:p w14:paraId="4D145079" w14:textId="77777777" w:rsidR="00A87E18" w:rsidRPr="006B17C6" w:rsidRDefault="00A87E18" w:rsidP="00A87E18">
      <w:pPr>
        <w:jc w:val="both"/>
        <w:rPr>
          <w:rFonts w:cs="Arial"/>
        </w:rPr>
      </w:pPr>
    </w:p>
    <w:p w14:paraId="2E5DC272" w14:textId="6C34C58C" w:rsidR="00135D2D" w:rsidRDefault="007A387D" w:rsidP="00135D2D">
      <w:pPr>
        <w:pStyle w:val="Vir"/>
      </w:pPr>
      <w:r>
        <w:lastRenderedPageBreak/>
        <w:t>V</w:t>
      </w:r>
      <w:r w:rsidR="00135D2D">
        <w:t>ir: Ministrstvo za infrastrukturo</w:t>
      </w:r>
    </w:p>
    <w:p w14:paraId="2E201226" w14:textId="29BE667D" w:rsidR="00203545" w:rsidRDefault="00203545" w:rsidP="00203545">
      <w:pPr>
        <w:pStyle w:val="Naslov2"/>
      </w:pPr>
      <w:r>
        <w:t>Omejitve vpisa za 110 študijskih programov oziroma smeri</w:t>
      </w:r>
    </w:p>
    <w:p w14:paraId="02A33C23" w14:textId="77777777" w:rsidR="00203545" w:rsidRDefault="00203545" w:rsidP="00203545">
      <w:r>
        <w:t>Vlada je sprejela sklep o soglasju k omejitvam vpisa in povečanju števila razpisanih mest v dodiplomske in enovite magistrske študijske programe na javnih in koncesioniranih visokošolskih zavodih v študijskem letu 2024/2025.</w:t>
      </w:r>
    </w:p>
    <w:p w14:paraId="4B46B98B" w14:textId="77777777" w:rsidR="00203545" w:rsidRDefault="00203545" w:rsidP="00203545"/>
    <w:p w14:paraId="7348F77E" w14:textId="77777777" w:rsidR="00203545" w:rsidRDefault="00203545" w:rsidP="00203545">
      <w:r>
        <w:t>Pristojni organi visokošolskih zavodov so sprejeli sklepe o omejitvi vpisa za skupaj 110 študijskih programov oziroma smeri (in načinov študija).</w:t>
      </w:r>
    </w:p>
    <w:p w14:paraId="514B8021" w14:textId="77777777" w:rsidR="00203545" w:rsidRDefault="00203545" w:rsidP="00203545"/>
    <w:p w14:paraId="587F466E" w14:textId="77777777" w:rsidR="00203545" w:rsidRDefault="00203545" w:rsidP="00203545">
      <w:r>
        <w:t xml:space="preserve">Univerza v Ljubljani je za 6 študijskih programov z omejitvijo vpisa predlagala povečanje rednih vpisnih mest, in sicer na: </w:t>
      </w:r>
    </w:p>
    <w:p w14:paraId="25BDDF00" w14:textId="223B0AAE" w:rsidR="00203545" w:rsidRDefault="00203545" w:rsidP="00203545">
      <w:pPr>
        <w:pStyle w:val="Odstavekseznama"/>
        <w:numPr>
          <w:ilvl w:val="0"/>
          <w:numId w:val="3"/>
        </w:numPr>
      </w:pPr>
      <w:r>
        <w:t xml:space="preserve">interdisciplinarnem univerzitetnem študijskem programu prve stopnje Multimedija na Fakulteti za računalništvo in informatiko ter Fakulteti za elektrotehniko iz 30 na 45, </w:t>
      </w:r>
    </w:p>
    <w:p w14:paraId="0020D234" w14:textId="07D9DC2F" w:rsidR="00203545" w:rsidRDefault="00203545" w:rsidP="00203545">
      <w:pPr>
        <w:pStyle w:val="Odstavekseznama"/>
        <w:numPr>
          <w:ilvl w:val="0"/>
          <w:numId w:val="3"/>
        </w:numPr>
      </w:pPr>
      <w:r>
        <w:t>univerzitetnem enopredmetnem študijskem programu prve stopnje Anglistika na Filozofski fakulteti iz 30 na 40,</w:t>
      </w:r>
    </w:p>
    <w:p w14:paraId="062CC825" w14:textId="5BD6F60C" w:rsidR="00203545" w:rsidRDefault="00203545" w:rsidP="00203545">
      <w:pPr>
        <w:pStyle w:val="Odstavekseznama"/>
        <w:numPr>
          <w:ilvl w:val="0"/>
          <w:numId w:val="3"/>
        </w:numPr>
      </w:pPr>
      <w:r>
        <w:t xml:space="preserve">univerzitetnem študijskem programu prve stopnje Azijske študije, dvopredmetna smer: </w:t>
      </w:r>
      <w:proofErr w:type="spellStart"/>
      <w:r>
        <w:t>Koreanistika</w:t>
      </w:r>
      <w:proofErr w:type="spellEnd"/>
      <w:r>
        <w:t xml:space="preserve"> na Filozofski fakulteti iz 16 na 18,</w:t>
      </w:r>
    </w:p>
    <w:p w14:paraId="7F06F035" w14:textId="27D1A9F5" w:rsidR="00203545" w:rsidRDefault="00203545" w:rsidP="00203545">
      <w:pPr>
        <w:pStyle w:val="Odstavekseznama"/>
        <w:numPr>
          <w:ilvl w:val="0"/>
          <w:numId w:val="3"/>
        </w:numPr>
      </w:pPr>
      <w:r>
        <w:t xml:space="preserve">univerzitetnem študijskem programu prve stopnje Geodezija in </w:t>
      </w:r>
      <w:proofErr w:type="spellStart"/>
      <w:r>
        <w:t>geoinformatika</w:t>
      </w:r>
      <w:proofErr w:type="spellEnd"/>
      <w:r>
        <w:t xml:space="preserve"> na Fakulteti za gradbeništvo in geodezijo iz 30 na 37,</w:t>
      </w:r>
    </w:p>
    <w:p w14:paraId="483A1561" w14:textId="33B938A2" w:rsidR="00203545" w:rsidRDefault="00203545" w:rsidP="00203545">
      <w:pPr>
        <w:pStyle w:val="Odstavekseznama"/>
        <w:numPr>
          <w:ilvl w:val="0"/>
          <w:numId w:val="3"/>
        </w:numPr>
      </w:pPr>
      <w:r>
        <w:t xml:space="preserve">univerzitetnem študijskem programu prve stopnje Gradbeništvo na Fakulteti za gradbeništvo in geodezijo iz 80 na 100 in </w:t>
      </w:r>
    </w:p>
    <w:p w14:paraId="77530220" w14:textId="3A4CFB39" w:rsidR="00203545" w:rsidRDefault="00203545" w:rsidP="00203545">
      <w:pPr>
        <w:pStyle w:val="Odstavekseznama"/>
        <w:numPr>
          <w:ilvl w:val="0"/>
          <w:numId w:val="3"/>
        </w:numPr>
      </w:pPr>
      <w:r>
        <w:t xml:space="preserve">visokošolskem strokovnem študijskem programu prve stopnje Operativno gradbeništvo na Fakulteti za gradbeništvo in geodezijo iz 60 na 78.   </w:t>
      </w:r>
    </w:p>
    <w:p w14:paraId="73F8128D" w14:textId="31E8CF6F" w:rsidR="00561E75" w:rsidRDefault="00203545" w:rsidP="00203545">
      <w:pPr>
        <w:pStyle w:val="Vir"/>
      </w:pPr>
      <w:r>
        <w:t>Vir: Ministrstvo za visoko šolstvo, znanost in inovacije</w:t>
      </w:r>
    </w:p>
    <w:p w14:paraId="683ABA0E" w14:textId="4F740903" w:rsidR="00873BB1" w:rsidRDefault="00873BB1" w:rsidP="00873BB1">
      <w:pPr>
        <w:pStyle w:val="Naslov2"/>
      </w:pPr>
      <w:r>
        <w:t xml:space="preserve">Vlada dala soglasje k izvedbi oglaševalske kampanje »Ustavimo dezinformacije - </w:t>
      </w:r>
      <w:proofErr w:type="spellStart"/>
      <w:r>
        <w:t>PreBERI</w:t>
      </w:r>
      <w:proofErr w:type="spellEnd"/>
      <w:r>
        <w:t xml:space="preserve">, </w:t>
      </w:r>
      <w:proofErr w:type="spellStart"/>
      <w:r>
        <w:t>preMISLI</w:t>
      </w:r>
      <w:proofErr w:type="spellEnd"/>
      <w:r>
        <w:t>, PREVERI«</w:t>
      </w:r>
    </w:p>
    <w:p w14:paraId="20D5744E" w14:textId="77777777" w:rsidR="00873BB1" w:rsidRDefault="00873BB1" w:rsidP="00873BB1">
      <w:r>
        <w:t xml:space="preserve">Vlada Republike Slovenije se je seznanila z oglaševalsko kampanjo »Ustavimo dezinformacije - </w:t>
      </w:r>
      <w:proofErr w:type="spellStart"/>
      <w:r>
        <w:t>PreBERI</w:t>
      </w:r>
      <w:proofErr w:type="spellEnd"/>
      <w:r>
        <w:t xml:space="preserve">, </w:t>
      </w:r>
      <w:proofErr w:type="spellStart"/>
      <w:r>
        <w:t>preMISLI</w:t>
      </w:r>
      <w:proofErr w:type="spellEnd"/>
      <w:r>
        <w:t>, PREVERI« in dala soglasje, da Ministrstvo za digitalno preobrazbo (MDP) in Urad Vlade Republike Slovenije za komuniciranje (Ukom) izvedeta omenjeno kampanjo.</w:t>
      </w:r>
    </w:p>
    <w:p w14:paraId="37DB8DCF" w14:textId="77777777" w:rsidR="00873BB1" w:rsidRDefault="00873BB1" w:rsidP="00873BB1"/>
    <w:p w14:paraId="7CDBFDE3" w14:textId="77777777" w:rsidR="00873BB1" w:rsidRDefault="00873BB1" w:rsidP="00873BB1">
      <w:r>
        <w:t xml:space="preserve">V okviru kampanje je potreben tudi zakup digitalnih oglasnih panojev po državi, televizijskega in radijskega prostora, prostora v spletnih in tiskanih medijih. Ocenjena vrednost projekta je 158.000 evrov. </w:t>
      </w:r>
    </w:p>
    <w:p w14:paraId="1EA7D671" w14:textId="77777777" w:rsidR="00873BB1" w:rsidRDefault="00873BB1" w:rsidP="00873BB1"/>
    <w:p w14:paraId="7DCFC3A9" w14:textId="02790CE8" w:rsidR="00953842" w:rsidRDefault="00873BB1" w:rsidP="00873BB1">
      <w:r>
        <w:t>MDP in Ukom bosta s promocijskimi aktivnostmi spodbujala zavedanje prebivalcev Slovenije o dezinformacijah ter o tem, kako jih prepoznati. Promocijske aktivnosti bodo potekale skozi celo leto 2024 z različnimi vsebinskimi poudarki in preko različnih promocijskih kanalov, zakupi medijskega prostora so predvideni predvsem v drugi polovici leta 2024. Za zakupe medijskega prostora se bosta MDP in Ukom dogovarjala neposredno s ponudniki, kjer bodo oglasi objavljeni.</w:t>
      </w:r>
    </w:p>
    <w:p w14:paraId="78F0C2F8" w14:textId="1983EABE" w:rsidR="00873BB1" w:rsidRDefault="00873BB1" w:rsidP="00873BB1">
      <w:pPr>
        <w:pStyle w:val="Vir"/>
      </w:pPr>
      <w:r w:rsidRPr="00873BB1">
        <w:t>Vir: Ministrstvo za digitalno preobrazbo</w:t>
      </w:r>
    </w:p>
    <w:p w14:paraId="449E8F83" w14:textId="7488DCBB" w:rsidR="00F569FD" w:rsidRDefault="00F569FD" w:rsidP="00F569FD">
      <w:pPr>
        <w:pStyle w:val="Naslov2"/>
      </w:pPr>
      <w:r>
        <w:t>Sofinanciranje organizacije kolesarske dirke »Po Sloveniji«</w:t>
      </w:r>
    </w:p>
    <w:p w14:paraId="6AA49377" w14:textId="77777777" w:rsidR="00F569FD" w:rsidRDefault="00F569FD" w:rsidP="00F569FD">
      <w:r>
        <w:t xml:space="preserve">Vlada se je seznanila z informacijo o sofinanciranju stroškov organizacije 30. kolesarske dirke »Po Sloveniji« v organizaciji Kolesarske zveze Slovenije. Sredstva v višini 350.000 tisoč evrov bo organizatorju dirke zagotovilo ministrstvo za gospodarstvo, turizem in šport.  </w:t>
      </w:r>
    </w:p>
    <w:p w14:paraId="46BA2B93" w14:textId="77777777" w:rsidR="00F569FD" w:rsidRDefault="00F569FD" w:rsidP="00F569FD"/>
    <w:p w14:paraId="6F267D18" w14:textId="77777777" w:rsidR="00F569FD" w:rsidRDefault="00F569FD" w:rsidP="00F569FD">
      <w:r>
        <w:lastRenderedPageBreak/>
        <w:t>Kolesarska dirka »Po Sloveniji« je postala uveljavljen in mednarodno prepoznan športno-turistični projekt, ki navdušuje tako iz športnega vidika kot tudi z vrhunskim televizijskim prenosom, kjer so poleg kolesarjev v ospredju naravne in kulturne lepote Slovenije. V organizacijo dirke, ki v petih dneh prevozi in zaobjame dobršen del Slovenije, je vključenih preko 2.000 ljudi, kar potrjuje, da gre za velik organizacijsko-logistični projekt, ki s kakovostno organizacijo pritegne nekatera najbolj prepoznavna imena kolesarskega športa ter posledično z vsako izvedbo dosega večjo gledanost in doseg. Kot največja kolesarska prireditev pri nas pridobiva dirka svojo veljavo in prepoznavnost in je v svoji zadnji, 29. izvedbi, ponovno postregla z navdušujočimi rezultati gledanosti. Gledanost kolesarske dirke »Po Sloveniji« na mednarodni mreži Eurosport je v letu 2023 dosegla 10 milijonov gledalcev, odlična je bila tudi gledanost na Televiziji Slovenija, izjemen pa je bil tudi odziv na družbenih omrežjih dirke »Po Sloveniji«.</w:t>
      </w:r>
    </w:p>
    <w:p w14:paraId="3299E1A1" w14:textId="77777777" w:rsidR="00F569FD" w:rsidRDefault="00F569FD" w:rsidP="00F569FD"/>
    <w:p w14:paraId="5471A425" w14:textId="77777777" w:rsidR="00F569FD" w:rsidRDefault="00F569FD" w:rsidP="00F569FD">
      <w:r>
        <w:t xml:space="preserve">Skladno z Zakonom o športu je sofinanciranje prireditve izjemno pomembno in v javnem interesu, saj se tudi na ta način reprezentanci Republike Slovenije omogoča doseganje kvot za nastop na evropskem in svetovnem prvenstvu. Kolesarji na dirkah Pro </w:t>
      </w:r>
      <w:proofErr w:type="spellStart"/>
      <w:r>
        <w:t>Series</w:t>
      </w:r>
      <w:proofErr w:type="spellEnd"/>
      <w:r>
        <w:t>, med katere spada dirka »Po Sloveniji«, zbirajo točke Mednarodne kolesarske zveze, kar je osnova za določitev reprezentančne kvote za nastop na največjih mednarodnih športnih prireditvah – evropskem in svetovnem prvenstvu ali olimpijskih igrah. Hkrati pa je mednarodna kolesarska dirka »Po Sloveniji« največji promocijski dogodek, saj je kolesarstvo eden od najrazvitejših športov v globalnem smislu z več kot 200 državami članicami na vseh kontinentih, prenos z zračnimi posnetki Slovenije pa gre po svetu k več milijonom gledalcev.</w:t>
      </w:r>
    </w:p>
    <w:p w14:paraId="26B3044C" w14:textId="77777777" w:rsidR="00F569FD" w:rsidRDefault="00F569FD" w:rsidP="00F569FD"/>
    <w:p w14:paraId="3CB89DD1" w14:textId="77777777" w:rsidR="00F569FD" w:rsidRDefault="00F569FD" w:rsidP="00F569FD">
      <w:r>
        <w:t>Sredstva v višini 350.000 tisoč evrov bo organizatorju dirke zagotovilo ministrstvo za gospodarstvo, turizem in šport iz sredstev namenjenih sofinanciranju velikih mednarodnih športnih prireditev na podlagi javnega razpisa v okviru izvajanja letnega programa športa na državni ravni za leto 2024.</w:t>
      </w:r>
    </w:p>
    <w:p w14:paraId="118B3C56" w14:textId="77777777" w:rsidR="00F569FD" w:rsidRDefault="00F569FD" w:rsidP="00F569FD"/>
    <w:p w14:paraId="259667D1" w14:textId="19E1A658" w:rsidR="00F569FD" w:rsidRDefault="00F569FD" w:rsidP="00F569FD">
      <w:r>
        <w:t xml:space="preserve">Kolesarska zveza Slovenije je dolžna ministrstvu pred začetkom dirke posredovati študijo o izvedljivosti prireditve ter oceni vplivov na okolje in družbo ter po zaključku dirke končno študijo o organizaciji in financiranju prireditve. </w:t>
      </w:r>
    </w:p>
    <w:p w14:paraId="161975B9" w14:textId="77777777" w:rsidR="00F569FD" w:rsidRDefault="00F569FD" w:rsidP="00F569FD"/>
    <w:p w14:paraId="69C607E8" w14:textId="77777777" w:rsidR="00F569FD" w:rsidRDefault="00F569FD" w:rsidP="00F569FD">
      <w:r>
        <w:t>Vir: Ministrstvo za gospodarstvo, turizem in šport</w:t>
      </w:r>
    </w:p>
    <w:p w14:paraId="58CFB904" w14:textId="77777777" w:rsidR="00F569FD" w:rsidRDefault="00F569FD" w:rsidP="00F569FD"/>
    <w:p w14:paraId="2534CBE8" w14:textId="3CBAD5A7" w:rsidR="00561E75" w:rsidRDefault="00561E75" w:rsidP="00894FAB">
      <w:pPr>
        <w:pStyle w:val="Naslov2"/>
      </w:pPr>
      <w:r>
        <w:t>Analiza trendov gospodarske razvitosti kohezijske regije Zahodna Slovenija brez upoštevanja Osrednjeslovenske regije in primerjave s kohezijsko regijo Vzhodna Slovenija</w:t>
      </w:r>
    </w:p>
    <w:p w14:paraId="69568E13" w14:textId="66C1E5DC" w:rsidR="00894FAB" w:rsidRDefault="00894FAB" w:rsidP="00894FAB">
      <w:r>
        <w:t>Vlada Republike Slovenije se je na 95. redni seji dne 14. 3. 2024 seznanila s Poročilom o regionalnem razvoju 2018−2022 ter sprejela sklep, s katerim je naložila Ministrstvu za kohezijo in regionalni razvoj, da pripravi kratko analizo trendov gospodarske razvitosti kohezijske regije Vzhodna Slovenija (KRVS) in kohezijske regije Zahodna Slovenija (KRZS) brez upoštevanja Osrednjeslovenske regije (OSR). Namen analize je pridobiti vpogled v trend gospodarske razvitosti območja kohezijske regije Zahodna Slovenija brez upoštevanja Osrednjeslovenske regije (»</w:t>
      </w:r>
      <w:proofErr w:type="spellStart"/>
      <w:r>
        <w:t>capital</w:t>
      </w:r>
      <w:proofErr w:type="spellEnd"/>
      <w:r>
        <w:t xml:space="preserve"> </w:t>
      </w:r>
      <w:proofErr w:type="spellStart"/>
      <w:r>
        <w:t>region</w:t>
      </w:r>
      <w:proofErr w:type="spellEnd"/>
      <w:r>
        <w:t>«) ter njegove primerjave s preostalo Slovenijo – t.j. območjem kohezijske regije Vzhodna Slovenija. V dokumentu so prikazani podatki o stanju in trendih gospodarske razvitosti, produktivnosti in inovativnosti v KRVS in v KRZS brez OSR, vključno z medsebojno primerjavo (razliko) in primerjavo s povprečjem Slovenije. Ključni doprinos analize je pridobiti vpogled v dogajanje znotraj KRZS brez OSR. Ta kot teritorialna enota ni predmet statističnih in drugih spremljanj in analiz, kot to sicer velja za statistične regije (na ravni NUTS 2 sta to KRZS in KRVS). Za še bolj informiran vpogled v dogajanje znotraj KRZS brez OSR je zato pri vsakem področju podan tudi pregled stanj in trendov po razvojnih regijah znotraj KRZS.</w:t>
      </w:r>
    </w:p>
    <w:p w14:paraId="6B82074E" w14:textId="77777777" w:rsidR="00894FAB" w:rsidRDefault="00894FAB" w:rsidP="00894FAB"/>
    <w:p w14:paraId="3014BD7F" w14:textId="0A22CE27" w:rsidR="00894FAB" w:rsidRDefault="00894FAB" w:rsidP="00894FAB">
      <w:r>
        <w:lastRenderedPageBreak/>
        <w:t>Analiza je bila pripravljena za obdobje 2015 – 2022, poleg stopnje gospodarske razvitosti (kazalnik: BDP na prebivalca v standardih kupne moči) pa sta bila dodatno analizirana trenda produktivnosti (kazalnik: BDP na zaposlenega) in inovativnosti (kazalnik: delež bruto domačih izdatkov za RRD v BDP). Ključne ugotovitve analize so:</w:t>
      </w:r>
    </w:p>
    <w:p w14:paraId="26B66F08" w14:textId="77777777" w:rsidR="00894FAB" w:rsidRDefault="00894FAB" w:rsidP="00894FAB"/>
    <w:p w14:paraId="3FCE3ABB" w14:textId="77777777" w:rsidR="00894FAB" w:rsidRPr="00894FAB" w:rsidRDefault="00894FAB" w:rsidP="00894FAB">
      <w:pPr>
        <w:rPr>
          <w:u w:val="single"/>
        </w:rPr>
      </w:pPr>
      <w:r w:rsidRPr="00894FAB">
        <w:rPr>
          <w:u w:val="single"/>
        </w:rPr>
        <w:t>Stopnja gospodarske razvitosti:</w:t>
      </w:r>
    </w:p>
    <w:p w14:paraId="65AFF3F2" w14:textId="6057E8F3" w:rsidR="00894FAB" w:rsidRDefault="00894FAB" w:rsidP="00894FAB">
      <w:pPr>
        <w:pStyle w:val="Odstavekseznama"/>
        <w:numPr>
          <w:ilvl w:val="0"/>
          <w:numId w:val="6"/>
        </w:numPr>
      </w:pPr>
      <w:r>
        <w:t>Kohezijska regija Zahodna Slovenija (KRZS) brez Osrednjeslovenske regije (OSR) se je med letoma 2015 in 2017 razvijala nekoliko hitreje od povprečja Slovenije in EU.</w:t>
      </w:r>
    </w:p>
    <w:p w14:paraId="2A2E66DA" w14:textId="77777777" w:rsidR="00894FAB" w:rsidRDefault="00894FAB" w:rsidP="00894FAB"/>
    <w:p w14:paraId="512C8E2A" w14:textId="648256AE" w:rsidR="00894FAB" w:rsidRDefault="00894FAB" w:rsidP="00894FAB">
      <w:pPr>
        <w:pStyle w:val="Odstavekseznama"/>
        <w:numPr>
          <w:ilvl w:val="0"/>
          <w:numId w:val="6"/>
        </w:numPr>
      </w:pPr>
      <w:r>
        <w:t xml:space="preserve">V obdobju zdravstvene in gospodarske krize (2019-2021) ni uspela slediti povprečnim trendom razvoja. Leta 2020 je doživela močan padec, ki jo je približal stopnji razvitosti Kohezijske regije Vzhodna Slovenija (KRVS). Trendi nakazujejo na slab(š)o odpornost KRZS brez OSR na krize. </w:t>
      </w:r>
    </w:p>
    <w:p w14:paraId="3556BA59" w14:textId="77777777" w:rsidR="00894FAB" w:rsidRDefault="00894FAB" w:rsidP="00894FAB"/>
    <w:p w14:paraId="5B37C10C" w14:textId="3DA6D2F0" w:rsidR="00894FAB" w:rsidRDefault="00894FAB" w:rsidP="00894FAB">
      <w:pPr>
        <w:pStyle w:val="Odstavekseznama"/>
        <w:numPr>
          <w:ilvl w:val="0"/>
          <w:numId w:val="6"/>
        </w:numPr>
      </w:pPr>
      <w:r>
        <w:t>Leta 2022 je opazna nadpovprečno hitra gospodarska rast KRZS brez OSR, k čemur je najmočneje prispevala pospešena rast Obalno-kraške in Gorenjske regije.</w:t>
      </w:r>
    </w:p>
    <w:p w14:paraId="04F5C59A" w14:textId="77777777" w:rsidR="00894FAB" w:rsidRDefault="00894FAB" w:rsidP="00894FAB"/>
    <w:p w14:paraId="63AA490F" w14:textId="1EB9069F" w:rsidR="00894FAB" w:rsidRDefault="00894FAB" w:rsidP="00894FAB">
      <w:pPr>
        <w:pStyle w:val="Odstavekseznama"/>
        <w:numPr>
          <w:ilvl w:val="0"/>
          <w:numId w:val="6"/>
        </w:numPr>
      </w:pPr>
      <w:r>
        <w:t>Celotno obravnavno obdobje je bila KRZS brez OSR gospodarsko bolj razvita od KRVS.</w:t>
      </w:r>
    </w:p>
    <w:p w14:paraId="16C1B36C" w14:textId="77777777" w:rsidR="00894FAB" w:rsidRDefault="00894FAB" w:rsidP="00894FAB"/>
    <w:p w14:paraId="200CEA16" w14:textId="77777777" w:rsidR="00894FAB" w:rsidRPr="00894FAB" w:rsidRDefault="00894FAB" w:rsidP="00894FAB">
      <w:pPr>
        <w:rPr>
          <w:u w:val="single"/>
        </w:rPr>
      </w:pPr>
      <w:r w:rsidRPr="00894FAB">
        <w:rPr>
          <w:u w:val="single"/>
        </w:rPr>
        <w:t>Produktivnost:</w:t>
      </w:r>
    </w:p>
    <w:p w14:paraId="2A7D1C25" w14:textId="78F0A4F8" w:rsidR="00894FAB" w:rsidRDefault="00894FAB" w:rsidP="00894FAB">
      <w:pPr>
        <w:pStyle w:val="Odstavekseznama"/>
        <w:numPr>
          <w:ilvl w:val="0"/>
          <w:numId w:val="7"/>
        </w:numPr>
      </w:pPr>
      <w:r>
        <w:t>V KRZS brez OSR je bila do leta 2019 produktivnost rahlo nad slovenskim povprečjem.</w:t>
      </w:r>
    </w:p>
    <w:p w14:paraId="1CAD7C3A" w14:textId="77777777" w:rsidR="00894FAB" w:rsidRDefault="00894FAB" w:rsidP="00894FAB"/>
    <w:p w14:paraId="46838D2B" w14:textId="1F1D8376" w:rsidR="00894FAB" w:rsidRDefault="00894FAB" w:rsidP="00894FAB">
      <w:pPr>
        <w:pStyle w:val="Odstavekseznama"/>
        <w:numPr>
          <w:ilvl w:val="0"/>
          <w:numId w:val="7"/>
        </w:numPr>
      </w:pPr>
      <w:r>
        <w:t>Leta 2020 je opazno padla in se približala vrednostim KRVS.</w:t>
      </w:r>
    </w:p>
    <w:p w14:paraId="3FCB8B21" w14:textId="77777777" w:rsidR="00894FAB" w:rsidRDefault="00894FAB" w:rsidP="00894FAB"/>
    <w:p w14:paraId="7EA54907" w14:textId="5246BBDB" w:rsidR="00894FAB" w:rsidRDefault="00894FAB" w:rsidP="00894FAB">
      <w:pPr>
        <w:pStyle w:val="Odstavekseznama"/>
        <w:numPr>
          <w:ilvl w:val="0"/>
          <w:numId w:val="7"/>
        </w:numPr>
      </w:pPr>
      <w:r>
        <w:t>Leta 2021 se je ponovno dvignila, vendar je bila njena rast manjša od slovenskega povprečja, kar jo je še nekoliko oddaljilo od slovenskega povprečja.</w:t>
      </w:r>
    </w:p>
    <w:p w14:paraId="25EF7BCB" w14:textId="77777777" w:rsidR="00894FAB" w:rsidRDefault="00894FAB" w:rsidP="00894FAB"/>
    <w:p w14:paraId="6F6CE419" w14:textId="6769AC08" w:rsidR="00894FAB" w:rsidRDefault="00894FAB" w:rsidP="00894FAB">
      <w:pPr>
        <w:pStyle w:val="Odstavekseznama"/>
        <w:numPr>
          <w:ilvl w:val="0"/>
          <w:numId w:val="7"/>
        </w:numPr>
      </w:pPr>
      <w:r>
        <w:t>Celotno obravnavno obdobje je bila višja od produktivnosti v KRVS.</w:t>
      </w:r>
    </w:p>
    <w:p w14:paraId="3F778C9E" w14:textId="77777777" w:rsidR="00894FAB" w:rsidRDefault="00894FAB" w:rsidP="00894FAB"/>
    <w:p w14:paraId="685A54D9" w14:textId="77777777" w:rsidR="00894FAB" w:rsidRPr="00894FAB" w:rsidRDefault="00894FAB" w:rsidP="00894FAB">
      <w:pPr>
        <w:rPr>
          <w:u w:val="single"/>
        </w:rPr>
      </w:pPr>
      <w:r w:rsidRPr="00894FAB">
        <w:rPr>
          <w:u w:val="single"/>
        </w:rPr>
        <w:t>Inovativnost:</w:t>
      </w:r>
    </w:p>
    <w:p w14:paraId="6C7605A9" w14:textId="6CE704B1" w:rsidR="00894FAB" w:rsidRDefault="00894FAB" w:rsidP="00894FAB">
      <w:pPr>
        <w:pStyle w:val="Odstavekseznama"/>
        <w:numPr>
          <w:ilvl w:val="0"/>
          <w:numId w:val="8"/>
        </w:numPr>
      </w:pPr>
      <w:r>
        <w:t>Če se v povprečju delež bruto domačih izdatkov za RRD v Sloveniji giblje okoli 2 % BDP, se v KRZS brez OSR od leta 2016 dalje giblje okoli 1,5 % in je po višini deleža primerljiv s KRVS.</w:t>
      </w:r>
    </w:p>
    <w:p w14:paraId="06C415C4" w14:textId="77777777" w:rsidR="00894FAB" w:rsidRDefault="00894FAB" w:rsidP="00894FAB"/>
    <w:p w14:paraId="2B83ACF0" w14:textId="4DA8DBF2" w:rsidR="00894FAB" w:rsidRDefault="00894FAB" w:rsidP="00894FAB">
      <w:pPr>
        <w:pStyle w:val="Odstavekseznama"/>
        <w:numPr>
          <w:ilvl w:val="0"/>
          <w:numId w:val="8"/>
        </w:numPr>
      </w:pPr>
      <w:r>
        <w:t>Razlika med KRZS brez OSR in KRVS je majhna in se od leta 2016 dalje giblje pod 0,2 % v prid izmenjujočih si regij.</w:t>
      </w:r>
    </w:p>
    <w:p w14:paraId="1CDE2E0B" w14:textId="77777777" w:rsidR="00894FAB" w:rsidRDefault="00894FAB" w:rsidP="00894FAB">
      <w:pPr>
        <w:pStyle w:val="Vir"/>
      </w:pPr>
      <w:r>
        <w:t xml:space="preserve"> Vir: Ministrstvo za kohezijo in regionalni razvoj</w:t>
      </w:r>
    </w:p>
    <w:p w14:paraId="37CAFE97" w14:textId="1084B71B" w:rsidR="00894FAB" w:rsidRDefault="00894FAB" w:rsidP="00894FAB">
      <w:pPr>
        <w:pStyle w:val="Naslov2"/>
      </w:pPr>
      <w:r>
        <w:t xml:space="preserve">Sedmo poročilo o napredku pri koriščenju sredstev evropske kohezijske politike v programskem obdobju 2014–2020 in 2021–2027 </w:t>
      </w:r>
    </w:p>
    <w:p w14:paraId="70E52107" w14:textId="77777777" w:rsidR="00894FAB" w:rsidRDefault="00894FAB" w:rsidP="00894FAB">
      <w:r>
        <w:t>Vlada Republike Slovenije se je seznanila s sedmim Poročilom o izvajanju evropske kohezijske politike 2014–2020 in 2021–2027, ki opisuje izvajanje evropske kohezijske politike v teh programskih obdobjih od 1.4. 2024 do 30.4.2024 oziroma podaja pregled stanja na dan 30.4. 2024.  Prvi del poročila je namenjen programskemu obdobju 2014-2020, drugi del pa obdobju 2021-2027.</w:t>
      </w:r>
    </w:p>
    <w:p w14:paraId="0DBC2271" w14:textId="77777777" w:rsidR="00894FAB" w:rsidRDefault="00894FAB" w:rsidP="00894FAB"/>
    <w:p w14:paraId="64C63F27" w14:textId="252E9D87" w:rsidR="00894FAB" w:rsidRDefault="00894FAB" w:rsidP="00894FAB">
      <w:r>
        <w:t xml:space="preserve">S koncem leta 2023 je Slovenija kot ena bolj uspešnih držav EU zaključila programsko obdobje 2014-2020. Izkoristili smo vsa razpoložljiva evropska kohezijska sredstva, namenjena ljudem, gospodarstvu in bolj enakomernemu regionalnemu razvoju Slovenije. Na dan 30. 4. 2024 predstavljajo izplačila iz državnega proračuna 106 % pravic porabe v skupni vrednosti 3,54 </w:t>
      </w:r>
      <w:r>
        <w:lastRenderedPageBreak/>
        <w:t>milijarde evrov (EU del). Zaradi finančnega zaključevanja, ki se še izvaja, se bo ta številka najverjetneje še spremenila oz. povišala.</w:t>
      </w:r>
    </w:p>
    <w:p w14:paraId="1A0A63AF" w14:textId="77777777" w:rsidR="00894FAB" w:rsidRDefault="00894FAB" w:rsidP="00894FAB"/>
    <w:p w14:paraId="1B9EF30A" w14:textId="1E9DE039" w:rsidR="00894FAB" w:rsidRDefault="00894FAB" w:rsidP="00894FAB">
      <w:r>
        <w:t xml:space="preserve">V okviru izvajanja Programa evropske kohezijske politike v programskem obdobju 2021-2027 je Ministrstvo za kohezijo in regionalni razvoj  </w:t>
      </w:r>
      <w:r w:rsidR="00930992">
        <w:t xml:space="preserve">izdalo </w:t>
      </w:r>
      <w:r>
        <w:t>za 511,5 milijona evrov (EU del) odločitev o podpori v skupni vrednosti 511,5 milijona evrov (EU del), v poročanem obdobju za 66,5 milijonov evrov (EU del).</w:t>
      </w:r>
    </w:p>
    <w:p w14:paraId="2DD191BA" w14:textId="3BDE7E88" w:rsidR="00561E75" w:rsidRDefault="00894FAB" w:rsidP="00894FAB">
      <w:pPr>
        <w:pStyle w:val="Vir"/>
      </w:pPr>
      <w:r>
        <w:t>Vir: Ministrstvo za kohezijo in regionalni razvoj</w:t>
      </w:r>
    </w:p>
    <w:p w14:paraId="21F7FB9B" w14:textId="2959DDED" w:rsidR="00E354FC" w:rsidRDefault="00E354FC" w:rsidP="00E354FC">
      <w:pPr>
        <w:pStyle w:val="Naslov2"/>
      </w:pPr>
      <w:r>
        <w:t>Vlada za odstranitev slovenskega paviljona na Expo City Dubaj</w:t>
      </w:r>
    </w:p>
    <w:p w14:paraId="5545F034" w14:textId="77777777" w:rsidR="00E354FC" w:rsidRDefault="00E354FC" w:rsidP="00E354FC">
      <w:r>
        <w:t xml:space="preserve">Vlada se je seznanila s poročilom Ministrstva za gospodarstvo, turizem in šport o izvedenih aktivnostih na projektu Expo City Dubaj po zaključku delovanja slovenskega paviljona in sklenila, da se slovenski paviljon v Dubaju odstrani. </w:t>
      </w:r>
    </w:p>
    <w:p w14:paraId="771CD613" w14:textId="77777777" w:rsidR="00E354FC" w:rsidRDefault="00E354FC" w:rsidP="00E354FC"/>
    <w:p w14:paraId="284D9948" w14:textId="745AC1CB" w:rsidR="00E354FC" w:rsidRDefault="00E354FC" w:rsidP="00E354FC">
      <w:r>
        <w:t>Skladno s sklepom vlade z dne 28. 10. 2022 je slovenski paviljon v Dubaju deloval eno leto, in sicer do 28. 10. 2023 v okviru Ministrstva za gospodarstvo, turizem in šport oziroma izvajalske agencije SPIRIT. Za obdobje med 28. 10. 2023 in 15. 12. 2023 je bil paviljon oddan podjetju Knauf Insulation d.</w:t>
      </w:r>
      <w:r w:rsidR="00804B92">
        <w:t xml:space="preserve"> </w:t>
      </w:r>
      <w:r>
        <w:t>o.</w:t>
      </w:r>
      <w:r w:rsidR="00804B92">
        <w:t xml:space="preserve"> </w:t>
      </w:r>
      <w:r>
        <w:t xml:space="preserve">o, ki ga je v tem obdobju uporabljalo za lastne potrebe. V času podnebne konference COP28 so bile na njem izvedene tudi številne aktivnosti in dogodki ministrstev in SPIRIT Slovenija, javne agencije. </w:t>
      </w:r>
    </w:p>
    <w:p w14:paraId="43FE14BB" w14:textId="77777777" w:rsidR="00E354FC" w:rsidRDefault="00E354FC" w:rsidP="00E354FC"/>
    <w:p w14:paraId="056E1EE8" w14:textId="47E51506" w:rsidR="00E354FC" w:rsidRDefault="00E354FC" w:rsidP="00E354FC">
      <w:r>
        <w:t xml:space="preserve">Ministrstvo za gospodarstvo, turizem in šport je skladno s sklepom vlade z dne 28. 10. 2022, ki je predvideval ohranitev paviljona v obdobju enega leta od sprejetja sklepa na seji </w:t>
      </w:r>
      <w:r w:rsidR="00804B92">
        <w:t>v</w:t>
      </w:r>
      <w:r>
        <w:t xml:space="preserve">lade, pripravilo analizo možnih rešitev za paviljon po izteku obdobja delovanja skladno z vladnim sklepom in obdobjem kratkoročnega najema. Analiza je pokazala, da obstajata dve možnosti, in sicer oddaja paviljona v dolgoročni najem ali odstranitev paviljona in povrnitev zemljišča v prvotno stanje. </w:t>
      </w:r>
    </w:p>
    <w:p w14:paraId="6CA45D01" w14:textId="77777777" w:rsidR="00E354FC" w:rsidRDefault="00E354FC" w:rsidP="00E354FC"/>
    <w:p w14:paraId="7890EE70" w14:textId="5A6D911D" w:rsidR="00E354FC" w:rsidRDefault="00E354FC" w:rsidP="00E354FC">
      <w:r>
        <w:t xml:space="preserve">Glede na predvidene stroške obeh možnosti je Ministrstvo za gospodarstvo, turizem in šport </w:t>
      </w:r>
      <w:r w:rsidR="00804B92">
        <w:t>v</w:t>
      </w:r>
      <w:r>
        <w:t>ladi predlagalo njegovo odstranitev. Ta bi potek</w:t>
      </w:r>
      <w:r w:rsidR="00804B92">
        <w:t>a</w:t>
      </w:r>
      <w:r>
        <w:t>la v letih 2024 in 2025, ocenjena vrednost odstranitve pa bi znašala vsaj 1,5 milijona evrov. Če bo obstajala možnost prodaje paviljona organizatorju, ki bi ga nato odstranil na lastne stroške,</w:t>
      </w:r>
      <w:r w:rsidR="0047079D">
        <w:t xml:space="preserve"> ali možnost, da se paviljon podari, bo</w:t>
      </w:r>
      <w:r>
        <w:t xml:space="preserve"> Republika Slovenija to možnost izkoristila. </w:t>
      </w:r>
    </w:p>
    <w:p w14:paraId="1C8D7E70" w14:textId="77777777" w:rsidR="00E354FC" w:rsidRDefault="00E354FC" w:rsidP="00E354FC">
      <w:pPr>
        <w:pStyle w:val="Vir"/>
      </w:pPr>
      <w:r>
        <w:t>Vir: Ministrstvo za gospodarstvo, turizem in šport</w:t>
      </w:r>
    </w:p>
    <w:p w14:paraId="6D33FC17" w14:textId="17BB6D1A" w:rsidR="00892CF2" w:rsidRDefault="00892CF2" w:rsidP="00892CF2">
      <w:pPr>
        <w:pStyle w:val="Naslov2"/>
      </w:pPr>
      <w:r>
        <w:t xml:space="preserve">Razrešitev generalne direktorice Direktorata za razvojna sredstva </w:t>
      </w:r>
    </w:p>
    <w:p w14:paraId="033DCD33" w14:textId="77777777" w:rsidR="00892CF2" w:rsidRDefault="00892CF2" w:rsidP="00892CF2">
      <w:r>
        <w:t xml:space="preserve">Vlada je izdala odločbo o razrešitvi Sibil Klančar s položaja generalne direktorice Direktorata za razvojna sredstva na Ministrstvu za gospodarstvo, turizem in šport z dnem 31. 5. 2024. </w:t>
      </w:r>
    </w:p>
    <w:p w14:paraId="74F5E06F" w14:textId="77777777" w:rsidR="00892CF2" w:rsidRDefault="00892CF2" w:rsidP="00892CF2"/>
    <w:p w14:paraId="17B00A66" w14:textId="77777777" w:rsidR="00892CF2" w:rsidRDefault="00892CF2" w:rsidP="00892CF2">
      <w:r>
        <w:t>Sibil Klančar je bila z odločbo z dne 30. 3. 2023 imenovana na položaj generalne direktorice Direktorata za razvojna sredstva na Ministrstvu za gospodarstvo, turizem in šport za dobo petih let, in sicer od 1. 4. 2023 do 31. 3. 2028. Ker je dne 17. 4. 2024 podala predlog za prekinitev pogodbe o zaposlitvi in s tem odstopno izjavo za razrešitev s položaja generalne direktorice, jo je vlada na predlog ministra za gospodarstvo, turizem in šport z dnem 31. 5. 2024 razrešila s položaja generalne direktorice Direktorata za razvojna sredstva.</w:t>
      </w:r>
    </w:p>
    <w:p w14:paraId="37729589" w14:textId="24F3FA8F" w:rsidR="00561E75" w:rsidRDefault="00892CF2" w:rsidP="00892CF2">
      <w:pPr>
        <w:pStyle w:val="Vir"/>
      </w:pPr>
      <w:r>
        <w:t>Vir: Ministrstvo za gospodarstvo, turizem in šport</w:t>
      </w:r>
    </w:p>
    <w:p w14:paraId="33FAB09E" w14:textId="722D0C98" w:rsidR="00895B51" w:rsidRDefault="00895B51" w:rsidP="00895B51">
      <w:pPr>
        <w:pStyle w:val="Naslov2"/>
      </w:pPr>
      <w:r>
        <w:t>Vršilka dolžnosti generalnega direktorja Direktorata za razvojna sredstva bo mag. Alenka Marovt Novak</w:t>
      </w:r>
    </w:p>
    <w:p w14:paraId="165FF9E3" w14:textId="77777777" w:rsidR="00895B51" w:rsidRDefault="00895B51" w:rsidP="00895B51">
      <w:r>
        <w:lastRenderedPageBreak/>
        <w:t xml:space="preserve">Vlada je izdala odločbo o imenovanju mag. Alenke Marovt Novak za vršilko dolžnosti generalnega direktorja Direktorata za razvojna sredstva na Ministrstvu za gospodarstvo, turizem in šport, in sicer do imenovanja novega generalnega direktorja Direktorata za razvojna sredstva, vendar največ za 6 mesecev, to je najdlje do 30. 11. 2024. </w:t>
      </w:r>
    </w:p>
    <w:p w14:paraId="7B02406B" w14:textId="77777777" w:rsidR="00895B51" w:rsidRDefault="00895B51" w:rsidP="00895B51"/>
    <w:p w14:paraId="206E499A" w14:textId="77777777" w:rsidR="00895B51" w:rsidRDefault="00895B51" w:rsidP="00895B51">
      <w:r>
        <w:t>Zaradi predlagane razrešitve sedanje generalne direktorice z dnem 31. 5. 2024 in zagotovitve nemotenega dela Direktorata za razvojna sredstva, je vlada na predlog ministra za gospodarstvo, turizem in šport z dnem 1. 6. 2024 imenovala mag. Alenko Marovt Novak za vršilko dolžnosti generalnega direktorja Direktorata za razvojna sredstva na Ministrstvu za gospodarstvo, turizem in šport, in sicer do imenovanja novega generalnega direktorja Direktorata za razvojna sredstva, vendar največ za 6 mesecev, to je najdlje do 30. 11. 2024. Minister bo Uradniškemu svetu podal tudi predlog za začetek postopka izvedbe javnega natečaja za položaj generalnega direktorja.</w:t>
      </w:r>
    </w:p>
    <w:p w14:paraId="420A4ED2" w14:textId="77777777" w:rsidR="00895B51" w:rsidRDefault="00895B51" w:rsidP="00895B51"/>
    <w:p w14:paraId="207E98C5" w14:textId="77777777" w:rsidR="00895B51" w:rsidRDefault="00895B51" w:rsidP="00895B51">
      <w:r>
        <w:t>Mag. Alenka Marovt Novak izpolnjuje predpisane pogoje za položaj generalne direktorice. Ima več kot 27 let delovnih izkušenj, od tega 25 let v javnem sektorju, na področju podjetništva in konkurenčnosti, finančnih instrumentov ter pri samostojnem opravljanju ključnih sistemskih rešitev in drugih najzahtevnejših strokovnih nalog. Ima pa tudi vodstvene izkušnje, saj je na ministrstvu vodila oddelek za povratna sredstva in sektor za podjetništvo.</w:t>
      </w:r>
    </w:p>
    <w:p w14:paraId="22A32033" w14:textId="77777777" w:rsidR="00895B51" w:rsidRDefault="00895B51" w:rsidP="00895B51">
      <w:pPr>
        <w:pStyle w:val="Vir"/>
      </w:pPr>
      <w:r>
        <w:t>Vir: Ministrstvo za gospodarstvo, turizem in šport</w:t>
      </w:r>
    </w:p>
    <w:p w14:paraId="202C5085" w14:textId="0A29EA95" w:rsidR="00C83ABF" w:rsidRDefault="00C83ABF" w:rsidP="00C83ABF">
      <w:pPr>
        <w:pStyle w:val="Naslov2"/>
      </w:pPr>
      <w:r>
        <w:t>Odpoklic izrednih in pooblaščenih veleposlanic v Izraelu, pri Stalnem predstavništvu Slovenije pri OZN, OVSE in drugih mednarodnih organizacijah na Dunaju ter v Češki republiki</w:t>
      </w:r>
    </w:p>
    <w:p w14:paraId="5D6A7528" w14:textId="549C9E32" w:rsidR="00C83ABF" w:rsidRDefault="00C83ABF" w:rsidP="00C83ABF">
      <w:r>
        <w:t>Vlada je določila predlog, da se Andrejo Purkart Martinez odpokliče z dolžnosti izredne in pooblaščene veleposlanice Republike Slovenije v Državi Izrael, prav tako Barbaro Žvokelj z dolžnosti izredne in pooblaščene veleposlanice – vodje Stalnega predstavništva Republike Slovenije pri OZN, OVSE in drugih mednarodnih organizacijah na Dunaju ter Tanjo Strniša z dolžnosti izredne in pooblaščene veleposlanice Republike Slovenije v Češki republiki. Vse z 31. 7. 2024. Predlog se posreduje predsednici Republike Slovenije.</w:t>
      </w:r>
    </w:p>
    <w:p w14:paraId="055A9EFA" w14:textId="78BE05E5" w:rsidR="00561E75" w:rsidRDefault="00C83ABF" w:rsidP="00C83ABF">
      <w:pPr>
        <w:pStyle w:val="Vir"/>
      </w:pPr>
      <w:r>
        <w:t>Vir: Ministrstvo za zunanje in evropske zadeve</w:t>
      </w:r>
    </w:p>
    <w:p w14:paraId="645D6E1C" w14:textId="3F48B01E" w:rsidR="00F70218" w:rsidRDefault="00F70218" w:rsidP="00F70218">
      <w:pPr>
        <w:pStyle w:val="Naslov2"/>
      </w:pPr>
      <w:r>
        <w:t>Imenovanje predsednika in članov Nacionalnega sveta za kulturo</w:t>
      </w:r>
    </w:p>
    <w:p w14:paraId="528973E6" w14:textId="77777777" w:rsidR="00F70218" w:rsidRDefault="00F70218" w:rsidP="00F70218">
      <w:r>
        <w:t>Vlada je Državnemu zboru predlagala, da se v Nacionalni svet za kulturo za mandatno dobo petih let, z možnostjo ponovnega imenovanja imenujejo: Jurij Krpan, predsednik; Uroš Korenčan, član; Franci Krevh, član; Tanja Petrič, članica; Martin Srebotnjak, član; Majda Širca Ravnikar, članica in dr. Kaja Širok, članica.</w:t>
      </w:r>
    </w:p>
    <w:p w14:paraId="7E301731" w14:textId="77777777" w:rsidR="00F70218" w:rsidRDefault="00F70218" w:rsidP="00F70218"/>
    <w:p w14:paraId="15F6AE6F" w14:textId="77777777" w:rsidR="00F70218" w:rsidRDefault="00F70218" w:rsidP="00F70218">
      <w:r>
        <w:t>Predsedniku in članom Nacionalnega sveta za kulturo, ki so bili imenovani s sklepom Državnega zbora dne 26. 9. 2019, namreč poteče mandat 26. 9. 2024, zato je potrebno novo imenovanje za naslednji petletni mandat.</w:t>
      </w:r>
    </w:p>
    <w:p w14:paraId="338EA713" w14:textId="77777777" w:rsidR="00F70218" w:rsidRDefault="00F70218" w:rsidP="00F70218"/>
    <w:p w14:paraId="29083A09" w14:textId="11B9C9A5" w:rsidR="00F70218" w:rsidRDefault="00F70218" w:rsidP="00F70218">
      <w:r>
        <w:t>Ministrica za kulturo predlaga vladi, da Državnemu zboru pošlje predlog za imenovanje predsednika in članov Nacionalnega sveta za kulturo. Državni zbor na predlog vlade imenuje predsednika in šest članov sveta izmed osebnosti, ki uživajo javni ugled, za obdobje petih let in so lahko ponovno imenovani. Javno vabilo za članstvo v Nacionalnem svetu za kulturo je bilo 18. 3. 2024 objavljeno na spletni strani Ministrstva za kulturo. Vsi predlagani kandidati so podali pisno soglasje k imenovanju.</w:t>
      </w:r>
    </w:p>
    <w:p w14:paraId="3BA7286A" w14:textId="77777777" w:rsidR="00F70218" w:rsidRDefault="00F70218" w:rsidP="00F70218"/>
    <w:p w14:paraId="16C63D62" w14:textId="77777777" w:rsidR="00F70218" w:rsidRDefault="00F70218" w:rsidP="00F70218">
      <w:r>
        <w:lastRenderedPageBreak/>
        <w:t xml:space="preserve">Jurij Krpan je diplomiral na Fakulteti za arhitekturo v Ljubljani. Leta 1995 je zasnoval program Galerije Kapelica – galerije za sodobno raziskovalno umetnost. Kot kustos in komisar je sodeloval pri domačih in mednarodnih razstavah in festivalih, med največjimi mednarodnimi produkcijami doslej pa je organizacija in umetniško vodstvo slovenskega nacionalnega paviljona na 50. Beneškem bienalu leta 2003, konceptualne galerije </w:t>
      </w:r>
      <w:proofErr w:type="spellStart"/>
      <w:r>
        <w:t>Cosinus</w:t>
      </w:r>
      <w:proofErr w:type="spellEnd"/>
      <w:r>
        <w:t xml:space="preserve"> BRX v stavbi Evropske komisije v Bruslju (2005–2010) in 5. trienale sodobnih raziskovalnih umetnosti 2006 v Moderni galeriji v Ljubljani. Septembra 2008 je </w:t>
      </w:r>
      <w:proofErr w:type="spellStart"/>
      <w:r>
        <w:t>kuriral</w:t>
      </w:r>
      <w:proofErr w:type="spellEnd"/>
      <w:r>
        <w:t xml:space="preserve"> predstavitev Galerije Kapelica v sekciji </w:t>
      </w:r>
      <w:proofErr w:type="spellStart"/>
      <w:r>
        <w:t>Featured</w:t>
      </w:r>
      <w:proofErr w:type="spellEnd"/>
      <w:r>
        <w:t xml:space="preserve"> Art Scene festivala Ars </w:t>
      </w:r>
      <w:proofErr w:type="spellStart"/>
      <w:r>
        <w:t>Electronica</w:t>
      </w:r>
      <w:proofErr w:type="spellEnd"/>
      <w:r>
        <w:t xml:space="preserve"> v Linzu in leta 2009 pregled sodobne raziskovalne umetnosti v velikem studiu Viba filma v Ljubljani. Leta 2014 je bil </w:t>
      </w:r>
      <w:proofErr w:type="spellStart"/>
      <w:r>
        <w:t>sokustos</w:t>
      </w:r>
      <w:proofErr w:type="spellEnd"/>
      <w:r>
        <w:t xml:space="preserve"> sekcije </w:t>
      </w:r>
      <w:proofErr w:type="spellStart"/>
      <w:r>
        <w:t>Designing</w:t>
      </w:r>
      <w:proofErr w:type="spellEnd"/>
      <w:r>
        <w:t xml:space="preserve"> Life Bienala oblikovanja v Ljubljani in </w:t>
      </w:r>
      <w:proofErr w:type="spellStart"/>
      <w:r>
        <w:t>sokustos</w:t>
      </w:r>
      <w:proofErr w:type="spellEnd"/>
      <w:r>
        <w:t xml:space="preserve"> slovenskega paviljona na mednarodnem arhitekturnem bienalu v Benetkah. Bil je član žirije Prix Ars </w:t>
      </w:r>
      <w:proofErr w:type="spellStart"/>
      <w:r>
        <w:t>Electronica</w:t>
      </w:r>
      <w:proofErr w:type="spellEnd"/>
      <w:r>
        <w:t xml:space="preserve"> za kategorijo </w:t>
      </w:r>
      <w:proofErr w:type="spellStart"/>
      <w:r>
        <w:t>Hybrid</w:t>
      </w:r>
      <w:proofErr w:type="spellEnd"/>
      <w:r>
        <w:t xml:space="preserve"> Arts v letih 2010, '13, '15, '16, '17 in 2023. Od leta 2012 je umetniški vodja Zavoda </w:t>
      </w:r>
      <w:proofErr w:type="spellStart"/>
      <w:r>
        <w:t>Kesnikova</w:t>
      </w:r>
      <w:proofErr w:type="spellEnd"/>
      <w:r>
        <w:t xml:space="preserve">, kjer raziskovalno-razvojni laboratoriji </w:t>
      </w:r>
      <w:proofErr w:type="spellStart"/>
      <w:r>
        <w:t>BioTehna</w:t>
      </w:r>
      <w:proofErr w:type="spellEnd"/>
      <w:r>
        <w:t xml:space="preserve">, Rampa in Vivarij postanejo pomembne raziskovalne in produkcijske platforme Galerije Kapelica. Od začetka leta 2017 dela na sistemskih rešitvah za oblikovanje inovacij, ki prevajajo umetniške in oblikovalske načine razmišljanja v katalizatorje inovacij za industrije in skupnosti za bolj trajnostno, varnejšo, vključujočo in etično prihodnost. Leta 2020 je </w:t>
      </w:r>
      <w:proofErr w:type="spellStart"/>
      <w:r>
        <w:t>sokuriral</w:t>
      </w:r>
      <w:proofErr w:type="spellEnd"/>
      <w:r>
        <w:t xml:space="preserve"> simpozij The Future of Living </w:t>
      </w:r>
      <w:proofErr w:type="spellStart"/>
      <w:r>
        <w:t>with</w:t>
      </w:r>
      <w:proofErr w:type="spellEnd"/>
      <w:r>
        <w:t xml:space="preserve"> AI za EUNIC na </w:t>
      </w:r>
      <w:proofErr w:type="spellStart"/>
      <w:r>
        <w:t>Bozar</w:t>
      </w:r>
      <w:proofErr w:type="spellEnd"/>
      <w:r>
        <w:t xml:space="preserve"> Bruselj, kjer je bil predstavljen izbor slovenskih umetnikov v okviru nagrad S+T+ARTS. Leta 2019 mu je Služba Vlade Republike Slovenije za razvoj in evropsko kohezijsko politiko podelila naziv ambasador pametne specializacije Republike Slovenije. Od leta 2019 do danes je član Nacionalnega sveta za kulturo Republike Slovenije. Jurij Krpan predava o umetniškem profilu Galerije Kapelica in Zavoda Kersnikova ter o ustvarjalnih potencialih sodobne raziskovalne umetnosti na odprtih robovih znanosti, tehnologij in družbe.</w:t>
      </w:r>
    </w:p>
    <w:p w14:paraId="4E2D8808" w14:textId="77777777" w:rsidR="00F70218" w:rsidRDefault="00F70218" w:rsidP="00F70218"/>
    <w:p w14:paraId="43C873EC" w14:textId="77777777" w:rsidR="00F70218" w:rsidRDefault="00F70218" w:rsidP="00F70218">
      <w:r>
        <w:t>Uroš Korenčan je diplomiral na Univerzi v Ljubljani, kjer je končal študij filozofije in družboslovja. Ima obsežne izkušnje na različnih področjih kulturne produkcije in kulturnih politik. Med letoma 1996 in 2001 je delal v Cankarjevem domu, večino tega časa kot producent in organizator v gledališkem oddelku. Ko je med letoma 2001 in 2006 delal na Ministrstvu za kulturo Republike Slovenije, je bil skrbnik področja uprizoritvenih umetnosti. Sodeloval je v več delovnih telesih na področju kulturne politike, kot predstavnik ministrstva pa je bil imenovan za člana Upravnega odbora razpisnega programa Kultura 2000 in Norveškega sklada. V Mestni občini Kranj je od leta 2007 do 2011 vodil Oddelek za družbene zadeve. Od leta 2011 zaseda mesto generalnega direktorja v Lutkovnem gledališču Ljubljana, prav tako je član več različnih strokovnih organov.</w:t>
      </w:r>
    </w:p>
    <w:p w14:paraId="7C13F67A" w14:textId="77777777" w:rsidR="00F70218" w:rsidRDefault="00F70218" w:rsidP="00F70218"/>
    <w:p w14:paraId="24E3AD0B" w14:textId="77777777" w:rsidR="00F70218" w:rsidRDefault="00F70218" w:rsidP="00F70218">
      <w:r>
        <w:t xml:space="preserve">Franci Krevh (1973) je začel pridobivati glasbene izkušnje v rodnem Slovenj Gradcu, kjer je s skupinami </w:t>
      </w:r>
      <w:proofErr w:type="spellStart"/>
      <w:r>
        <w:t>Xenophobia</w:t>
      </w:r>
      <w:proofErr w:type="spellEnd"/>
      <w:r>
        <w:t xml:space="preserve">, Pulsa </w:t>
      </w:r>
      <w:proofErr w:type="spellStart"/>
      <w:r>
        <w:t>Theatro</w:t>
      </w:r>
      <w:proofErr w:type="spellEnd"/>
      <w:r>
        <w:t xml:space="preserve"> in </w:t>
      </w:r>
      <w:proofErr w:type="spellStart"/>
      <w:r>
        <w:t>Jazoo</w:t>
      </w:r>
      <w:proofErr w:type="spellEnd"/>
      <w:r>
        <w:t xml:space="preserve"> soustvarjal alternativno ter rokovsko sceno na Koroškem in širše. Diplomiral je na oddelku za tolkala na Akademiji za glasbo v Ljubljani pri prof. Borisu Šurbku. Je član Orkestra Slovenske filharmonije in se je med drugim predstavil tudi kot solist (Tan Dun: Paper </w:t>
      </w:r>
      <w:proofErr w:type="spellStart"/>
      <w:r>
        <w:t>Concerto</w:t>
      </w:r>
      <w:proofErr w:type="spellEnd"/>
      <w:r>
        <w:t xml:space="preserve">; Nina Šenk: </w:t>
      </w:r>
      <w:proofErr w:type="spellStart"/>
      <w:r>
        <w:t>Quadrum</w:t>
      </w:r>
      <w:proofErr w:type="spellEnd"/>
      <w:r>
        <w:t xml:space="preserve"> in drugo). Je ustanovni član tolkalne skupine Slovenski tolkalni projekt (</w:t>
      </w:r>
      <w:proofErr w:type="spellStart"/>
      <w:r>
        <w:t>SToP</w:t>
      </w:r>
      <w:proofErr w:type="spellEnd"/>
      <w:r>
        <w:t xml:space="preserve">), s katero redno izdaja zgoščenke ter gostuje na domačih in tujih odrih. Strokovno in sistematično se poglablja v slovensko tolkalno glasbo, ob tem pa skupaj s kolegi in kiparko Alenko Vidrgar raziskuje unikatni zvok in inovativno glasbeno uporabnost kraškega kamna. Je soavtor Tolkalnega terminološkega slovarja, ki sta ga pripravila z jezikoslovko Marjeto Humar na Inštitutu Frana Ramovša ZRC SAZU. V zadnjih letih delovanja se je uveljavil tudi kot snovalec simfoničnih programov za mlade, med njimi so simfonične matineje Glasbene mladine Slovenije, od leta 2020 pa je umetniški vodja družinskih abonmajev Slovenske filharmonije. Nove izzive išče z Ansamblom za sodobno glasbo MD7 in ansamblom za staro glasbo Capella </w:t>
      </w:r>
      <w:proofErr w:type="spellStart"/>
      <w:r>
        <w:t>Carniola</w:t>
      </w:r>
      <w:proofErr w:type="spellEnd"/>
      <w:r>
        <w:t>. Z Ansamblom za sodobno glasbo MD7 je leta 2013 prejel Lipovškovo nagrado. S skupino Slovenski tolkalni projekt (</w:t>
      </w:r>
      <w:proofErr w:type="spellStart"/>
      <w:r>
        <w:t>SToP</w:t>
      </w:r>
      <w:proofErr w:type="spellEnd"/>
      <w:r>
        <w:t>) je leta 2013 prejel Župančičevo nagrado in leta 2014 nagrado Prešernovega sklada.</w:t>
      </w:r>
    </w:p>
    <w:p w14:paraId="4D724940" w14:textId="77777777" w:rsidR="00F70218" w:rsidRDefault="00F70218" w:rsidP="00F70218"/>
    <w:p w14:paraId="3470F651" w14:textId="77777777" w:rsidR="00F70218" w:rsidRDefault="00F70218" w:rsidP="00F70218">
      <w:r>
        <w:t xml:space="preserve">Tanja Petrič je diplomirala iz primerjalne književnosti in literarne teorije ter germanistike na Filozofski fakulteti Univerze v Ljubljani. Študijsko in strokovno se je več let izpopolnjevala tudi v tujini – predvsem v Berlinu in na Dunaju; bila je vključena v več mednarodnih rezidenčnih </w:t>
      </w:r>
      <w:r>
        <w:lastRenderedPageBreak/>
        <w:t>programov in strokovnih oziroma znanstvenih projektov, zlasti v povezavi z nemškim govornim prostorom. Je samozaposlena na področju književnega prevajanja in literarne kritike. Ima dolgoletne izkušnje z delom v kulturi, predvsem na področjih knjige, založništva in kulturnega novinarstva. Svoja besedila je objavljala v različnih tiskanih in spletnih medijih, pa tudi na radiu. Deluje kot samostojna literarna kritičarka, prevajalka leposlovnih in humanističnih besedil iz nemščine ter urednica, moderatorka literarnih dogodkov in vodja mednarodnih projektov s področja prevajanja, književnosti in medgeneracijskega sodelovanja. Tanja Petrič je tudi aktivna članica stanovskih organizacij, med njimi Društva slovenskih literarnih kritikov, Slovenskega centra PEN in Društva slovenskih književnih prevajalcev, ki mu od leta 2020 predseduje. Med letoma 2013 in 2018 je bila članica Sveta Javne agencije za knjigo Republike Slovenije, kjer se je poglobljeno ukvarjala z zakonodajo s področja kulture ter problematiko kulturnega sektorja. Ima bogate izkušnje tudi na mednarodnem področju, saj je delegatka Evropskega sveta združenj književnih prevajalcev (CEATL) in članica CEATL-ove delovne skupine, ki se ukvarja z avtorskimi pravicami književnih prevajalcev. Kot koordinatorka mednarodnih projektov s področja knjige se sooča s praktičnimi vidiki črpanja evropskih sredstev in kompleksnimi prijavnimi postopki. V letu 2023 je postala podpredsednica Delovne skupine za trajni dialog s samozaposlenimi in drugimi delavci v kulturi pri Ministrstvu za kulturo Republike Slovenije, kjer sodeluje pri ključnih dokumentih in temah, ki vplivajo na kulturni sektor, kot so dopolnjen seznam poklicev in prenovljena merila za samozaposlene v kulturi ter spremembe Resolucije o nacionalnem programu za kulturo.</w:t>
      </w:r>
    </w:p>
    <w:p w14:paraId="6CA641A3" w14:textId="77777777" w:rsidR="00F70218" w:rsidRDefault="00F70218" w:rsidP="00F70218"/>
    <w:p w14:paraId="4130FD9B" w14:textId="77777777" w:rsidR="00F70218" w:rsidRDefault="00F70218" w:rsidP="00F70218">
      <w:r>
        <w:t>Martin Srebotnjak je dolgoletni filmski in televizijski ustvarjalec. Od leta 1998 deluje kot režiser, scenarist, igralec, pa tudi kot montažer in producent. Od leta 2001 je zaposlen na AGRFT Univerze v Ljubljani, od leta 2008 kot visokošolski učitelj za področje filmske režije. Je aktiven član v različnih strokovnih združenjih in svetih. Od leta 2015 je član Sveta za avtorsko pravo Republike Slovenije, kjer od leta 2016 opravlja nalogo namestnika predsednika sveta. Med letoma 2011 in 2016 je bil član Sveta Slovenskega filmskega centra, javne agencije Republike Slovenije. Aktivno deluje v združenjih, ki zastopajo interese filmskih ustvarjalcev. Bil je pobudnik ustanovitve Društva slovenskih režiserjev in režiserk, med letoma 2005 in 2010 je bil najprej podpredsednik društva, nato pa štiri leta predsednik. Od leta 2023 sodeluje pri nastajanju in razvoju angleško-slovenskega slovarja avdiovizualnega besedišča. Diplomiral je iz računalništva in informatike ter pridobil diplomo iz filmske in televizijske režije.</w:t>
      </w:r>
    </w:p>
    <w:p w14:paraId="0F7DF2A9" w14:textId="77777777" w:rsidR="00F70218" w:rsidRDefault="00F70218" w:rsidP="00F70218"/>
    <w:p w14:paraId="6DD2FE94" w14:textId="77777777" w:rsidR="00F70218" w:rsidRDefault="00F70218" w:rsidP="00F70218">
      <w:r>
        <w:t>Majda Širca Ravnikar je diplomirana umetnostna zgodovinarka. V svoji karieri je delovala kot novinarka, urednica kulturno-informativnega in umetniškega dokumentarnega programa TVS, avtorica televizijskih oddaj in dokumentarnih filmov ter knjižnih, revijalnih in časopisnih besedil s področja filma, avdiovizualne kulture, umetnosti, humanistike in družboslovja. Od leta 1997 do 2000 je bila državna sekretarka na Ministrstvu za kulturo, med letoma 2000 in 2008 je bila poslanka Državnega zbora Republike Slovenije, takoj po vstopu Slovenije v EU za kratko obdobje evropska poslanka, v letih od 2008 do 2011 pa je bila ministrica za kulturo. Je dobitnica številnih nagrad, med drugim Tomšičeve nagrade, šestih viktorjev za njena dela na RTVS ter priznanja za življenjsko delo revije Ekran.</w:t>
      </w:r>
    </w:p>
    <w:p w14:paraId="527D7504" w14:textId="77777777" w:rsidR="00F70218" w:rsidRDefault="00F70218" w:rsidP="00F70218"/>
    <w:p w14:paraId="31FF0108" w14:textId="77777777" w:rsidR="00F70218" w:rsidRDefault="00F70218" w:rsidP="00F70218">
      <w:r>
        <w:t xml:space="preserve">Dr. Kaja Širok je strokovnjakinja na področju zgodovine, muzeologije in dediščinskih študij. Do leta 2011 je bila zaposlena na Fakulteti za dizajn, kjer je vodila Oddelek za vizualne komunikacije, med letoma 2011 in 2021 je bila direktorica javnega zavoda Muzej novejše zgodovine Slovenije. Raziskovalno je bila hkrati aktivna v okviru programske skupine na Oddelku za sociologijo Filozofske fakultete v Ljubljani. Leta 2022 je bila imenovana za direktorico javnega zavoda GO! 2025 Nova Gorica - Gorica, aktivno predava na Fakulteti za humanistiko Univerze v Novi Gorici. Kot državna sekretarka v Kabinetu predsednika Vlade Republike Slovenije je delovala med letoma 2022 in 2024. Je avtorica številnih znanstvenih publikacij, prejemnica različnih nagrad in priznanj za svoje delo ter članica strokovnih in akademskih združenj tako na domači kot mednarodni ravni. Je članica akademskega sveta Hiše evropske zgodovine v Bruslju in od leta 2022 članica izvršnega odbora mednarodne </w:t>
      </w:r>
      <w:r>
        <w:lastRenderedPageBreak/>
        <w:t>muzejske zveze ICOM. Redno sodeluje v programskih odborih mednarodnih konferenc ter vodi predavanja in delavnice na temo muzeologije, kulturne dediščine in zgodovine.</w:t>
      </w:r>
    </w:p>
    <w:p w14:paraId="20E209A4" w14:textId="47150C2C" w:rsidR="00561E75" w:rsidRDefault="00F70218" w:rsidP="00F70218">
      <w:pPr>
        <w:pStyle w:val="Vir"/>
      </w:pPr>
      <w:r>
        <w:t>Vir: Ministrstvo za kulturo</w:t>
      </w:r>
    </w:p>
    <w:p w14:paraId="7607C6F6" w14:textId="3B10E9D7" w:rsidR="00CA579F" w:rsidRDefault="00CA579F" w:rsidP="00CA579F">
      <w:pPr>
        <w:pStyle w:val="Naslov2"/>
      </w:pPr>
      <w:r>
        <w:t xml:space="preserve">Majo Albreht bo v Upravnem in Proračunskem odboru Urada Evropske unije za intelektualno lastnino zamenjala Mojca </w:t>
      </w:r>
      <w:proofErr w:type="spellStart"/>
      <w:r>
        <w:t>Kušelj</w:t>
      </w:r>
      <w:proofErr w:type="spellEnd"/>
      <w:r>
        <w:t xml:space="preserve"> </w:t>
      </w:r>
    </w:p>
    <w:p w14:paraId="0667B104" w14:textId="77777777" w:rsidR="00CA579F" w:rsidRDefault="00CA579F" w:rsidP="00CA579F">
      <w:r>
        <w:t>Vlada je z mesta namestnika predstavnika Republike Slovenije v Upravnem in Proračunskem odboru Urada Evropske unije za intelektualno lastnino (</w:t>
      </w:r>
      <w:proofErr w:type="spellStart"/>
      <w:r>
        <w:t>European</w:t>
      </w:r>
      <w:proofErr w:type="spellEnd"/>
      <w:r>
        <w:t xml:space="preserve"> Union </w:t>
      </w:r>
      <w:proofErr w:type="spellStart"/>
      <w:r>
        <w:t>Intellectual</w:t>
      </w:r>
      <w:proofErr w:type="spellEnd"/>
      <w:r>
        <w:t xml:space="preserve"> </w:t>
      </w:r>
      <w:proofErr w:type="spellStart"/>
      <w:r>
        <w:t>Property</w:t>
      </w:r>
      <w:proofErr w:type="spellEnd"/>
      <w:r>
        <w:t xml:space="preserve"> Office - EUIPO) razrešila Majo Albreht in na to mesto imenovala Mojco Kušej. </w:t>
      </w:r>
    </w:p>
    <w:p w14:paraId="52FE87B8" w14:textId="77777777" w:rsidR="00CA579F" w:rsidRDefault="00CA579F" w:rsidP="00CA579F"/>
    <w:p w14:paraId="09A99090" w14:textId="77777777" w:rsidR="00CA579F" w:rsidRDefault="00CA579F" w:rsidP="00CA579F">
      <w:r>
        <w:t>S sklepom Vlade Republike Slovenije z dne 28. 5. 2020 je bila na mesto namestnika predstavnika Republike Slovenije v Proračunskem odboru EUIPO in na mesto namestnika predstavnika Republike Slovenije v Upravnem odboru EUIPO imenovana Maja Albreht, sekretarka na Uradu RS za intelektualno lastnino.</w:t>
      </w:r>
    </w:p>
    <w:p w14:paraId="491B9B4F" w14:textId="77777777" w:rsidR="00CA579F" w:rsidRDefault="00CA579F" w:rsidP="00CA579F"/>
    <w:p w14:paraId="43220BFA" w14:textId="77777777" w:rsidR="00CA579F" w:rsidRDefault="00CA579F" w:rsidP="00CA579F">
      <w:r>
        <w:t>Zaradi prerazporeditve del in nalog je vlada Majo Albreht razrešila z mesta namestnika predstavnika Republike Slovenije v Upravnem odboru EUIPO in Proračunskem odboru EUIPO in na navedeni mesti imenovala Mojco Kušej, sekretarko na Uradu RS za intelektualno lastnino.</w:t>
      </w:r>
    </w:p>
    <w:p w14:paraId="0C324D57" w14:textId="77777777" w:rsidR="00CA579F" w:rsidRDefault="00CA579F" w:rsidP="00CA579F"/>
    <w:p w14:paraId="00CDBC14" w14:textId="77777777" w:rsidR="00CA579F" w:rsidRDefault="00CA579F" w:rsidP="00CA579F">
      <w:r>
        <w:t xml:space="preserve">Na podlagi Uredbe (EU) 2017/1001 Evropskega parlamenta in Sveta z dne 14. 6. 2017 o blagovni znamki Evropske unije, sestavljajo Upravni odbor in Proračunski odbor EUIPO po en predstavnik vsake države članice, dva predstavnika Evropske komisije in en predstavnik Evropskega parlamenta ter njihovi namestniki. </w:t>
      </w:r>
    </w:p>
    <w:p w14:paraId="6FB50AF4" w14:textId="77777777" w:rsidR="00CA579F" w:rsidRDefault="00CA579F" w:rsidP="00CA579F">
      <w:pPr>
        <w:pStyle w:val="Vir"/>
      </w:pPr>
      <w:r w:rsidRPr="00CA579F">
        <w:rPr>
          <w:rStyle w:val="VirZnak"/>
        </w:rPr>
        <w:t>Vir: Ministrstvo za gospodarstvo, turizem in</w:t>
      </w:r>
      <w:r>
        <w:t xml:space="preserve"> šport</w:t>
      </w:r>
    </w:p>
    <w:p w14:paraId="77392637" w14:textId="1443FF43" w:rsidR="00291BC4" w:rsidRDefault="00291BC4" w:rsidP="00291BC4">
      <w:pPr>
        <w:pStyle w:val="Naslov2"/>
      </w:pPr>
      <w:r>
        <w:t>Imenovanje predstavnikov v svet javnega zavoda Inštituta za vode Republike Slovenije</w:t>
      </w:r>
    </w:p>
    <w:p w14:paraId="3AE69E06" w14:textId="77777777" w:rsidR="00291BC4" w:rsidRDefault="00291BC4" w:rsidP="00291BC4">
      <w:r>
        <w:t>Vlada je v svet javnega zavoda Inštitut za vode Republike Slovenije se za mandatno dobo štirih let, in sicer od 24. 5. 2024 do 23. 5. 2028, z možnostjo ponovnega imenovanja, kot predstavnike ustanovitelja imenovala dr. Lidijo Globevnik, članico, Ministrstvo za naravne vire in prostor; mag. Mojco Štritof Brus, članico, Ministrstvo za naravne vire in prostor in mag. Tatjana Colnar, članico Ministrstvo za infrastrukturo.</w:t>
      </w:r>
    </w:p>
    <w:p w14:paraId="3C491F47" w14:textId="77777777" w:rsidR="00291BC4" w:rsidRDefault="00291BC4" w:rsidP="00291BC4"/>
    <w:p w14:paraId="5C41AB20" w14:textId="77777777" w:rsidR="00291BC4" w:rsidRDefault="00291BC4" w:rsidP="00291BC4">
      <w:r>
        <w:t xml:space="preserve">Prejšnjim članom sveta Inštituta za vode Republike Slovenije je  namreč mandat potekel.  </w:t>
      </w:r>
    </w:p>
    <w:p w14:paraId="17786715" w14:textId="5E4EDDA3" w:rsidR="00561E75" w:rsidRDefault="00291BC4" w:rsidP="00291BC4">
      <w:pPr>
        <w:pStyle w:val="Vir"/>
      </w:pPr>
      <w:r>
        <w:t>Vir: Ministrstvo za naravne vire in prostor</w:t>
      </w:r>
    </w:p>
    <w:p w14:paraId="0649A110" w14:textId="4E8FCC0A" w:rsidR="00EA7C8F" w:rsidRDefault="00EA7C8F" w:rsidP="00EA7C8F">
      <w:pPr>
        <w:pStyle w:val="Naslov2"/>
      </w:pPr>
      <w:r>
        <w:t>Vlada imenovala članico in nadomestnega člana Evropske komisije za demokracijo skozi pravo (Beneške komisije)</w:t>
      </w:r>
    </w:p>
    <w:p w14:paraId="19ED6FED" w14:textId="77777777" w:rsidR="00EA7C8F" w:rsidRDefault="00EA7C8F" w:rsidP="00EA7C8F">
      <w:r>
        <w:t>Vlada Republike Slovenije je imenovala mag. Nino Betetto za članico in dr. Saša Zagorca za nadomestnega člana Evropske komisije za demokracijo skozi pravo (Beneške komisije) za obdobje štirih let, od 28. 5. 2024 do 27. 5. 2028.</w:t>
      </w:r>
    </w:p>
    <w:p w14:paraId="78E97FF2" w14:textId="44EB91D7" w:rsidR="00561E75" w:rsidRDefault="00EA7C8F" w:rsidP="00EA7C8F">
      <w:pPr>
        <w:pStyle w:val="Vir"/>
      </w:pPr>
      <w:r>
        <w:t>Vir: Ministrstvo za pravosodje</w:t>
      </w:r>
    </w:p>
    <w:p w14:paraId="2612837C" w14:textId="566980B3" w:rsidR="005F1092" w:rsidRDefault="005F1092" w:rsidP="005F1092">
      <w:pPr>
        <w:pStyle w:val="Naslov2"/>
      </w:pPr>
      <w:r>
        <w:t>Imenovanje člana nadzornega sveta Stanovanjskega sklada Republike Slovenije</w:t>
      </w:r>
    </w:p>
    <w:p w14:paraId="6C10E86D" w14:textId="025A7C71" w:rsidR="005F1092" w:rsidRDefault="005F1092" w:rsidP="005F1092">
      <w:r>
        <w:t xml:space="preserve">Vlada je sprejela sklep, da v nadzorni svet Stanovanjskega sklada Republike Slovenije, javnega sklada, zaradi poteka mandata Suzani Emeršič, za mandatno dobo štirih let, to je od 24. 5. </w:t>
      </w:r>
      <w:r>
        <w:lastRenderedPageBreak/>
        <w:t xml:space="preserve">2024 pa do 25. 5. 2028, z možnostjo ponovnega imenovanja, kot predstavnika občin imenuje mag. Primoža Brvarja.  </w:t>
      </w:r>
    </w:p>
    <w:p w14:paraId="5FB1A032" w14:textId="77777777" w:rsidR="005F1092" w:rsidRDefault="005F1092" w:rsidP="005F1092"/>
    <w:p w14:paraId="3C5B8F15" w14:textId="13AF4BFA" w:rsidR="005F1092" w:rsidRDefault="005F1092" w:rsidP="005F1092">
      <w:r>
        <w:t>Primož Brvar, po izobrazbi magister poslovnih ved, je od leta 2014 direktor družbe nepremičnine Celje d.</w:t>
      </w:r>
      <w:r w:rsidR="001B23E0">
        <w:t xml:space="preserve"> </w:t>
      </w:r>
      <w:r>
        <w:t>o.</w:t>
      </w:r>
      <w:r w:rsidR="001B23E0">
        <w:t xml:space="preserve"> </w:t>
      </w:r>
      <w:r>
        <w:t xml:space="preserve">o., od istega leta pa je tudi član upravnega odbora Združenja stanovanjskih skladov pri GZS. </w:t>
      </w:r>
    </w:p>
    <w:p w14:paraId="010C8946" w14:textId="665ADA12" w:rsidR="005F1092" w:rsidRDefault="005F1092" w:rsidP="005F1092">
      <w:pPr>
        <w:pStyle w:val="Vir"/>
      </w:pPr>
      <w:r>
        <w:t>Vir: Ministrstvo za solidarno prihodnost</w:t>
      </w:r>
    </w:p>
    <w:p w14:paraId="30DE6133" w14:textId="77777777" w:rsidR="00561E75" w:rsidRDefault="00561E75" w:rsidP="00561E75"/>
    <w:p w14:paraId="5E43B153" w14:textId="77777777" w:rsidR="00561E75" w:rsidRDefault="00561E75" w:rsidP="00561E75"/>
    <w:p w14:paraId="65F6A826" w14:textId="77777777" w:rsidR="00561E75" w:rsidRDefault="00561E75" w:rsidP="00561E75"/>
    <w:p w14:paraId="429DA254" w14:textId="77777777" w:rsidR="00561E75" w:rsidRDefault="00561E75" w:rsidP="00561E75"/>
    <w:p w14:paraId="34695944" w14:textId="77777777" w:rsidR="00561E75" w:rsidRDefault="00561E75" w:rsidP="00561E75">
      <w:r>
        <w:t xml:space="preserve"> </w:t>
      </w:r>
    </w:p>
    <w:p w14:paraId="48925CFF" w14:textId="77777777" w:rsidR="00561E75" w:rsidRDefault="00561E75" w:rsidP="00561E75"/>
    <w:p w14:paraId="32066D91" w14:textId="77777777" w:rsidR="00561E75" w:rsidRDefault="00561E75" w:rsidP="00561E75"/>
    <w:p w14:paraId="3BA61FBB" w14:textId="77777777" w:rsidR="00561E75" w:rsidRDefault="00561E75" w:rsidP="00561E75"/>
    <w:p w14:paraId="43715116" w14:textId="77777777" w:rsidR="00561E75" w:rsidRPr="00561E75" w:rsidRDefault="00561E75" w:rsidP="00561E75"/>
    <w:p w14:paraId="2E326559" w14:textId="77777777" w:rsidR="008336E7" w:rsidRPr="00A7412B" w:rsidRDefault="008336E7" w:rsidP="008336E7"/>
    <w:sectPr w:rsidR="008336E7" w:rsidRPr="00A7412B"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C702A" w14:textId="77777777" w:rsidR="00737CD8" w:rsidRDefault="00737CD8" w:rsidP="00750D01">
      <w:pPr>
        <w:spacing w:line="240" w:lineRule="auto"/>
      </w:pPr>
      <w:r>
        <w:separator/>
      </w:r>
    </w:p>
  </w:endnote>
  <w:endnote w:type="continuationSeparator" w:id="0">
    <w:p w14:paraId="4D5F4CCC" w14:textId="77777777" w:rsidR="00737CD8" w:rsidRDefault="00737CD8"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331FA" w14:textId="77777777" w:rsidR="00737CD8" w:rsidRDefault="00737CD8" w:rsidP="00750D01">
      <w:pPr>
        <w:spacing w:line="240" w:lineRule="auto"/>
      </w:pPr>
      <w:r>
        <w:separator/>
      </w:r>
    </w:p>
  </w:footnote>
  <w:footnote w:type="continuationSeparator" w:id="0">
    <w:p w14:paraId="2B48476A" w14:textId="77777777" w:rsidR="00737CD8" w:rsidRDefault="00737CD8"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E5E57" w14:textId="77777777" w:rsidR="007F0B4B" w:rsidRPr="00110CBD" w:rsidRDefault="007F0B4B"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AEB"/>
    <w:multiLevelType w:val="hybridMultilevel"/>
    <w:tmpl w:val="59F8168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C466636"/>
    <w:multiLevelType w:val="hybridMultilevel"/>
    <w:tmpl w:val="0428DF0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03C5F15"/>
    <w:multiLevelType w:val="hybridMultilevel"/>
    <w:tmpl w:val="95AEDF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7D66C2E"/>
    <w:multiLevelType w:val="hybridMultilevel"/>
    <w:tmpl w:val="BF6AE6E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FAD2EEE"/>
    <w:multiLevelType w:val="hybridMultilevel"/>
    <w:tmpl w:val="17CADD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4874FD3"/>
    <w:multiLevelType w:val="hybridMultilevel"/>
    <w:tmpl w:val="0E8210B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7" w15:restartNumberingAfterBreak="0">
    <w:nsid w:val="39E003EF"/>
    <w:multiLevelType w:val="hybridMultilevel"/>
    <w:tmpl w:val="115C636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132694F"/>
    <w:multiLevelType w:val="hybridMultilevel"/>
    <w:tmpl w:val="8764861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AE87A90"/>
    <w:multiLevelType w:val="hybridMultilevel"/>
    <w:tmpl w:val="D6DE8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19742A7"/>
    <w:multiLevelType w:val="hybridMultilevel"/>
    <w:tmpl w:val="D068A01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AE953F1"/>
    <w:multiLevelType w:val="hybridMultilevel"/>
    <w:tmpl w:val="B060F7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0915748"/>
    <w:multiLevelType w:val="hybridMultilevel"/>
    <w:tmpl w:val="70DC49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3CF415D"/>
    <w:multiLevelType w:val="hybridMultilevel"/>
    <w:tmpl w:val="EE4C711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C5138CF"/>
    <w:multiLevelType w:val="hybridMultilevel"/>
    <w:tmpl w:val="972E64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AF01547"/>
    <w:multiLevelType w:val="hybridMultilevel"/>
    <w:tmpl w:val="0B868C2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81442722">
    <w:abstractNumId w:val="15"/>
  </w:num>
  <w:num w:numId="2" w16cid:durableId="2010672926">
    <w:abstractNumId w:val="2"/>
  </w:num>
  <w:num w:numId="3" w16cid:durableId="1873296534">
    <w:abstractNumId w:val="13"/>
  </w:num>
  <w:num w:numId="4" w16cid:durableId="1278488603">
    <w:abstractNumId w:val="0"/>
  </w:num>
  <w:num w:numId="5" w16cid:durableId="795175145">
    <w:abstractNumId w:val="8"/>
  </w:num>
  <w:num w:numId="6" w16cid:durableId="2087533027">
    <w:abstractNumId w:val="3"/>
  </w:num>
  <w:num w:numId="7" w16cid:durableId="1863516168">
    <w:abstractNumId w:val="1"/>
  </w:num>
  <w:num w:numId="8" w16cid:durableId="381100450">
    <w:abstractNumId w:val="16"/>
  </w:num>
  <w:num w:numId="9" w16cid:durableId="1902011195">
    <w:abstractNumId w:val="14"/>
  </w:num>
  <w:num w:numId="10" w16cid:durableId="45492864">
    <w:abstractNumId w:val="5"/>
  </w:num>
  <w:num w:numId="11" w16cid:durableId="1131510823">
    <w:abstractNumId w:val="7"/>
  </w:num>
  <w:num w:numId="12" w16cid:durableId="998770424">
    <w:abstractNumId w:val="10"/>
  </w:num>
  <w:num w:numId="13" w16cid:durableId="537351985">
    <w:abstractNumId w:val="4"/>
  </w:num>
  <w:num w:numId="14" w16cid:durableId="701589428">
    <w:abstractNumId w:val="12"/>
  </w:num>
  <w:num w:numId="15" w16cid:durableId="798451280">
    <w:abstractNumId w:val="9"/>
  </w:num>
  <w:num w:numId="16" w16cid:durableId="722487029">
    <w:abstractNumId w:val="11"/>
  </w:num>
  <w:num w:numId="17" w16cid:durableId="20387705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NotDisplayPageBoundaries/>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CD8"/>
    <w:rsid w:val="000318E4"/>
    <w:rsid w:val="00050AC4"/>
    <w:rsid w:val="00061AD5"/>
    <w:rsid w:val="00097B85"/>
    <w:rsid w:val="000E30F4"/>
    <w:rsid w:val="00107DD3"/>
    <w:rsid w:val="00110B8F"/>
    <w:rsid w:val="0011189E"/>
    <w:rsid w:val="00135D2D"/>
    <w:rsid w:val="0015786F"/>
    <w:rsid w:val="001602C9"/>
    <w:rsid w:val="001B01DD"/>
    <w:rsid w:val="001B23E0"/>
    <w:rsid w:val="00203545"/>
    <w:rsid w:val="00203F5F"/>
    <w:rsid w:val="00215140"/>
    <w:rsid w:val="00227530"/>
    <w:rsid w:val="002611BA"/>
    <w:rsid w:val="00291BC4"/>
    <w:rsid w:val="002F4BE4"/>
    <w:rsid w:val="003155F9"/>
    <w:rsid w:val="00361255"/>
    <w:rsid w:val="00373573"/>
    <w:rsid w:val="003847C8"/>
    <w:rsid w:val="003877EB"/>
    <w:rsid w:val="0039662C"/>
    <w:rsid w:val="003C0076"/>
    <w:rsid w:val="003E17B6"/>
    <w:rsid w:val="003E2C53"/>
    <w:rsid w:val="003E5F70"/>
    <w:rsid w:val="003E6170"/>
    <w:rsid w:val="00415527"/>
    <w:rsid w:val="00453F3A"/>
    <w:rsid w:val="0047079D"/>
    <w:rsid w:val="00487D00"/>
    <w:rsid w:val="004B7346"/>
    <w:rsid w:val="004F5780"/>
    <w:rsid w:val="00522637"/>
    <w:rsid w:val="00530553"/>
    <w:rsid w:val="005515BD"/>
    <w:rsid w:val="00553E3A"/>
    <w:rsid w:val="00561E75"/>
    <w:rsid w:val="00562567"/>
    <w:rsid w:val="005C1523"/>
    <w:rsid w:val="005E1ABB"/>
    <w:rsid w:val="005F1092"/>
    <w:rsid w:val="005F1AA5"/>
    <w:rsid w:val="00622CA7"/>
    <w:rsid w:val="006527B2"/>
    <w:rsid w:val="006A5582"/>
    <w:rsid w:val="006C6F69"/>
    <w:rsid w:val="007130E1"/>
    <w:rsid w:val="00732458"/>
    <w:rsid w:val="0073796B"/>
    <w:rsid w:val="00737CD8"/>
    <w:rsid w:val="00750D01"/>
    <w:rsid w:val="00775B05"/>
    <w:rsid w:val="00783522"/>
    <w:rsid w:val="007A387D"/>
    <w:rsid w:val="007B2EE6"/>
    <w:rsid w:val="007B6E04"/>
    <w:rsid w:val="007D44AF"/>
    <w:rsid w:val="007F09C5"/>
    <w:rsid w:val="007F0B4B"/>
    <w:rsid w:val="00802523"/>
    <w:rsid w:val="00802F68"/>
    <w:rsid w:val="00804A6A"/>
    <w:rsid w:val="00804B92"/>
    <w:rsid w:val="008059C0"/>
    <w:rsid w:val="008336E7"/>
    <w:rsid w:val="008624E8"/>
    <w:rsid w:val="008726BE"/>
    <w:rsid w:val="00873BB1"/>
    <w:rsid w:val="00892CF2"/>
    <w:rsid w:val="00894FAB"/>
    <w:rsid w:val="00895B51"/>
    <w:rsid w:val="008B7AF2"/>
    <w:rsid w:val="008C2902"/>
    <w:rsid w:val="008E6158"/>
    <w:rsid w:val="00902A56"/>
    <w:rsid w:val="00905C96"/>
    <w:rsid w:val="009174DA"/>
    <w:rsid w:val="00930992"/>
    <w:rsid w:val="00933888"/>
    <w:rsid w:val="00953842"/>
    <w:rsid w:val="00960EC2"/>
    <w:rsid w:val="00962CFC"/>
    <w:rsid w:val="009C0827"/>
    <w:rsid w:val="009C2C98"/>
    <w:rsid w:val="009C2D77"/>
    <w:rsid w:val="009D10D1"/>
    <w:rsid w:val="00A06971"/>
    <w:rsid w:val="00A30052"/>
    <w:rsid w:val="00A7412B"/>
    <w:rsid w:val="00A80018"/>
    <w:rsid w:val="00A87E18"/>
    <w:rsid w:val="00AC00B2"/>
    <w:rsid w:val="00AD1AFD"/>
    <w:rsid w:val="00AE6CD6"/>
    <w:rsid w:val="00AF3032"/>
    <w:rsid w:val="00B335B6"/>
    <w:rsid w:val="00B43481"/>
    <w:rsid w:val="00B60F58"/>
    <w:rsid w:val="00B753A8"/>
    <w:rsid w:val="00B9067C"/>
    <w:rsid w:val="00BA743D"/>
    <w:rsid w:val="00C0557E"/>
    <w:rsid w:val="00C1677F"/>
    <w:rsid w:val="00C458C2"/>
    <w:rsid w:val="00C83ABF"/>
    <w:rsid w:val="00C97774"/>
    <w:rsid w:val="00CA579F"/>
    <w:rsid w:val="00D7373E"/>
    <w:rsid w:val="00D9152C"/>
    <w:rsid w:val="00DA6FAC"/>
    <w:rsid w:val="00DE7073"/>
    <w:rsid w:val="00E02AB3"/>
    <w:rsid w:val="00E14AAE"/>
    <w:rsid w:val="00E2036F"/>
    <w:rsid w:val="00E3507E"/>
    <w:rsid w:val="00E354FC"/>
    <w:rsid w:val="00E7132A"/>
    <w:rsid w:val="00E948BD"/>
    <w:rsid w:val="00EA7C8F"/>
    <w:rsid w:val="00EE5BBD"/>
    <w:rsid w:val="00F05AB8"/>
    <w:rsid w:val="00F17366"/>
    <w:rsid w:val="00F20A66"/>
    <w:rsid w:val="00F27DCA"/>
    <w:rsid w:val="00F41275"/>
    <w:rsid w:val="00F569FD"/>
    <w:rsid w:val="00F70218"/>
    <w:rsid w:val="00F810F3"/>
    <w:rsid w:val="00F93A56"/>
    <w:rsid w:val="00FC2D38"/>
    <w:rsid w:val="00FC54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BD5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customStyle="1" w:styleId="Oddelek">
    <w:name w:val="Oddelek"/>
    <w:basedOn w:val="Navaden"/>
    <w:link w:val="OddelekZnak1"/>
    <w:qFormat/>
    <w:rsid w:val="00A87E18"/>
    <w:pPr>
      <w:numPr>
        <w:numId w:val="17"/>
      </w:numPr>
      <w:suppressAutoHyphens/>
      <w:overflowPunct w:val="0"/>
      <w:autoSpaceDE w:val="0"/>
      <w:autoSpaceDN w:val="0"/>
      <w:adjustRightInd w:val="0"/>
      <w:spacing w:before="280" w:after="60" w:line="200" w:lineRule="exact"/>
      <w:jc w:val="center"/>
      <w:textAlignment w:val="baseline"/>
      <w:outlineLvl w:val="3"/>
    </w:pPr>
    <w:rPr>
      <w:rFonts w:cs="Arial"/>
      <w:b/>
      <w:sz w:val="22"/>
      <w:szCs w:val="22"/>
      <w:lang w:eastAsia="sl-SI"/>
    </w:rPr>
  </w:style>
  <w:style w:type="character" w:customStyle="1" w:styleId="OddelekZnak1">
    <w:name w:val="Oddelek Znak1"/>
    <w:link w:val="Oddelek"/>
    <w:rsid w:val="00A87E18"/>
    <w:rPr>
      <w:rFonts w:ascii="Arial" w:eastAsia="Times New Roman" w:hAnsi="Arial" w:cs="Arial"/>
      <w:b/>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56.11\Users$\Sbencekozole\My%20Documents\Officeove%20predloge%20po%20meri\Sporo&#269;ilo%20za%20javnost%20po%20seji%20vlade%20-%20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E060B6A-14AF-4764-81DA-DB81A3211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Sporočilo za javnost po seji vlade - predloga.dotx</Template>
  <TotalTime>0</TotalTime>
  <Pages>28</Pages>
  <Words>13862</Words>
  <Characters>79019</Characters>
  <Application>Microsoft Office Word</Application>
  <DocSecurity>0</DocSecurity>
  <Lines>658</Lines>
  <Paragraphs>185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2024-05-23T08:16:00Z</dcterms:created>
  <dcterms:modified xsi:type="dcterms:W3CDTF">2024-05-23T13:41:00Z</dcterms:modified>
</cp:coreProperties>
</file>