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4596D" w14:textId="77777777" w:rsidR="0073796B" w:rsidRDefault="00750D01" w:rsidP="0073796B">
      <w:pPr>
        <w:autoSpaceDE w:val="0"/>
        <w:autoSpaceDN w:val="0"/>
        <w:adjustRightInd w:val="0"/>
        <w:spacing w:line="240" w:lineRule="auto"/>
        <w:ind w:left="-1701"/>
        <w:sectPr w:rsidR="0073796B" w:rsidSect="00E948BD">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3D2DE98E" wp14:editId="2565CF91">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58E74F16" w14:textId="77777777" w:rsidR="003E17B6" w:rsidRDefault="003E17B6" w:rsidP="00750D01">
      <w:pPr>
        <w:autoSpaceDE w:val="0"/>
        <w:autoSpaceDN w:val="0"/>
        <w:adjustRightInd w:val="0"/>
        <w:spacing w:line="240" w:lineRule="auto"/>
        <w:ind w:left="-1701"/>
      </w:pPr>
    </w:p>
    <w:p w14:paraId="3CD1EA71" w14:textId="77777777" w:rsidR="0073796B" w:rsidRPr="009D10D1" w:rsidRDefault="0073796B" w:rsidP="009D10D1">
      <w:pPr>
        <w:pStyle w:val="Naslov"/>
      </w:pPr>
      <w:r w:rsidRPr="009D10D1">
        <w:t>SPOROČILO ZA JAVNOST</w:t>
      </w:r>
    </w:p>
    <w:p w14:paraId="5C1BCDA9" w14:textId="3E0AC453" w:rsidR="0073796B" w:rsidRPr="0039662C" w:rsidRDefault="004B12AC" w:rsidP="0039662C">
      <w:pPr>
        <w:pStyle w:val="Naslov1"/>
      </w:pPr>
      <w:r>
        <w:t>4</w:t>
      </w:r>
      <w:r w:rsidR="008A099D">
        <w:t>5</w:t>
      </w:r>
      <w:r w:rsidR="0073796B" w:rsidRPr="0039662C">
        <w:t>. redna seja Vlade Republike Slovenije</w:t>
      </w:r>
    </w:p>
    <w:p w14:paraId="31ADB9B7" w14:textId="1335A19F" w:rsidR="0073796B" w:rsidRDefault="008A099D" w:rsidP="008B7AF2">
      <w:pPr>
        <w:pStyle w:val="DatumSZJ"/>
      </w:pPr>
      <w:r>
        <w:t>13</w:t>
      </w:r>
      <w:r w:rsidR="0073796B" w:rsidRPr="008B7AF2">
        <w:t xml:space="preserve">. </w:t>
      </w:r>
      <w:r w:rsidR="008B5A09">
        <w:t>april</w:t>
      </w:r>
      <w:r w:rsidR="0073796B" w:rsidRPr="008B7AF2">
        <w:t xml:space="preserve"> 202</w:t>
      </w:r>
      <w:r w:rsidR="0018431D">
        <w:t>3</w:t>
      </w:r>
    </w:p>
    <w:p w14:paraId="57C12487" w14:textId="6EF5D76D" w:rsidR="00D478AF" w:rsidRDefault="00D478AF" w:rsidP="00D478AF">
      <w:pPr>
        <w:pStyle w:val="Naslov2"/>
      </w:pPr>
      <w:r>
        <w:t>Sprememba Uredbe o izvajanju podpornega programa v vinskem sektorju</w:t>
      </w:r>
    </w:p>
    <w:p w14:paraId="3ED7CAC3" w14:textId="77777777" w:rsidR="00D478AF" w:rsidRDefault="00D478AF" w:rsidP="00D478AF">
      <w:r>
        <w:t>Vlada je izdala Uredbo o spremembah in dopolnitvah Uredbe o izvajanju podpornega programa v vinskem sektorju in jo objavi v Uradnem listu RS.</w:t>
      </w:r>
    </w:p>
    <w:p w14:paraId="778A7127" w14:textId="77777777" w:rsidR="00D478AF" w:rsidRDefault="00D478AF" w:rsidP="00D478AF"/>
    <w:p w14:paraId="1523EEF7" w14:textId="77777777" w:rsidR="00D478AF" w:rsidRDefault="00D478AF" w:rsidP="00D478AF">
      <w:r>
        <w:t>Sprememba uredbe le v manjši meri spreminja in dopolnjuje določbe že veljavne uredbe, za ustrezen prehod iz sedanje ureditve na nov način dodeljevanja podpor v vinskem sektorju na podlagi novega strateškega načrta skupne kmetijske politike za obdobje (SN SKP) 2023-2027. Kljub začetku izvajanja strateškega načrta z letom 2023 se v skladu s prehodno ureditvijo obstoječi podporni programi še uporabljajo do 15. oktobra 2023, dejavnosti, ki so se začele izvajati na podlagi sedanjega podpornega programa, pa se lahko dokončajo in financirajo do 15. oktobra 2025.</w:t>
      </w:r>
    </w:p>
    <w:p w14:paraId="1DC67C05" w14:textId="1E932EB5" w:rsidR="008A099D" w:rsidRDefault="00D478AF" w:rsidP="00D478AF">
      <w:pPr>
        <w:pStyle w:val="Vir"/>
      </w:pPr>
      <w:r>
        <w:t>Vir: Ministrstvo za kmetijstvo, gozdarstvo in prehrano</w:t>
      </w:r>
    </w:p>
    <w:p w14:paraId="569DBC32" w14:textId="472B124F" w:rsidR="00E43D69" w:rsidRDefault="00E43D69" w:rsidP="00E43D69">
      <w:pPr>
        <w:pStyle w:val="Naslov2"/>
      </w:pPr>
      <w:r>
        <w:t>Ustanovljen Svet Republike Slovenije za otroke in družino</w:t>
      </w:r>
    </w:p>
    <w:p w14:paraId="5664D4C8" w14:textId="77777777" w:rsidR="00E43D69" w:rsidRDefault="00E43D69" w:rsidP="00E43D69">
      <w:r>
        <w:t>Vlada je ustanovila Sveta Republike Slovenije za otroke in družino (Svet). Eden temeljnih ciljev ustanovitve Sveta je dvig kakovosti družinskega življenja in kakovost življenja otrok.</w:t>
      </w:r>
    </w:p>
    <w:p w14:paraId="69A75A2E" w14:textId="77777777" w:rsidR="00E43D69" w:rsidRDefault="00E43D69" w:rsidP="00E43D69"/>
    <w:p w14:paraId="543B7B90" w14:textId="77777777" w:rsidR="00E43D69" w:rsidRDefault="00E43D69" w:rsidP="00E43D69">
      <w:r>
        <w:t>Svet je stalno strokovno posvetovalno telo Vlade, ki kontinuirano spremlja, analizira in ocenjuje položaj otrok in družine, spremlja in ocenjuje uresničevanje pravic otrok, na podlagi analiz in ocen predlaga strokovna izhodišča za sprejetje ukrepov, zakonodaje in strateških dokumentov s področja otrok in družine, obravnava predloge zakonov s področja otrok in družine in v zvezi z njimi daje strokovna mnenja, skrbi za usklajeno delovanje pristojnih organov na področju otrok in družine ter sodelovanje med pristojnimi organi, strokovnimi ustanovami in nevladnimi organizacijami in spremlja izvajanje zakonodaje in ukrepov na področju otrok in družine.</w:t>
      </w:r>
    </w:p>
    <w:p w14:paraId="304DA429" w14:textId="77777777" w:rsidR="00E43D69" w:rsidRDefault="00E43D69" w:rsidP="00E43D69"/>
    <w:p w14:paraId="2D9F980E" w14:textId="77777777" w:rsidR="00E43D69" w:rsidRDefault="00E43D69" w:rsidP="00E43D69">
      <w:r>
        <w:t xml:space="preserve">Člani sveta so predstavniki Vlade RS, in sicer predstojniki ključnih ministrstev, katerih delovno področje je povezano s področjem otrok in družine, predstavniki nevladnih organizacij in strokovnih institucij s področja otrok ter družine in predstavnika otrok Mreže za otrokove pravice. </w:t>
      </w:r>
    </w:p>
    <w:p w14:paraId="109B9DD1" w14:textId="77777777" w:rsidR="00E43D69" w:rsidRDefault="00E43D69" w:rsidP="00E43D69"/>
    <w:p w14:paraId="3FC07962" w14:textId="745233D6" w:rsidR="00E43D69" w:rsidRDefault="00E43D69" w:rsidP="00E43D69">
      <w:proofErr w:type="spellStart"/>
      <w:r>
        <w:t>Osredinjenost</w:t>
      </w:r>
      <w:proofErr w:type="spellEnd"/>
      <w:r>
        <w:t xml:space="preserve"> na otroke izhaja iz drugega odstavka 18. člena Družinskega zakonika, kjer je kot prva naloga Sveta, opredeljeno spremljanje in ocenjevanje položaj otrok in družine, s poudarkom na uresničevanju pravic otrok. Prav zato je naloga Sveta tudi, da o svojem delu enkrat letno poroča Vladi Republike Slovenije. Poročilo naslavlja tudi oceno stanja na področju pravic otrok.</w:t>
      </w:r>
    </w:p>
    <w:p w14:paraId="4C546861" w14:textId="77777777" w:rsidR="00E43D69" w:rsidRDefault="00E43D69" w:rsidP="00E43D69">
      <w:pPr>
        <w:pStyle w:val="Vir"/>
      </w:pPr>
      <w:r>
        <w:t>Vir: Ministrstvo za delo, družino, socialne zadeve in enake možnosti</w:t>
      </w:r>
    </w:p>
    <w:p w14:paraId="5882A2DA" w14:textId="009673AF" w:rsidR="00B961A7" w:rsidRDefault="00B961A7" w:rsidP="00B961A7">
      <w:pPr>
        <w:pStyle w:val="Naslov2"/>
      </w:pPr>
      <w:r>
        <w:t>24. april bo slovenski dan brez zavržene hrane</w:t>
      </w:r>
    </w:p>
    <w:p w14:paraId="77B901DA" w14:textId="77777777" w:rsidR="00A53FB7" w:rsidRDefault="00A53FB7" w:rsidP="008A7849">
      <w:r>
        <w:t xml:space="preserve">Vlada je sprejela Sklep o razglasitvi slovenskega dne brez zavržene hrane in ga objavi v Uradnem listu RS. Za slovenski dan brez zavržene hrane je razglašen 24. april. Na ta dan se </w:t>
      </w:r>
      <w:r>
        <w:lastRenderedPageBreak/>
        <w:t xml:space="preserve">bodo vsako leto 24. aprila izvajale različne (komunikacijske) aktivnosti, povezane s preprečevanjem izgub hrane in odpadne hrane. Prav tako bodo lahko vsi členi v verigi preskrbe s hrano ta dan obeleževali vsak na svoj način. </w:t>
      </w:r>
    </w:p>
    <w:p w14:paraId="5909910D" w14:textId="77777777" w:rsidR="008A7849" w:rsidRDefault="008A7849" w:rsidP="008A7849"/>
    <w:p w14:paraId="186A137D" w14:textId="56D58985" w:rsidR="00A53FB7" w:rsidRDefault="00A53FB7" w:rsidP="008A7849">
      <w:r>
        <w:t xml:space="preserve">Pobudo za razglasitev slovenskega dne brez zavržene hrane so dale naslednje organizacije: </w:t>
      </w:r>
      <w:proofErr w:type="spellStart"/>
      <w:r>
        <w:t>Ekošola</w:t>
      </w:r>
      <w:proofErr w:type="spellEnd"/>
      <w:r>
        <w:t xml:space="preserve"> in partnerji: Ministrstvo za okolje, podnebje in energijo, Boljši svet, Zveza prijateljev mladine Slovenije, Lidl, </w:t>
      </w:r>
      <w:proofErr w:type="spellStart"/>
      <w:r>
        <w:t>Plaktivat</w:t>
      </w:r>
      <w:proofErr w:type="spellEnd"/>
      <w:r>
        <w:t xml:space="preserve"> – Tam-Tam. Predlog podpira tudi delovna skupina vlade za pripravo osnutka akcijskega načrta za manj izgub hrane in odpadne hrane v verigi preskrbe s hrano. Dan so omenjeni partnerji prvič napovedali že leta 2020 in že takrat izbrali 24. april. Datum je premišljeno izbran, saj je zavržene hrane v času okoli tega dne največ. </w:t>
      </w:r>
    </w:p>
    <w:p w14:paraId="4AB06B98" w14:textId="77777777" w:rsidR="008A7849" w:rsidRDefault="008A7849" w:rsidP="008A7849"/>
    <w:p w14:paraId="5CB1F149" w14:textId="5F0E827A" w:rsidR="00A53FB7" w:rsidRDefault="00A53FB7" w:rsidP="008A7849">
      <w:r>
        <w:t xml:space="preserve">Hrana se izgubi ali zavrže na vseh stopnjah prehranske verige: na kmetijah, pri prevozu, skladiščenju, obdelavi, predelavi in proizvodnji, v trgovinah, restavracijah in javnem sektorju (šole, bolnišnice ter druge ustanove in podjetja s kuhinjami) ter gospodinjstvih. Odpadna hrana po nepotrebnem obremenjuje omejene naravne vire in okolje, medtem ko zmanjšanje izgub hrane in količine odpadne hrane prinaša pozitivni gospodarski učinek za vse člene v verigi in je povezano tako s socialnim vidikom kot tudi podnebnim ter </w:t>
      </w:r>
      <w:proofErr w:type="spellStart"/>
      <w:r>
        <w:t>okoljskim</w:t>
      </w:r>
      <w:proofErr w:type="spellEnd"/>
      <w:r>
        <w:t xml:space="preserve"> vidikom.</w:t>
      </w:r>
    </w:p>
    <w:p w14:paraId="7A97638A" w14:textId="77777777" w:rsidR="008A7849" w:rsidRDefault="008A7849" w:rsidP="008A7849"/>
    <w:p w14:paraId="73779266" w14:textId="6D1C87EC" w:rsidR="00A53FB7" w:rsidRDefault="00A53FB7" w:rsidP="008A7849">
      <w:r>
        <w:t>Po podatkih Statističnega urada Republike Slovenije (SURS) se je skupna količina odpadne hrane med letoma 2013 in 2021 povečevala. S 118 tisoč ton (v letu 2013) se je povečala za 21 odstotkov na okoli 143 tisoč ton (v letu 2021). Ta količina bi bila lahko precej manjša, če bi bil odnos do hrane drugačen in bi zagotovili, da hrana, ki je še užitna, ne bi končala med odpadki.</w:t>
      </w:r>
    </w:p>
    <w:p w14:paraId="01134871" w14:textId="77777777" w:rsidR="00A53FB7" w:rsidRDefault="00A53FB7" w:rsidP="008A7849">
      <w:r>
        <w:t>Leta 2021 je vsak prebivalec Slovenije zavrgel povprečno 68 kg hrane. Po oceni SURS je bilo med to odpadno hrano kar 40 odstotkov užitnega dela, to količino pa bi lahko z ozaveščanjem in pravilnim odnosom do hrane zmanjšali ali celo preprečili. Okoli 60 odstotkov pa je neužitne hrane (kosti, olupki, jajčne lupine in drugo), ki se ji večinoma ne da izogniti. Največ odpadne hrane, 53 odstotkov, je v letu 2021 nastalo v gospodinjstvih. V gostinstvu in strežbi hrane se je zavrglo 28 odstotkov odpadne hrane, v trgovini z živili 10 odstotkov, najmanj, 9 odstotkov, pa pri proizvodnji hrane.</w:t>
      </w:r>
    </w:p>
    <w:p w14:paraId="56743921" w14:textId="77777777" w:rsidR="008A7849" w:rsidRDefault="008A7849" w:rsidP="008A7849"/>
    <w:p w14:paraId="50FFD687" w14:textId="1CD29A40" w:rsidR="00A53FB7" w:rsidRDefault="00A53FB7" w:rsidP="008A7849">
      <w:r>
        <w:t>Področje zmanjšanja odpadne hrane je opredeljeno v Resoluciji o nacionalnem programu o strateških usmeritvah razvoja slovenskega kmetijstva in živilstva »Naša hrana, podeželje in naravni viri od leta 2021«, v Resoluciji o nacionalnem programu o prehrani in telesni dejavnosti za zdravje 2015–2025, vlada  pa je 23. decembra 2021 sprejela tudi Strategijo za manj izgub hrane in odpadne hrane v verigi preskrbe s hrano: »Spoštujmo hrano, spoštujmo planet«. Kot ključni cilj strategija opredeljuje tudi spreminjanje načina razmišljanja in odnosa do hrane v družbi. To pomeni graditi spoštovanje ter odnos do hrane in naravnih virov, potrebnih za njeno proizvodnjo.</w:t>
      </w:r>
    </w:p>
    <w:p w14:paraId="4B7FB229" w14:textId="77777777" w:rsidR="008A7849" w:rsidRDefault="008A7849" w:rsidP="008A7849"/>
    <w:p w14:paraId="7B067B97" w14:textId="43C08373" w:rsidR="00A53FB7" w:rsidRDefault="00A53FB7" w:rsidP="008A7849">
      <w:r>
        <w:t>K trajnostnim prehranskim sistemom bistveno prispeva tudi potrošnik s svojimi prehranskimi navadami in odnosom do hrane. Spoštovanje ter odnos do hrane in naravnih virov pa prispevata tudi k boljši samooskrbi in preskrbi s hrano ter k stanju okolja in podnebja.</w:t>
      </w:r>
    </w:p>
    <w:p w14:paraId="296FEE88" w14:textId="053C72A3" w:rsidR="008A099D" w:rsidRDefault="00B961A7" w:rsidP="00B961A7">
      <w:pPr>
        <w:pStyle w:val="Vir"/>
      </w:pPr>
      <w:r>
        <w:t>Vir: Ministrstvo za kmetijstvo, gozdarstvo in prehrano</w:t>
      </w:r>
    </w:p>
    <w:p w14:paraId="75E0C25F" w14:textId="073A777F" w:rsidR="00191175" w:rsidRDefault="00191175" w:rsidP="00191175">
      <w:pPr>
        <w:pStyle w:val="Naslov2"/>
      </w:pPr>
      <w:r>
        <w:t xml:space="preserve">Sklep o izpolnitvi celoletne obveznosti ravnanja z odpadnimi nagrobnimi svečami za koledarsko leto 2022 </w:t>
      </w:r>
    </w:p>
    <w:p w14:paraId="356F3E9D" w14:textId="77777777" w:rsidR="00191175" w:rsidRDefault="00191175" w:rsidP="00191175">
      <w:r>
        <w:t>Vlada je sprejela Sklep o izpolnitvi celoletne obveznosti ravnanja z odpadnimi nagrobnimi svečami za koledarsko leto 2022.</w:t>
      </w:r>
    </w:p>
    <w:p w14:paraId="07C1DE09" w14:textId="77777777" w:rsidR="00191175" w:rsidRDefault="00191175" w:rsidP="00191175"/>
    <w:p w14:paraId="336FC04F" w14:textId="77777777" w:rsidR="00191175" w:rsidRDefault="00191175" w:rsidP="00191175">
      <w:r>
        <w:t>Deleži izpolnitve celoletne obveznosti ravnanja z odpadnimi nagrobnimi svečami za koledarsko leto 2022 so:</w:t>
      </w:r>
    </w:p>
    <w:p w14:paraId="613163A6" w14:textId="7C92738A" w:rsidR="00191175" w:rsidRDefault="00191175" w:rsidP="00422822">
      <w:pPr>
        <w:pStyle w:val="Odstavekseznama"/>
        <w:numPr>
          <w:ilvl w:val="0"/>
          <w:numId w:val="2"/>
        </w:numPr>
      </w:pPr>
      <w:r>
        <w:t xml:space="preserve">za družbo PRONS, d. o. o., </w:t>
      </w:r>
      <w:r>
        <w:tab/>
      </w:r>
      <w:r>
        <w:tab/>
        <w:t>45,73 odstotka,</w:t>
      </w:r>
    </w:p>
    <w:p w14:paraId="3EC8C60D" w14:textId="50B87FD6" w:rsidR="00191175" w:rsidRDefault="00191175" w:rsidP="00422822">
      <w:pPr>
        <w:pStyle w:val="Odstavekseznama"/>
        <w:numPr>
          <w:ilvl w:val="0"/>
          <w:numId w:val="2"/>
        </w:numPr>
      </w:pPr>
      <w:r>
        <w:lastRenderedPageBreak/>
        <w:t xml:space="preserve">za družbo SVEKO, d. o. o., </w:t>
      </w:r>
      <w:r>
        <w:tab/>
      </w:r>
      <w:r>
        <w:tab/>
        <w:t>23,74 odstotka,</w:t>
      </w:r>
    </w:p>
    <w:p w14:paraId="3762A608" w14:textId="127BF5DC" w:rsidR="00191175" w:rsidRDefault="00191175" w:rsidP="00422822">
      <w:pPr>
        <w:pStyle w:val="Odstavekseznama"/>
        <w:numPr>
          <w:ilvl w:val="0"/>
          <w:numId w:val="2"/>
        </w:numPr>
      </w:pPr>
      <w:r>
        <w:t xml:space="preserve">za družbo ZEOS, d. o. o., </w:t>
      </w:r>
      <w:r>
        <w:tab/>
      </w:r>
      <w:r>
        <w:tab/>
        <w:t>15,33 odstotka,</w:t>
      </w:r>
    </w:p>
    <w:p w14:paraId="0278E6A5" w14:textId="13DAA6BE" w:rsidR="008A099D" w:rsidRDefault="00191175" w:rsidP="00422822">
      <w:pPr>
        <w:pStyle w:val="Odstavekseznama"/>
        <w:numPr>
          <w:ilvl w:val="0"/>
          <w:numId w:val="2"/>
        </w:numPr>
      </w:pPr>
      <w:r>
        <w:t xml:space="preserve">za družbo INTERZERO, d. o. o., </w:t>
      </w:r>
      <w:r>
        <w:tab/>
        <w:t>15,20 odstotka.</w:t>
      </w:r>
    </w:p>
    <w:p w14:paraId="30705887" w14:textId="77777777" w:rsidR="00191175" w:rsidRDefault="00191175" w:rsidP="00191175">
      <w:pPr>
        <w:pStyle w:val="Vir"/>
      </w:pPr>
      <w:r>
        <w:t>Vir: Ministrstvo za okolje, podnebje in energijo</w:t>
      </w:r>
    </w:p>
    <w:p w14:paraId="17321136" w14:textId="40D5F502" w:rsidR="00651AF5" w:rsidRDefault="00651AF5" w:rsidP="00651AF5">
      <w:pPr>
        <w:pStyle w:val="Naslov2"/>
      </w:pPr>
      <w:r>
        <w:t>Določitev višine vplačila sredstev v Sklad za financiranje razgradnje Nuklearne elektrarne Krško in odlaganja radioaktivnih odpadkov iz Nuklearne elektrarne Krško</w:t>
      </w:r>
    </w:p>
    <w:p w14:paraId="67A753D5" w14:textId="77777777" w:rsidR="00651AF5" w:rsidRDefault="00651AF5" w:rsidP="00651AF5">
      <w:r>
        <w:t>Vlada določa dajatev, ki jo družba GEN energija, d. o. o., vplača v Javni sklad Republike Slovenije za financiranje razgradnje Nuklearne elektrarne Krško in odlaganja radioaktivnih odpadkov iz Nuklearne elektrarne Krško v višini 0,012 evra za vsako prevzeto kWh električne energije, proizvedene v Nuklearni elektrarni Krško.</w:t>
      </w:r>
    </w:p>
    <w:p w14:paraId="7334E682" w14:textId="17BDBEA3" w:rsidR="008A099D" w:rsidRDefault="00651AF5" w:rsidP="00651AF5">
      <w:pPr>
        <w:pStyle w:val="Vir"/>
      </w:pPr>
      <w:r w:rsidRPr="00651AF5">
        <w:t>Vir: Ministrstvo za okolje, podnebje in energijo</w:t>
      </w:r>
    </w:p>
    <w:p w14:paraId="15713EEC" w14:textId="365A65B0" w:rsidR="00191175" w:rsidRDefault="00191175" w:rsidP="00191175">
      <w:pPr>
        <w:pStyle w:val="Naslov2"/>
      </w:pPr>
      <w:r>
        <w:t>Sklep o višini zneska za kritje posrednih stroškov zaradi stroškov emisij toplogrednih plinov</w:t>
      </w:r>
    </w:p>
    <w:p w14:paraId="18360D06" w14:textId="77777777" w:rsidR="00191175" w:rsidRDefault="00191175" w:rsidP="00191175">
      <w:r>
        <w:t>Vlada je izdala Sklep o višini zneska za kritje posrednih stroškov zaradi stroškov emisij toplogrednih plinov v korist določenih sektorjev ali delov sektorjev, ki so izpostavljeni tveganju premestitve emisije CO2, ki so nastali v letu 2022.</w:t>
      </w:r>
    </w:p>
    <w:p w14:paraId="6C9E4F6E" w14:textId="77777777" w:rsidR="00191175" w:rsidRDefault="00191175" w:rsidP="00191175"/>
    <w:p w14:paraId="105A2E44" w14:textId="77777777" w:rsidR="00191175" w:rsidRDefault="00191175" w:rsidP="00191175">
      <w:r>
        <w:t>Znesek za kritje posrednih stroškov zaradi stroškov emisij toplogrednih plinov v korist določenih sektorjev ali delov sektorjev, ki so izpostavljeni tveganju premestitve emisije CO2, ki so nastali v letu 2022, na podlagi letnih prihodkov, ustvarjenih s prodajo pravic do emisije na dražbah v skladu z uredbo EU, ki ureja časovni načrt, upravljanje in druge vidike dražbe pravic do emisije toplogrednih plinov, znaša 28.750.000,00 eurov.</w:t>
      </w:r>
    </w:p>
    <w:p w14:paraId="1FC056D7" w14:textId="77777777" w:rsidR="008A7849" w:rsidRDefault="008A7849" w:rsidP="00191175"/>
    <w:p w14:paraId="6EADB18E" w14:textId="7CE2B17F" w:rsidR="00191175" w:rsidRDefault="00191175" w:rsidP="00191175">
      <w:r>
        <w:t xml:space="preserve">Vlada na podlagi letnih prihodkov, ustvarjenih s prodajo pravic do emisije na dražbah, do 31. marca tekočega leta sprejme sklep o višini zneska za kritje posrednih stroškov zaradi stroškov emisij toplogrednih plinov v korist določenih sektorjev ali delov sektorjev, ki so izpostavljeni tveganju premestitve emisije CO2, za preteklo leto. </w:t>
      </w:r>
    </w:p>
    <w:p w14:paraId="18818009" w14:textId="77777777" w:rsidR="00191175" w:rsidRDefault="00191175" w:rsidP="00191175"/>
    <w:p w14:paraId="3B199F07" w14:textId="77777777" w:rsidR="00191175" w:rsidRDefault="00191175" w:rsidP="00191175">
      <w:r>
        <w:t>V letu 2022 so prihodki od prodaje pravic do emisije na dražbah znašali 170.825.190,00 eurov. Znesek za kritje posrednih stroškov, ki so nastali v letu 2022, znaša 28.750.000,00 eurov. Ta znesek predstavlja 16,83 % letnih prihodkov od prodaje pravic do emisije na dražbah leta 2022.</w:t>
      </w:r>
    </w:p>
    <w:p w14:paraId="6523A264" w14:textId="60F6AD80" w:rsidR="008A099D" w:rsidRDefault="00191175" w:rsidP="00191175">
      <w:pPr>
        <w:pStyle w:val="Vir"/>
      </w:pPr>
      <w:r>
        <w:t>Vir: Ministrstvo za okolje, podnebje in energijo</w:t>
      </w:r>
    </w:p>
    <w:p w14:paraId="4FBB2A68" w14:textId="29710730" w:rsidR="000A0B95" w:rsidRDefault="000A0B95" w:rsidP="000A0B95">
      <w:pPr>
        <w:pStyle w:val="Naslov2"/>
      </w:pPr>
      <w:r>
        <w:t>Vlada izbrala koncesionarja za obveščanje in izobraževanje potrošnikov in opravljanje javne službe primerjalnih ocenjevanj blaga in storitev</w:t>
      </w:r>
    </w:p>
    <w:p w14:paraId="7B4FE10E" w14:textId="77777777" w:rsidR="000A0B95" w:rsidRDefault="000A0B95" w:rsidP="000A0B95">
      <w:r>
        <w:t>Vlada je izdala Odločbo o izbiri koncesionarja za opravljanje javne službe obveščanja in izobraževanja potrošnikov ter Odločbo o izbiri koncesionarja za opravljanje javne službe primerjalnih ocenjevanj blaga in storitev. Vlada bo z izbranima koncesionarjema sklenila koncesijsko pogodbo, za podpis katere je pooblastila ministra za gospodarstvo turizem in šport Matjaža Hana.</w:t>
      </w:r>
    </w:p>
    <w:p w14:paraId="3F44EEDE" w14:textId="77777777" w:rsidR="008A7849" w:rsidRDefault="008A7849" w:rsidP="000A0B95"/>
    <w:p w14:paraId="4279CCEC" w14:textId="30D039C4" w:rsidR="000A0B95" w:rsidRDefault="000A0B95" w:rsidP="000A0B95">
      <w:r>
        <w:t>Koncesijo za opravljanje javne službe obveščanja in izobraževanja potrošnikov je podelila Zvezi</w:t>
      </w:r>
    </w:p>
    <w:p w14:paraId="55B756DF" w14:textId="77777777" w:rsidR="000A0B95" w:rsidRDefault="000A0B95" w:rsidP="000A0B95">
      <w:r>
        <w:t>potrošnikov Slovenije, Tržaška cesta 2, 1000 Ljubljana. Koncesija obsega izvajanje aktivnosti obveščanja in izobraževanja potrošnikov z namenom večje varnosti potrošnikov,</w:t>
      </w:r>
    </w:p>
    <w:p w14:paraId="758C7A62" w14:textId="77777777" w:rsidR="000A0B95" w:rsidRDefault="000A0B95" w:rsidP="000A0B95">
      <w:r>
        <w:t xml:space="preserve">izbire, dostopnosti, kakovosti blaga in storitev ter informiranje potrošnikov o uveljavljanju njihovih pravic. Koncesionar opravlja naloge na področju področja varstva pravic potrošnikov po </w:t>
      </w:r>
      <w:r>
        <w:lastRenderedPageBreak/>
        <w:t>veljavnem zakonu o varstvu potrošnikov in aktualnih zadev s področja varstva pravic potrošnikov.</w:t>
      </w:r>
    </w:p>
    <w:p w14:paraId="293FE57C" w14:textId="77777777" w:rsidR="000A0B95" w:rsidRDefault="000A0B95" w:rsidP="000A0B95"/>
    <w:p w14:paraId="13537E79" w14:textId="77777777" w:rsidR="000A0B95" w:rsidRDefault="000A0B95" w:rsidP="000A0B95">
      <w:r>
        <w:t>Koncesijo za opravljanje javne službe izvajanja primerjalnih ocenjevanj blaga in storitev pa je vlada podelila Mednarodnemu institutu za potrošniške raziskave, Tržaška cesta 2, 1000 Ljubljana. Koncesija vključuje primerjalno ocenjevanje blaga in storitev z uporabo metodologije za preizkušanje in ocenjevanje kakovosti izdelkov in storitev, ki zajema analizo posameznih značilnosti blaga in storitev, ki izdelke ter storitve uvršča v razrede z različnimi ocenami ter zagotavljanje informiranja potrošnikov o rezultatih primerjalnega testiranja blaga in storitev.</w:t>
      </w:r>
    </w:p>
    <w:p w14:paraId="5A3831DE" w14:textId="77777777" w:rsidR="000A0B95" w:rsidRDefault="000A0B95" w:rsidP="000A0B95">
      <w:pPr>
        <w:pStyle w:val="Vir"/>
      </w:pPr>
      <w:r>
        <w:t>Vir: Ministrstvo za gospodarstvo, turizem in šport</w:t>
      </w:r>
    </w:p>
    <w:p w14:paraId="24E15584" w14:textId="48460513" w:rsidR="007B4DCB" w:rsidRDefault="007B4DCB" w:rsidP="007B4DCB">
      <w:pPr>
        <w:pStyle w:val="Naslov2"/>
      </w:pPr>
      <w:r>
        <w:t>Vlada o odobritvi kreditov Evropske investicijske banke Elektru Primorska in Elektru Maribor</w:t>
      </w:r>
    </w:p>
    <w:p w14:paraId="739A79CC" w14:textId="13F188FA" w:rsidR="007B4DCB" w:rsidRDefault="007B4DCB" w:rsidP="007B4DCB">
      <w:r>
        <w:t>Vlada je danes sklenila, da ne nasprotuje odobritvi kreditov Evropske investicijske banke elektro distribucijskima podjetjema Elektro Primorska in Elektro Maribor v skupnem znesku do 78 milijonov evrov.</w:t>
      </w:r>
    </w:p>
    <w:p w14:paraId="17BFE852" w14:textId="77777777" w:rsidR="007B4DCB" w:rsidRDefault="007B4DCB" w:rsidP="007B4DCB"/>
    <w:p w14:paraId="083F86F1" w14:textId="10188556" w:rsidR="007B4DCB" w:rsidRDefault="007B4DCB" w:rsidP="007B4DCB">
      <w:r>
        <w:t>Banka skladno z njenim statutom o prošnjah za kredit pridobi mnenje države članice, na ozemlju katere bo projekt izveden, in Evropske komisije. Banka je Ministrstvo za finance tako obvestila, da se z Elektrom Primorska in Elektrom Maribor dogovarja o financiranju investicijskega programa v elektroenergetsko infrastrukturo za distribucijo električne energije v višini do 78 milijonov evrov. Ob tem je ministrstvo pozvala, naj v skladu s statutom banke izda mnenje o kreditu za financiranje programa.</w:t>
      </w:r>
    </w:p>
    <w:p w14:paraId="2A2260E2" w14:textId="08287A89" w:rsidR="008A099D" w:rsidRDefault="007B4DCB" w:rsidP="007B4DCB">
      <w:pPr>
        <w:pStyle w:val="Vir"/>
      </w:pPr>
      <w:r>
        <w:t>Vir: Ministrstvo za finance</w:t>
      </w:r>
    </w:p>
    <w:p w14:paraId="5FBDA496" w14:textId="249FE811" w:rsidR="006F0689" w:rsidRDefault="006F0689" w:rsidP="006F0689">
      <w:pPr>
        <w:pStyle w:val="Naslov2"/>
      </w:pPr>
      <w:r>
        <w:t xml:space="preserve">Podeljeno soglasje SSA Varovanje in storitve d. o. o. za poslovanje kot invalidsko podjetje </w:t>
      </w:r>
    </w:p>
    <w:p w14:paraId="54E7C3EF" w14:textId="77777777" w:rsidR="006F0689" w:rsidRDefault="006F0689" w:rsidP="006F0689">
      <w:r>
        <w:t xml:space="preserve">Vlada je podelila predhodno soglasje družbi SSA Varovanje in storitve </w:t>
      </w:r>
      <w:proofErr w:type="spellStart"/>
      <w:r>
        <w:t>d.o.o</w:t>
      </w:r>
      <w:proofErr w:type="spellEnd"/>
      <w:r>
        <w:t>., da lahko posluje kot invalidsko podjetje. Načrtovano invalidsko podjetje bo v prvem letu poslovanja zaposlovalo predvidoma šest delavcev, od tega štiri s statusom invalida. Glavne dejavnosti invalidskega podjetja bodo poslovno in varnostno svetovanje, zasebno varnostne storitve in receptorske storitve.</w:t>
      </w:r>
    </w:p>
    <w:p w14:paraId="55644171" w14:textId="77777777" w:rsidR="006F0689" w:rsidRDefault="006F0689" w:rsidP="006F0689"/>
    <w:p w14:paraId="022F64FF" w14:textId="77777777" w:rsidR="006F0689" w:rsidRDefault="006F0689" w:rsidP="006F0689">
      <w:r>
        <w:t>V načrtovanem invalidskem podjetju bodo skladno s poslovnim načrtom zagotovljeni ustrezni kadri, storitveni programi in prostori, ki so ustrezna podlaga za normalno poslovanje in prepoznavnost invalidskega podjetja. Pripravljeni so tudi ustrezni programi usposabljanja delavcev in prilagoditve delovnih mest, s čemer se bo lahko zagotovilo uspešno zaposlovanje invalidov.</w:t>
      </w:r>
    </w:p>
    <w:p w14:paraId="3D6D99B5" w14:textId="77777777" w:rsidR="006F0689" w:rsidRDefault="006F0689" w:rsidP="006F0689">
      <w:pPr>
        <w:pStyle w:val="Vir"/>
      </w:pPr>
      <w:r>
        <w:t>Vir: Ministrstvo za delo, družino, socialne zadeve in enake možnosti</w:t>
      </w:r>
    </w:p>
    <w:p w14:paraId="2AFE8DF2" w14:textId="44FBB70A" w:rsidR="008A099D" w:rsidRDefault="00B64928" w:rsidP="00B64928">
      <w:pPr>
        <w:pStyle w:val="Naslov2"/>
      </w:pPr>
      <w:r>
        <w:t>O</w:t>
      </w:r>
      <w:r w:rsidR="008A099D">
        <w:t>dgovor na pobudo Komisije za preprečevanje korupcije glede nadzora nad izvajanjem Resolucije o normativni dejavnosti pri najemanju zunanjih strokovnjakov pri pripravi predpisov</w:t>
      </w:r>
    </w:p>
    <w:p w14:paraId="3A101FFD" w14:textId="528C8C3F" w:rsidR="00B64928" w:rsidRDefault="00B64928" w:rsidP="00B64928">
      <w:r>
        <w:t xml:space="preserve">Vlada je na današnji seji sprejela odgovor glede nadzora nad izvajanjem Resolucije o normativni dejavnosti pri najemanju zunanjih strokovnjakov pri pripravi predpisov in ga pošlje Komisiji za preprečevanje korupcije. </w:t>
      </w:r>
    </w:p>
    <w:p w14:paraId="17A7FEF6" w14:textId="77777777" w:rsidR="00B64928" w:rsidRDefault="00B64928" w:rsidP="00B64928"/>
    <w:p w14:paraId="22ECD2E0" w14:textId="5CC93AE4" w:rsidR="00B64928" w:rsidRDefault="00B64928" w:rsidP="00B64928">
      <w:r>
        <w:lastRenderedPageBreak/>
        <w:t>Komisija za preprečevanje korupcije  (KPK) je v okviru postopka zaradi suma kršitve določb Zakona o integriteti in preprečevanju korupcije (</w:t>
      </w:r>
      <w:proofErr w:type="spellStart"/>
      <w:r>
        <w:t>ZIntPK</w:t>
      </w:r>
      <w:proofErr w:type="spellEnd"/>
      <w:r>
        <w:t xml:space="preserve">) glede nepravilnosti pri pripravi zakonodaje in najemanju zunanjih strokovnjakov na enem od ministrstev vladi posredovala pobudo, da naj Vlada Republike Slovenije v skladu z 2. členom Zakona o Vladi Republike Slovenije v povezavi s 6. alinejo prvega odstavka 13. a člena </w:t>
      </w:r>
      <w:proofErr w:type="spellStart"/>
      <w:r>
        <w:t>ZIntPK</w:t>
      </w:r>
      <w:proofErr w:type="spellEnd"/>
      <w:r>
        <w:t xml:space="preserve"> izvede nadzor nad izvajanjem določb Resolucije o normativni dejavnosti na ministrstvih. </w:t>
      </w:r>
    </w:p>
    <w:p w14:paraId="726294FE" w14:textId="77777777" w:rsidR="00B64928" w:rsidRDefault="00B64928" w:rsidP="00B64928"/>
    <w:p w14:paraId="4AFAC843" w14:textId="77777777" w:rsidR="00B64928" w:rsidRDefault="00B64928" w:rsidP="00B64928">
      <w:r>
        <w:t>Vlada KPK odgovarja, da temeljno podlago za transparentnost zakonodajnega postopka predstavlja Zakon o dostopu do informacij javnega značaja (ZDIJZ). Skladno s ciljem dejanskega zagotavljanja zakonodajne sledi in kakovosti predpisov so pomembne tudi določbe o lobiranju v Zakonu o integriteti in preprečevanju korupcije (</w:t>
      </w:r>
      <w:proofErr w:type="spellStart"/>
      <w:r>
        <w:t>ZIntPK</w:t>
      </w:r>
      <w:proofErr w:type="spellEnd"/>
      <w:r>
        <w:t>) in določbe Resolucije o normativni dejavnosti (</w:t>
      </w:r>
      <w:proofErr w:type="spellStart"/>
      <w:r>
        <w:t>RenDej</w:t>
      </w:r>
      <w:proofErr w:type="spellEnd"/>
      <w:r>
        <w:t>), Poslovnika Vlade RS in njegovih navodil za izvajanje ter Poslovnika Državnega zbora. Omenjene pravne podlage poudarjajo tako pomen vključevanja javnosti v proces priprave predpisov (pomen participacije, sodelovanja), kot tudi pomen transparentnosti celotnega zakonodajnega procesa in tako tudi sledljivosti v smislu "uveljavljanja" različnih interesov.</w:t>
      </w:r>
    </w:p>
    <w:p w14:paraId="256FB21F" w14:textId="77777777" w:rsidR="00B64928" w:rsidRDefault="00B64928" w:rsidP="00B64928"/>
    <w:p w14:paraId="11E19313" w14:textId="2EE51552" w:rsidR="00B64928" w:rsidRDefault="00B64928" w:rsidP="00B64928">
      <w:r>
        <w:t>Nadalje vlada pojasnjuje, da iz Resolucije o normativni dejavnosti izhaja, da je sicer priprava predpisov naloga uradnikov na ministrstvih, da pa je pomoč strokovnjakov izven državne uprave pri pripravi predpisov dobrodošla, pri specifičnih in zahtevnih pravnih vprašanjih pa pogosto tudi nujna. Vlada Republike Slovenije je že v letu 2009 v okviru priprave paketa varčevalnih ukrepov za blažitev posledic finančne krize ter zmanjšane gospodarske rasti proučila tudi področje sodelovanja zunanjih strokovnjakov pri pripravi predpisov in drugih dokumentov ter odločitev vlade, saj je tedaj med drugim ugotovila, da ne obstajajo standardi oziroma merila glede angažiranja zunanjih strokovnjakov, prav tako pa ne obstajajo kriteriji za plačilo tovrstnega dela, kar pomeni, da je ravnanje posameznih ministrstev na tem področju zelo različno.</w:t>
      </w:r>
    </w:p>
    <w:p w14:paraId="15D4067D" w14:textId="77777777" w:rsidR="00B64928" w:rsidRDefault="00B64928" w:rsidP="00B64928">
      <w:r>
        <w:t xml:space="preserve">Glede na navedeno je zato vlada tedaj sprejela Sklep o sodelovanju zunanjih strokovnjakov pri pripravi predlogov zakonov in drugih dokumentov. Sklep vsebuje enotne standarde in merila glede sodelovanja zunanjih strokovnjakov pri pripravi predpisov in drugih dokumentov ter odločitev vlade. </w:t>
      </w:r>
    </w:p>
    <w:p w14:paraId="0209A0F0" w14:textId="77777777" w:rsidR="00B64928" w:rsidRDefault="00B64928" w:rsidP="00B64928"/>
    <w:p w14:paraId="466FBB27" w14:textId="77777777" w:rsidR="00B64928" w:rsidRDefault="00B64928" w:rsidP="00B64928">
      <w:r>
        <w:t xml:space="preserve">Kasneje je bila z namenom večje transparentnosti v pripravo predpisov uvedena </w:t>
      </w:r>
      <w:proofErr w:type="spellStart"/>
      <w:r>
        <w:t>t.i</w:t>
      </w:r>
      <w:proofErr w:type="spellEnd"/>
      <w:r>
        <w:t xml:space="preserve"> zakonodajna sled. Osnovni namen zakonodajne sledi je razkritje lobiranja kot metode delovanja interesnih skupin. Z zakonodajno sledjo naj bi zagotovili, da se zabeleži celotna dejavnost vseh udeležencev v procesu zakonodajnega odločanja. Zakonodajna sled se v vladnih dokumentih prvič omenja leta 2014 v Programu ukrepov za preprečevanje korupcije, ki ga je vlada uvrstila v program na predlog takratnega senata KPK. Ukrep vlade je bil usmerjen v objavo zunanjih strokovnjakov, ki namesto javnih uslužbencev pripravljajo predpise, z obveznostjo predlagatelja gradiva, da navede višino stroškov, ki so povezani s sodelovanjem zunanjega strokovnjaka pri pripravi gradiva in bremenijo javnofinančna sredstva. </w:t>
      </w:r>
    </w:p>
    <w:p w14:paraId="476BA834" w14:textId="77777777" w:rsidR="00B64928" w:rsidRDefault="00B64928" w:rsidP="00B64928">
      <w:r>
        <w:t xml:space="preserve"> </w:t>
      </w:r>
    </w:p>
    <w:p w14:paraId="0820A5FD" w14:textId="77777777" w:rsidR="00B64928" w:rsidRDefault="00B64928" w:rsidP="00B64928">
      <w:r>
        <w:t>V decembru 2015 je bila z novelo ZDIJZ-E dodana določba petega odstavka 10. člena, ki določa, da se ob objavi predloga predpisa med drugim objavijo tudi podatki o "osebnem imenu in nazivu zunanjega strokovnjaka ali firme ter naslov pravne osebe, ki je sodelovala pri pripravi akta". Namen te določbe gre razumeti širše, v skladu s ciljem dejanskega zagotavljanja zakonodajne sledi. Pod pojmom "strokovnjak" gre razumeti osebo ali več oseb, ki so neposredno sodelovale v zakonodajnem procesu (ne glede na fazo).</w:t>
      </w:r>
    </w:p>
    <w:p w14:paraId="678C9F3E" w14:textId="77777777" w:rsidR="00B64928" w:rsidRDefault="00B64928" w:rsidP="00B64928"/>
    <w:p w14:paraId="18C6008B" w14:textId="77777777" w:rsidR="00B64928" w:rsidRDefault="00B64928" w:rsidP="00B64928">
      <w:r>
        <w:t>Na podlagi navedenega je bilo spremenjeno tudi Navodilo za izvajanje Poslovnika Vlade RS  št. 10, v delu, kaj mora obsegati predlog zakona, pa je bil s podatkom o zunanjem strokovnjaku oziroma pravni osebi, ki je sodelovala pri pripravi predloga zakona (osebno ime in naziv fizične osebe ali firma in naslov pravne osebe), dopolnjen tudi 115. člen Poslovnika Državnega zbora.</w:t>
      </w:r>
    </w:p>
    <w:p w14:paraId="7F0F8100" w14:textId="77777777" w:rsidR="00B64928" w:rsidRDefault="00B64928" w:rsidP="00B64928"/>
    <w:p w14:paraId="10D4D929" w14:textId="77777777" w:rsidR="00B64928" w:rsidRDefault="00B64928" w:rsidP="00B64928">
      <w:r>
        <w:lastRenderedPageBreak/>
        <w:t>Z vidika najemanja zunanjih strokovnjakov pri pripravi predpisov se je pregledalo predloge zakonov, ki jih je vlada v tem mandatu posredovala v obravnavo v Državni zbor. V večini primerov je bilo s strani predlagateljev zakonov navedeno, da zunanji strokovnjaki pri pripravi predpisov niso sodelovali. So pa v predlogih zakonov praviloma upoštevane nekatere rešitve, ki jih je posredovala strokovna in zainteresirana javnost.</w:t>
      </w:r>
    </w:p>
    <w:p w14:paraId="509BAC9F" w14:textId="77777777" w:rsidR="00B64928" w:rsidRDefault="00B64928" w:rsidP="00B64928"/>
    <w:p w14:paraId="7F3A2879" w14:textId="77777777" w:rsidR="00B64928" w:rsidRDefault="00B64928" w:rsidP="00B64928">
      <w:r>
        <w:t xml:space="preserve">Ne glede na navedeno so bila ministrstva ponovno opozorjena na spoštovanje Resolucije o normativni dejavnosti, prav tako pa Ministrstvo za javno upravo v okviru medresorskega usklajevanja predlogov predpisov resorje opozarja na dosledno spoštovanje Resolucije o normativni dejavnosti, še zlasti glede upoštevanja javne objave, kakor tudi priporočene dolžine objave na spletni strani e-demokracija. </w:t>
      </w:r>
    </w:p>
    <w:p w14:paraId="752FAC8E" w14:textId="77777777" w:rsidR="00B64928" w:rsidRDefault="00B64928" w:rsidP="00B64928"/>
    <w:p w14:paraId="40FBB481" w14:textId="77777777" w:rsidR="00B64928" w:rsidRDefault="00B64928" w:rsidP="00B64928">
      <w:r>
        <w:t xml:space="preserve">Zaradi težnje po nadaljnjem izboljšanju postopka priprave predpisov je bil v decembru 2022 pod okriljem Ministrstva za javno upravo ustanovljen Strokovni svet za trajnostni razvoj javne uprave, ki ga sestavljajo vrhunski raziskovalci, profesorji, nevladne organizacije in drugi strokovnjaki z različnih področij v Sloveniji. Strokovni svet sestavljajo tri delovne skupine, med katerimi je za pripravo predpisov pomembna delovna skupina za kakovost predpisov. Cilj delovne skupine je odpraviti pomanjkljivosti v postopku priprave predpisov ob prizadevanju za bolj vključujoče oblikovanje politik. Delovna skupina bo v okviru svojih </w:t>
      </w:r>
      <w:proofErr w:type="spellStart"/>
      <w:r>
        <w:t>pristojnoti</w:t>
      </w:r>
      <w:proofErr w:type="spellEnd"/>
      <w:r>
        <w:t xml:space="preserve"> proučila tudi Sklep Vlade o sodelovanju zunanjih strokovnjakov pri pripravi predlogov zakonov in drugih dokumentov iz leta 2009 ter po potrebi oblikovala predlog sprememb. </w:t>
      </w:r>
    </w:p>
    <w:p w14:paraId="636997AB" w14:textId="5E802536" w:rsidR="00B64928" w:rsidRDefault="00B64928" w:rsidP="00B64928">
      <w:pPr>
        <w:pStyle w:val="Vir"/>
      </w:pPr>
      <w:r w:rsidRPr="00B64928">
        <w:t>Vir: Generalni sekretariat vlade</w:t>
      </w:r>
    </w:p>
    <w:p w14:paraId="44081CA9" w14:textId="0F968C90" w:rsidR="00107012" w:rsidRDefault="00107012" w:rsidP="00107012">
      <w:pPr>
        <w:pStyle w:val="Naslov2"/>
      </w:pPr>
      <w:r>
        <w:t>Vlada se je seznanila s poročilom o delovanju Sveta Vlade RS za vprašanja narodnih skupnosti pripadnikov narodov nekdanje SFRJ v Republiki Sloveniji</w:t>
      </w:r>
    </w:p>
    <w:p w14:paraId="7C6BE793" w14:textId="210F979B" w:rsidR="00107012" w:rsidRDefault="00107012" w:rsidP="00107012">
      <w:r>
        <w:t>Vlada se je seznanila s poročilom o delovanju Sveta Vlade RS za vprašanja narodnih skupnosti pripadnikov narodov nekdanje SFRJ v Republiki Sloveniji za leto 2022 in ga poslala v seznanitev Državnemu zboru Republike Slovenije.</w:t>
      </w:r>
    </w:p>
    <w:p w14:paraId="69B8958D" w14:textId="77777777" w:rsidR="00107012" w:rsidRDefault="00107012" w:rsidP="00107012"/>
    <w:p w14:paraId="694E22CE" w14:textId="77777777" w:rsidR="00107012" w:rsidRDefault="00107012" w:rsidP="00107012">
      <w:r>
        <w:t>Svet, skladno s sklepom  o ustanovitvi Sveta Vlade RS za vprašanja narodnih skupnosti pripadnikov narodov nekdanje SFRJ v Republiki Sloveniji z dne 9. 12. 2021,  pripravlja poročila o svojem delu, s katerimi enkrat letno seznanja vlado in Državni zbor o svojem delovanju. Svet je posvetovalno telo vlade o zadevah s področja položaja narodnih skupnosti pripadnikov narodov nekdanje SFRJ v Republiki Sloveniji, tokratno poročilo zajema obrazložitev glavnih aktivnosti v zvezi z njegovo ustanovitvijo in delovanjem v letu 2022.</w:t>
      </w:r>
    </w:p>
    <w:p w14:paraId="759A17D8" w14:textId="1129A1A4" w:rsidR="00107012" w:rsidRDefault="00107012" w:rsidP="00107012">
      <w:pPr>
        <w:pStyle w:val="Vir"/>
      </w:pPr>
      <w:r w:rsidRPr="00107012">
        <w:t>Vir: Ministrstvo za kulturo</w:t>
      </w:r>
    </w:p>
    <w:p w14:paraId="738414D5" w14:textId="303F25B6" w:rsidR="004B079F" w:rsidRPr="004B079F" w:rsidRDefault="004B079F" w:rsidP="004B079F">
      <w:pPr>
        <w:pStyle w:val="Naslov2"/>
      </w:pPr>
      <w:r w:rsidRPr="004B079F">
        <w:t>Letno poročilo delovne skupine</w:t>
      </w:r>
    </w:p>
    <w:p w14:paraId="1B218906" w14:textId="77777777" w:rsidR="004B079F" w:rsidRDefault="004B079F" w:rsidP="004B079F">
      <w:r>
        <w:t>Vlada se je seznanila z Letnim poročilom Delovne skupine za spremljanje izvajanja Uredbe o sodelovanju državnega tožilstva, policije in drugih pristojnih državnih organov in institucij pri odkrivanju in pregonu storilcev kaznivih dejanj</w:t>
      </w:r>
    </w:p>
    <w:p w14:paraId="709276B4" w14:textId="77777777" w:rsidR="004B079F" w:rsidRDefault="004B079F" w:rsidP="004B079F"/>
    <w:p w14:paraId="3DE0DB31" w14:textId="11A527C9" w:rsidR="004B079F" w:rsidRDefault="004B079F" w:rsidP="004B079F">
      <w:r>
        <w:t>Vlada se je na današnji seji seznanila z Letnim poročilom za leto 2022 o delu Delovne skupine za spremljanje izvajanja Uredbe o sodelovanju državnega tožilstva, policije in drugih pristojnih državnih organov in institucij pri odkrivanju in pregonu storilcev kaznivih dejanj ter delovanju specializiranih in skupnih preiskovalnih skupin in za spremljanje izvajanja Strategije obvladovanja gospodarske kriminalitete v Republiki Sloveniji.</w:t>
      </w:r>
    </w:p>
    <w:p w14:paraId="44F10E58" w14:textId="6451DE5E" w:rsidR="004B079F" w:rsidRDefault="004B079F" w:rsidP="004B079F">
      <w:pPr>
        <w:pStyle w:val="Vir"/>
      </w:pPr>
      <w:r>
        <w:t>Vir: Ministrstvo za pravosodje</w:t>
      </w:r>
    </w:p>
    <w:p w14:paraId="3D7DF71D" w14:textId="4DCF151C" w:rsidR="00095A23" w:rsidRDefault="008A099D" w:rsidP="00095A23">
      <w:pPr>
        <w:pStyle w:val="Naslov2"/>
      </w:pPr>
      <w:r>
        <w:lastRenderedPageBreak/>
        <w:t xml:space="preserve"> </w:t>
      </w:r>
      <w:r w:rsidR="00095A23">
        <w:t>Vlada se je seznanila z letnim poročilom ZPIZ</w:t>
      </w:r>
    </w:p>
    <w:p w14:paraId="6CE2C707" w14:textId="77777777" w:rsidR="00DE565E" w:rsidRDefault="00DE565E" w:rsidP="00DE565E">
      <w:r>
        <w:t xml:space="preserve">Vlada se je seznanila z letnim poročilom Zavoda za pokojninsko in invalidsko zavarovanje Slovenije (ZPIZ) za leto 2022, iz katerega izhaja, da so bili zastavljeni cilji v veliki meri uspešno uresničeni. </w:t>
      </w:r>
    </w:p>
    <w:p w14:paraId="52FA5592" w14:textId="77777777" w:rsidR="00DE565E" w:rsidRDefault="00DE565E" w:rsidP="00DE565E">
      <w:r>
        <w:t xml:space="preserve">  </w:t>
      </w:r>
    </w:p>
    <w:p w14:paraId="68B1AFF5" w14:textId="77777777" w:rsidR="00DE565E" w:rsidRDefault="00DE565E" w:rsidP="00DE565E">
      <w:r>
        <w:t xml:space="preserve">ZPIZ kot izvajalec in nosilec sistema obveznega pokojninskega in invalidskega zavarovanja vsako leto na podlagi 166. člena Zakona o pokojninskem in invalidskem zavarovanju (ZPIZ-2) pripravi izčrpno in podrobno letno poročilo. Letno poročilo za leto 2022 je vsebinsko pripravljeno na način, da sistemsko, pregledno in podrobno prikazuje in razčlenjuje pomembnejše statistične, računovodske in druge podatke o izvajanju pokojninskega in invalidskega zavarovanja, ki zajemajo prav tako podrobne obrazložitve. </w:t>
      </w:r>
    </w:p>
    <w:p w14:paraId="1DC40557" w14:textId="77777777" w:rsidR="00DE565E" w:rsidRDefault="00DE565E" w:rsidP="00DE565E"/>
    <w:p w14:paraId="040D8F49" w14:textId="77777777" w:rsidR="00DE565E" w:rsidRDefault="00DE565E" w:rsidP="00DE565E">
      <w:r>
        <w:t>ZPIZ je tudi v letu 2022 zavarovancem in uživalcem pravic zagotavljal priznavanje pravic iz pokojninskega in invalidskega zavarovanja ter pravočasno izplačeval vse pokojninske in druge dajatve ter s tem izpolnjeval svoje poslanstvo. Celotno leto je posloval likvidno ter kljub velikemu dotoku zahtevkov, ki so jih narekovale številne spremembe ZPIZ-2, kot edini nosilec in izvajalec sistema obveznega pokojninskega in invalidskega zavarovanja v Republiki Sloveniji dosegel in presegel večino načrtovanih ciljev.</w:t>
      </w:r>
    </w:p>
    <w:p w14:paraId="4D856D41" w14:textId="77777777" w:rsidR="00DE565E" w:rsidRDefault="00DE565E" w:rsidP="00DE565E"/>
    <w:p w14:paraId="12BD36C0" w14:textId="77777777" w:rsidR="00DE565E" w:rsidRDefault="00DE565E" w:rsidP="00DE565E">
      <w:r>
        <w:t>Skupno povprečno število zavarovancev se je v letu 2022 v primerjavi z letom 2021 povečalo in je znašalo 989.063. V avgustu 2022 je bilo prvič v zgodovini več kot milijon zavarovancev (1.003.016). V letu 2022 je bilo povprečno 628.082 uživalcev starostne, predčasne, delne, invalidske, družinske in vdovske pokojnine iz obveznega zavarovanja, kar je 3314 uživalcev oziroma 0,5 odstotka več kot v letu 2021. Gre za eno najnižjih rasti v zadnjih 32 letih.</w:t>
      </w:r>
    </w:p>
    <w:p w14:paraId="76601EF8" w14:textId="77777777" w:rsidR="00DE565E" w:rsidRDefault="00DE565E" w:rsidP="00DE565E"/>
    <w:p w14:paraId="60911444" w14:textId="77777777" w:rsidR="00DE565E" w:rsidRDefault="00DE565E" w:rsidP="00DE565E">
      <w:r>
        <w:t>Povprečna mesečna bruto starostna pokojnina brez uživalcev sorazmernega dela pokojnine in uživalcev delne pokojnine je v letu 2022 znašala 888,66 evra, kar je za 8,3 odstotkov več v primerjavi z letom 2021. Povprečna starostna pokojnina z dopolnjenimi 40 ali več leti pokojninske dobe (brez sorazmernih delov pokojnin in delnih pokojnin) je v letu 2022 znašala 984,56 evra in je bila v primerjavi s predhodnim letom višja za 7,4 odstotka.</w:t>
      </w:r>
    </w:p>
    <w:p w14:paraId="3B2E87D5" w14:textId="77777777" w:rsidR="00DE565E" w:rsidRDefault="00DE565E" w:rsidP="00DE565E"/>
    <w:p w14:paraId="031DC74E" w14:textId="77777777" w:rsidR="00DE565E" w:rsidRDefault="00DE565E" w:rsidP="00DE565E">
      <w:r>
        <w:t>Povprečno število uživalcev starostne pokojnine se je v letu 2022 v primerjavi z letom 2021 povečalo za 1,5 odstotka. Nižje stopnje rasti v zadnjih letih kažejo na učinke ZPIZ-2 pri prilivu novih uživalcev starostne pokojnine zaradi strožjih pogojev za pridobitev te pravice in zaradi možnosti izplačevanja 40 odstotkov starostne pokojnine, če oseba po izpolnitvi pogojev za pridobitev pravice do starostne pokojnine ostane v zavarovanju s polnim delovnim ali zavarovalnim časom. V povprečju so bili ob koncu leta 2022 uživalci starostne pokojnine stari 72 let in 7 mesecev, in sicer ženske 72 let in 9 mesecev, moški pa 72 let in 5 mesecev.</w:t>
      </w:r>
    </w:p>
    <w:p w14:paraId="661CDB91" w14:textId="77777777" w:rsidR="00DE565E" w:rsidRDefault="00DE565E" w:rsidP="00DE565E"/>
    <w:p w14:paraId="7C202FCD" w14:textId="77777777" w:rsidR="00DE565E" w:rsidRDefault="00DE565E" w:rsidP="00DE565E">
      <w:r>
        <w:t>Povprečno število uživalcev dela starostne ali predčasne pokojnine se je v letu 2022 v primerjavi z letom 2021 povečalo za 15,3 odstotka, na 16.357 uživalcev, pri čemer je 20 odstotkov predčasne pokojnine prejemalo 8 zavarovancev, 16.349 zavarovancev pa je prejemalo 40 odstotkov starostne pokojnine. Del predčasne ali starostne pokojnine je prejemalo 40,0 odstotka žensk in 60,0 odstotka moških.</w:t>
      </w:r>
    </w:p>
    <w:p w14:paraId="71422E3F" w14:textId="77777777" w:rsidR="00DE565E" w:rsidRDefault="00DE565E" w:rsidP="00DE565E"/>
    <w:p w14:paraId="12F515A2" w14:textId="6354BD4F" w:rsidR="00DE565E" w:rsidRDefault="00DE565E" w:rsidP="00DE565E">
      <w:r>
        <w:t>V letu 2022 so se pokojnine in drugi prejemki uskladili dvakrat. Redna uskladitev pokojnin in drugih prejemkov je bila izvedena v februarju 2022, z veljavnostjo od 1. 1. 2022 in je znašala 4,4 odstotka. Na podlagi novele Zakona o dopolnitvi Zakona o pokojninskem in invalidskem zavarovanju (ZPIZ-2L) pa je bila izvedena še dodatna uskladitev pokojnin in nadomestil iz invalidskega zavarovanja, ki je bila namenjena odpravi zaostankov pri usklajevanju pokojnin uživalcev, upokojenih v različnih obdobjih. Iz tega razloga so bili odstotki različni, tako, da so se pokojnine in ostali prejemki s 1. 1. 2022 povečali za 3,5 odstotka, če so bili uveljavljeni do 31. 12. 2010</w:t>
      </w:r>
      <w:r w:rsidR="00EA1663">
        <w:t>, za</w:t>
      </w:r>
      <w:r>
        <w:t xml:space="preserve"> 1,7 odstotka, če so bili uveljavljeni od 1. 1. 2011 do 31. 12. 2011 in 1 odstotek, če </w:t>
      </w:r>
      <w:r>
        <w:lastRenderedPageBreak/>
        <w:t>so bili uveljavljeni od 1. 1. 2012 dalje. Za 1 odstotek sta se uskladili tudi najnižja in zagotovljena pokojnina ter najnižji znesek invalidske pokojnine.</w:t>
      </w:r>
    </w:p>
    <w:p w14:paraId="638DCB96" w14:textId="77777777" w:rsidR="00DE565E" w:rsidRDefault="00DE565E" w:rsidP="00DE565E"/>
    <w:p w14:paraId="51C814FB" w14:textId="77777777" w:rsidR="00DE565E" w:rsidRDefault="00DE565E" w:rsidP="00DE565E">
      <w:r>
        <w:t>Iz naslova epidemije, blaženja energetske in splošne draginje z namenom izboljšanja materialnega položaja upokojencev, je bilo v letu 2022 sprejetih več ukrepov. Solidarnostni dodatek je bil izplačan v januarju 2022 in v mesecu aprilu 2022, dodatno je bil zagotovljen še energetski dodatek, ki se je lahko uveljavljal na centrih za socialno delo še do 28. februarja 2023. V mesecu novembru in decembru 2022 je bil upokojencem in prejemnikom nadomestil iz invalidskega zavarovanja izplačan draginjski dodatek v obliki povečanja dela prejemkov v višini 4,5 odstotka od zneska prejemka, ki ga je uživalec prejel v mesecu oktobru 2022.</w:t>
      </w:r>
    </w:p>
    <w:p w14:paraId="03D9B2B6" w14:textId="77777777" w:rsidR="00DE565E" w:rsidRDefault="00DE565E" w:rsidP="00DE565E"/>
    <w:p w14:paraId="51A99535" w14:textId="77777777" w:rsidR="00DE565E" w:rsidRDefault="00DE565E" w:rsidP="00DE565E">
      <w:r>
        <w:t xml:space="preserve">Letno poročilo 2022 kaže uspešnost poslovanja ZPIZ, ki je poslovno leto 2022 sklenil z izravnanimi prihodki in odhodki v višini 6.715.089.178 evrov. </w:t>
      </w:r>
    </w:p>
    <w:p w14:paraId="735806B6" w14:textId="50338878" w:rsidR="00DE565E" w:rsidRPr="00DE565E" w:rsidRDefault="00DE565E" w:rsidP="00DE565E">
      <w:pPr>
        <w:pStyle w:val="Vir"/>
        <w:rPr>
          <w:rStyle w:val="VirZnak"/>
        </w:rPr>
      </w:pPr>
      <w:r>
        <w:t xml:space="preserve">Vir: Ministrstvo za delo, družino, </w:t>
      </w:r>
      <w:r w:rsidRPr="00DE565E">
        <w:rPr>
          <w:rStyle w:val="VirZnak"/>
        </w:rPr>
        <w:t>socialne zadeve in enake možnosti</w:t>
      </w:r>
    </w:p>
    <w:p w14:paraId="34661737" w14:textId="7E80464E" w:rsidR="00116C17" w:rsidRDefault="00116C17" w:rsidP="00116C17">
      <w:pPr>
        <w:pStyle w:val="Naslov2"/>
      </w:pPr>
      <w:r>
        <w:t>Vlada sprejela poročilo o izvajanju ZDIJZ za leti 2021 in 2022</w:t>
      </w:r>
    </w:p>
    <w:p w14:paraId="3E09C37B" w14:textId="74ED1F4E" w:rsidR="00116C17" w:rsidRDefault="00116C17" w:rsidP="00116C17">
      <w:r>
        <w:t>Vlada je sprejela Skupno dvoletno poročilo o izvajanju Zakona o dostopu do informacij javnega značaja za leti 2021 in 2022 in ga pošlje v seznanitev Državnemu zboru Republike Slovenije.</w:t>
      </w:r>
    </w:p>
    <w:p w14:paraId="179D1AE1" w14:textId="77777777" w:rsidR="00116C17" w:rsidRDefault="00116C17" w:rsidP="00116C17"/>
    <w:p w14:paraId="011CF160" w14:textId="77777777" w:rsidR="00116C17" w:rsidRDefault="00116C17" w:rsidP="00116C17">
      <w:r>
        <w:t xml:space="preserve">V letu 2021 so državni organi in organi lokalnih skupnosti rešili skupno 6432 zahtev za dostop in ponovno uporabo informacij javnega značaja, v letu 2022 pa je bilo rešenih skupno 5734 zahtev. Več kot dve tretjini zahtev so reševali državni organi, slabo tretjino pa organi lokalnih skupnosti. V večini primerov gre za zahteve za dostop do informacij javnega značaja, med tem ko je zahtev za ponovno uporabo v zadnjih letih vedno manj, kar pripisujemo </w:t>
      </w:r>
      <w:proofErr w:type="spellStart"/>
      <w:r>
        <w:t>proaktivnejši</w:t>
      </w:r>
      <w:proofErr w:type="spellEnd"/>
      <w:r>
        <w:t xml:space="preserve"> objavi odprtih podatkov na nacionalnem portalu oprtih podatkov Slovenije – portalu OPSI. Tam so podatki na voljo v prosto uporabo brez registracije ali postopka. Prav tako so podatki objavljeni in na voljo tudi na drugih portalih in spletnih straneh državnih organov in organov lokalnih skupnosti.</w:t>
      </w:r>
    </w:p>
    <w:p w14:paraId="4E6495DD" w14:textId="77777777" w:rsidR="00116C17" w:rsidRDefault="00116C17" w:rsidP="00116C17"/>
    <w:p w14:paraId="03D61CA7" w14:textId="77777777" w:rsidR="00116C17" w:rsidRDefault="00116C17" w:rsidP="00116C17">
      <w:r>
        <w:t>Večina zahtev za dostop in ponovno uporabo informacij javnega značaja je bila ugodno rešena, to pomeni, da so prosilci zahtevane informacije prejeli v celoti (v letu 2021 je bilo takšnih 59 odstotkov, v letu 2022 pa 58,4 odstotka), sledijo delno ugodene zahteve, nato pa zahteve, ki so bile v celoti zavrnjene, zavržene, odstopljene ali pa so še v reševanju. Najpogostejši razlog za delno zavrnitev zahteve za dostop do informacij javnega značaja je bil, tako kot v preteklih obdobjih, da je šlo za osebni podatek. Najpogostejši razlog za popolno zavrnitev zahteve pa dejstvo, da organ z zahtevano informacijo ni razpolagal.</w:t>
      </w:r>
    </w:p>
    <w:p w14:paraId="4815D7AF" w14:textId="77777777" w:rsidR="00116C17" w:rsidRDefault="00116C17" w:rsidP="00116C17"/>
    <w:p w14:paraId="09002414" w14:textId="77777777" w:rsidR="00116C17" w:rsidRDefault="00116C17" w:rsidP="00116C17">
      <w:r>
        <w:t xml:space="preserve">Informacijski pooblaščenec je v letu 2021 izdal 262 odločb, ki se nanašajo na pritožbe zoper odločitve državnih organov in organov lokalnih skupnosti v zvezi z dostopom in ponovno uporabo informacij javnega značaja, v letu 2022 pa 259 odločb. Tako kot v prejšnjih letih, je pritožbe prosilcev v večini primerov zavrnil, in sicer v letu 2021 v 164 primerih, v letu 2022 pa v 141 primerih. </w:t>
      </w:r>
    </w:p>
    <w:p w14:paraId="6574BC06" w14:textId="77777777" w:rsidR="00116C17" w:rsidRDefault="00116C17" w:rsidP="00116C17"/>
    <w:p w14:paraId="58AAC05D" w14:textId="19ABB7B1" w:rsidR="008A099D" w:rsidRDefault="00116C17" w:rsidP="00116C17">
      <w:r>
        <w:t>Vlada Republike Slovenije vsaki dve leti sprejme skupno dvoletno poročilo o izvajanju Zakona o dostopu do informacij javnega značaja na podlagi statističnih podatkov o postopkih, ki jih sporočijo državni organi in organi lokalnih skupnosti.</w:t>
      </w:r>
    </w:p>
    <w:p w14:paraId="6BB2C050" w14:textId="2B8948DF" w:rsidR="00116C17" w:rsidRDefault="00116C17" w:rsidP="00116C17">
      <w:pPr>
        <w:pStyle w:val="Vir"/>
      </w:pPr>
      <w:r w:rsidRPr="00116C17">
        <w:t>Vir: Ministrstvo za javno upravo</w:t>
      </w:r>
    </w:p>
    <w:p w14:paraId="4F913D99" w14:textId="17C138F5" w:rsidR="007C4EBA" w:rsidRDefault="007C4EBA" w:rsidP="007C4EBA">
      <w:pPr>
        <w:pStyle w:val="Naslov2"/>
      </w:pPr>
      <w:r>
        <w:t xml:space="preserve">Mnenje o pobudi za oceno ustavnosti 141. člena Gradbenega zakona </w:t>
      </w:r>
    </w:p>
    <w:p w14:paraId="7BCC7B82" w14:textId="77777777" w:rsidR="007C4EBA" w:rsidRDefault="007C4EBA" w:rsidP="007C4EBA">
      <w:r>
        <w:lastRenderedPageBreak/>
        <w:t xml:space="preserve">Vlada je  sprejela mnenje o pobudi Zbornice za arhitekturo in prostor Slovenije, Ljubljana in drugih za začetek postopka za oceno ustavnosti druge alineje desetega odstavka in enajstega odstavka 141. člena Gradbenega zakona (GZ-1). Vlada meni, da je pobuda neutemeljena. </w:t>
      </w:r>
    </w:p>
    <w:p w14:paraId="6EAB22A2" w14:textId="77777777" w:rsidR="007C4EBA" w:rsidRDefault="007C4EBA" w:rsidP="007C4EBA"/>
    <w:p w14:paraId="365C9D29" w14:textId="77777777" w:rsidR="007C4EBA" w:rsidRDefault="007C4EBA" w:rsidP="007C4EBA">
      <w:r>
        <w:t xml:space="preserve">Pobudniki v svoji pobudi predlagajo, da Ustavno sodišče Republike Slovenije razveljavi del besedila, ki se glasi: »ki je opravil posebni del strokovnega izpita v skladu s Pravilnikom o programu in načinu opravljanja strokovnih izpitov po zakonu o graditvi objektov (Uradni list RS, št. 27/85 in 47/95) iz vodenja del,«. </w:t>
      </w:r>
    </w:p>
    <w:p w14:paraId="1A05EE8F" w14:textId="77777777" w:rsidR="007C4EBA" w:rsidRDefault="007C4EBA" w:rsidP="007C4EBA"/>
    <w:p w14:paraId="709DB46B" w14:textId="77777777" w:rsidR="007C4EBA" w:rsidRDefault="007C4EBA" w:rsidP="007C4EBA">
      <w:r>
        <w:t>Vlada meni, da je pobuda za začetek postopka za oceno ustavnosti izpodbijanih določb neutemeljena, ker tudi morebitna ugoditev pobudi (razveljavitev izpodbijanega dela določb GZ-1) ne bi mogla izboljšati pravnega položaja pobudnikov. GZ-1 ne določa poklicnih nalog pooblaščenih arhitektov, temveč jih kot sistemski zakon določa Zakon o arhitekturni in inženirski dejavnosti, ki pa pooblaščenim arhitektom poklicne naloge vodenja gradnje ne priznava. Ugoditev pobudi bi imela celo negativni učinek, saj bi prepovedovala opravljanje vodenja gradnje tudi tistim arhitektom, ki so to pravico pridobili po  Pravilniku o programu in načinu opravljanja strokovnih izpitov po zakonu o graditvi objektov (Uradni list RS, št. 27/85 in 47/95). Vlada zato predlaga, da  se pobuda zavrne.</w:t>
      </w:r>
    </w:p>
    <w:p w14:paraId="6D1F7038" w14:textId="3288901E" w:rsidR="007C4EBA" w:rsidRDefault="007C4EBA" w:rsidP="007C4EBA">
      <w:pPr>
        <w:pStyle w:val="Vir"/>
      </w:pPr>
      <w:r w:rsidRPr="007C4EBA">
        <w:t>Vir: Ministrstvo za naravne vire in prostor</w:t>
      </w:r>
    </w:p>
    <w:p w14:paraId="081491E4" w14:textId="12604C9B" w:rsidR="00D478AF" w:rsidRDefault="00D478AF" w:rsidP="00D478AF">
      <w:pPr>
        <w:pStyle w:val="Naslov2"/>
      </w:pPr>
      <w:r>
        <w:t xml:space="preserve">Vlada sprejela odgovor v </w:t>
      </w:r>
      <w:proofErr w:type="spellStart"/>
      <w:r>
        <w:t>predsodnem</w:t>
      </w:r>
      <w:proofErr w:type="spellEnd"/>
      <w:r>
        <w:t xml:space="preserve"> postopku na obrazloženo mnenje Evropske komisije</w:t>
      </w:r>
    </w:p>
    <w:p w14:paraId="206697FF" w14:textId="77777777" w:rsidR="00D478AF" w:rsidRDefault="00D478AF" w:rsidP="00D478AF">
      <w:r>
        <w:t xml:space="preserve">Vlada je sprejela odgovor Republike Slovenije v </w:t>
      </w:r>
      <w:proofErr w:type="spellStart"/>
      <w:r>
        <w:t>predsodnem</w:t>
      </w:r>
      <w:proofErr w:type="spellEnd"/>
      <w:r>
        <w:t xml:space="preserve"> postopku na obrazloženo mnenje Evropske komisije št. C(2023)518 </w:t>
      </w:r>
      <w:proofErr w:type="spellStart"/>
      <w:r>
        <w:t>final</w:t>
      </w:r>
      <w:proofErr w:type="spellEnd"/>
      <w:r>
        <w:t xml:space="preserve"> z dne 15. 2. 2023 zaradi  neizpolnjevanja obveznosti iz drugega odstavka 2. člena, prvega, drugega, tretjega, petega in šestega odstavka 4. člena in prvega odstavka 7. člena Direktive (EU) 2018/958 Evropskega parlamenta in Sveta z dne 28. junija 2018 o preskusu sorazmernosti pred sprejetjem nove regulacije poklicev (kršitev št. 2021/2195). </w:t>
      </w:r>
    </w:p>
    <w:p w14:paraId="2EEC9200" w14:textId="77777777" w:rsidR="00D478AF" w:rsidRDefault="00D478AF" w:rsidP="00D478AF"/>
    <w:p w14:paraId="44A9DF45" w14:textId="77777777" w:rsidR="00D478AF" w:rsidRDefault="00D478AF" w:rsidP="00D478AF">
      <w:r>
        <w:t>Vlada v odgovoru pojasnjuje, da je Predlog Zakona o spremembah in dopolnitvi Zakona o postopku priznavanja poklicnih kvalifikacij za opravljanje reguliranih poklicev na seji določila dne 30. 3. 2023 in ga posredovala v sprejem Državnemu zboru. S tem zakonom bodo izpolnjene vse obveznosti, ki izhajajo iz drugega odstavka 2. člena, prvega, drugega, tretjega, petega in šestega odstavka 4. člena ter prvega odstavka 7. člena Direktive 2018/958/EU.</w:t>
      </w:r>
    </w:p>
    <w:p w14:paraId="03BF80B8" w14:textId="77777777" w:rsidR="00D478AF" w:rsidRDefault="00D478AF" w:rsidP="00D478AF">
      <w:pPr>
        <w:pStyle w:val="Vir"/>
      </w:pPr>
      <w:r>
        <w:t>Vir: Ministrstvo za delo, družino, socialne zadeve in enake možnosti</w:t>
      </w:r>
    </w:p>
    <w:p w14:paraId="25EE2195" w14:textId="79702844" w:rsidR="004B079F" w:rsidRDefault="004B079F" w:rsidP="004B079F">
      <w:pPr>
        <w:pStyle w:val="Naslov2"/>
      </w:pPr>
      <w:r>
        <w:t>Vlada sprejela odgovor na uradni opomin Evropske komisije zaradi neizpolnjevanja obveznosti iz Direktive o storitvah na notranjem trgu v zvezi z določbami Zakona o odvetništvu in Kodeksa odvetniške poklicne etike</w:t>
      </w:r>
    </w:p>
    <w:p w14:paraId="3B8B20A1" w14:textId="47D6EC0C" w:rsidR="004B079F" w:rsidRDefault="004B079F" w:rsidP="004B079F">
      <w:r>
        <w:t xml:space="preserve">Vlada je na današnji seji sprejela odgovor Republike Slovenije v </w:t>
      </w:r>
      <w:proofErr w:type="spellStart"/>
      <w:r>
        <w:t>predsodnem</w:t>
      </w:r>
      <w:proofErr w:type="spellEnd"/>
      <w:r>
        <w:t xml:space="preserve"> postopku na uradni opomin Evropske komisije zaradi neizpolnjevanja obveznosti iz prvega odstavka 24. člena Direktive 2006/123/ES Evropskega parlamenta in Sveta z dne 12. decembra 2006 o storitvah na notranjem trgu v zvezi z določbami Zakona o odvetništvu in Kodeksa odvetniške poklicne etike, ki prepovedujejo komercialno komuniciranje.</w:t>
      </w:r>
    </w:p>
    <w:p w14:paraId="636F8F9C" w14:textId="77777777" w:rsidR="004B079F" w:rsidRDefault="004B079F" w:rsidP="004B079F"/>
    <w:p w14:paraId="49E54CAE" w14:textId="77777777" w:rsidR="004B079F" w:rsidRDefault="004B079F" w:rsidP="004B079F">
      <w:r>
        <w:t xml:space="preserve">Po mnenju Republike Slovenije sedanja ureditev oglaševanja odvetništva le-tega ne prepoveduje, temveč ga le omejuje, skladno z etičnimi standardi, ki veljajo za odvetniški poklic. Z delno omejitvijo oglaševanja odvetniških storitev, kot je urejena v Republiki Sloveniji, je osebi, ki išče odvetnika, dana možnost, da se lahko seznani s ponudbo in specifičnimi kvalitetami posamezne odvetniške pisarne, hkrati pa je ohranjena specifična funkcija in integriteta </w:t>
      </w:r>
      <w:r>
        <w:lastRenderedPageBreak/>
        <w:t>odvetniškega poklica kot poklica, kjer je oglaševanje zaradi etičnih načel nedovoljeno oziroma omejeno.</w:t>
      </w:r>
    </w:p>
    <w:p w14:paraId="27CC7AF6" w14:textId="7CBB9675" w:rsidR="008A099D" w:rsidRDefault="004B079F" w:rsidP="004B079F">
      <w:pPr>
        <w:pStyle w:val="Vir"/>
      </w:pPr>
      <w:r>
        <w:t>Vir: Ministrstvo za pravosodje</w:t>
      </w:r>
    </w:p>
    <w:p w14:paraId="5D53C2BA" w14:textId="05E40F00" w:rsidR="003370FC" w:rsidRDefault="003370FC" w:rsidP="003370FC">
      <w:pPr>
        <w:pStyle w:val="Naslov2"/>
      </w:pPr>
      <w:r>
        <w:t>Opomin Evropske komisije glede Zakona o nepremičninskem posredovanju</w:t>
      </w:r>
    </w:p>
    <w:p w14:paraId="63C1E21E" w14:textId="1B2A53D1" w:rsidR="003370FC" w:rsidRDefault="003370FC" w:rsidP="003370FC">
      <w:r w:rsidRPr="003370FC">
        <w:t xml:space="preserve">Vlada je sprejela odgovor Republike Slovenije v </w:t>
      </w:r>
      <w:proofErr w:type="spellStart"/>
      <w:r w:rsidRPr="003370FC">
        <w:t>predsodnem</w:t>
      </w:r>
      <w:proofErr w:type="spellEnd"/>
      <w:r w:rsidRPr="003370FC">
        <w:t xml:space="preserve"> postopku na uradni opomin Evropske komisije št. C(2023)477 </w:t>
      </w:r>
      <w:proofErr w:type="spellStart"/>
      <w:r w:rsidRPr="003370FC">
        <w:t>final</w:t>
      </w:r>
      <w:proofErr w:type="spellEnd"/>
      <w:r w:rsidRPr="003370FC">
        <w:t xml:space="preserve"> z dne 15. 2 2023 zaradi neizpolnjevanja obveznosti iz točke (g) drugega odstavka in tretjega odstavka 15. člena ter iz prvega odstavka 16. člena Direktive 2006/123/ES Evropskega parlamenta in Sveta z dne 12. decembra 2006 o storitvah na notranjem trgu v zvezi z Zakonom o nepremičninskem posredovanju (kršitev št. INFR(2022)4119).</w:t>
      </w:r>
    </w:p>
    <w:p w14:paraId="200C949B" w14:textId="77777777" w:rsidR="003370FC" w:rsidRDefault="003370FC" w:rsidP="003370FC"/>
    <w:p w14:paraId="1DADD3E1" w14:textId="770D1817" w:rsidR="003370FC" w:rsidRDefault="003370FC" w:rsidP="003370FC">
      <w:r>
        <w:t xml:space="preserve">Evropska komisija (EK) je dne 15. februarja 2023 izdala opomin na 5. člen </w:t>
      </w:r>
      <w:r w:rsidRPr="003370FC">
        <w:t>Zakon</w:t>
      </w:r>
      <w:r>
        <w:t>a</w:t>
      </w:r>
      <w:r w:rsidRPr="003370FC">
        <w:t xml:space="preserve"> o nepremičninskem posredovanju </w:t>
      </w:r>
      <w:r>
        <w:t>(ZNPosr), ki regulira spodnjo in zgornjo ceno storitev posredovanja. EK se osredotoča predvsem na spodnjo mejo 150 evrov.</w:t>
      </w:r>
    </w:p>
    <w:p w14:paraId="30A622D9" w14:textId="77777777" w:rsidR="003370FC" w:rsidRDefault="003370FC" w:rsidP="003370FC"/>
    <w:p w14:paraId="7093BCF0" w14:textId="77777777" w:rsidR="003370FC" w:rsidRDefault="003370FC" w:rsidP="003370FC">
      <w:r>
        <w:t xml:space="preserve">Na Ministrstvu za solidarno prihodnost bomo pristopili k celostni reformi in ne samo k spremembi člena, na katerega se sklicuje EK. Celostna reforma je potrebna, ker se, med drugim, tudi ta člen v praksi ne izvaja, ravno tako se ne izvaja člen, kjer storitve plačuje naročnik. </w:t>
      </w:r>
    </w:p>
    <w:p w14:paraId="6EC448C8" w14:textId="77777777" w:rsidR="003370FC" w:rsidRDefault="003370FC" w:rsidP="003370FC"/>
    <w:p w14:paraId="7B291BC3" w14:textId="77777777" w:rsidR="003370FC" w:rsidRDefault="003370FC" w:rsidP="003370FC">
      <w:r>
        <w:t xml:space="preserve">Ministrstvo se zaveda težave, da v praksi posredniki delujejo kot zastopniki prodajalca in ne obravnavajo strank v postopku enakovredno (to velja predvsem za šibke stranke, kot so najemniki ali enkratni kupci lastnih stanovanj, ki trga in pravil ne poznajo). Zavedamo se, da je potrebno področje podrobneje urediti, da bodo posredniki opravljali svoje naloge. V ta namen smo že izvedli sestanek s predstavnikom Združenja nepremičninskih posrednikov pri GZS. </w:t>
      </w:r>
    </w:p>
    <w:p w14:paraId="731AF276" w14:textId="77777777" w:rsidR="003370FC" w:rsidRDefault="003370FC" w:rsidP="003370FC"/>
    <w:p w14:paraId="6BD484FD" w14:textId="77777777" w:rsidR="003370FC" w:rsidRDefault="003370FC" w:rsidP="003370FC">
      <w:r>
        <w:t xml:space="preserve">Hkrati dodajamo, da v kolikor takšna sprememba ne bo mogoča, bomo pristopili k </w:t>
      </w:r>
      <w:proofErr w:type="spellStart"/>
      <w:r>
        <w:t>novelaciji</w:t>
      </w:r>
      <w:proofErr w:type="spellEnd"/>
      <w:r>
        <w:t xml:space="preserve"> obstoječega zakona skladno z opominom EK. </w:t>
      </w:r>
    </w:p>
    <w:p w14:paraId="18BE09FF" w14:textId="6DA9ECF6" w:rsidR="008A099D" w:rsidRDefault="003370FC" w:rsidP="003370FC">
      <w:pPr>
        <w:pStyle w:val="Vir"/>
      </w:pPr>
      <w:r w:rsidRPr="003370FC">
        <w:t>Vir: Ministrstvo za solidarno prihodnost</w:t>
      </w:r>
    </w:p>
    <w:p w14:paraId="349E2C2F" w14:textId="3AD87802" w:rsidR="007C4EBA" w:rsidRDefault="007C4EBA" w:rsidP="007C4EBA">
      <w:pPr>
        <w:pStyle w:val="Naslov2"/>
      </w:pPr>
      <w:r>
        <w:t xml:space="preserve">Odgovor na uradni opomin Evropske komisije o oceni in obvladovanju poplavne ogroženosti </w:t>
      </w:r>
    </w:p>
    <w:p w14:paraId="160243AB" w14:textId="77777777" w:rsidR="007C4EBA" w:rsidRDefault="007C4EBA" w:rsidP="007C4EBA">
      <w:r>
        <w:t xml:space="preserve">Vlada je sprejela odgovor Slovenije v </w:t>
      </w:r>
      <w:proofErr w:type="spellStart"/>
      <w:r>
        <w:t>predsodnem</w:t>
      </w:r>
      <w:proofErr w:type="spellEnd"/>
      <w:r>
        <w:t xml:space="preserve"> postopku na uradni opomin Evropske komisije z dne 15. 2. 2023 zaradi neizpolnjevanja obveznosti iz sedmega odstavka 13. člena in prvega odstavka 15. člena Direktive Evropskega parlamenta in Sveta 2000/60/ES z dne 23. oktobra 2000 o določitvi okvira za ukrepe Skupnosti na področju vodne politike ter iz tretjega odstavka 14. člena in prvega odstavka 15. člena Direktive 2007/60/ES Evropskega parlamenta in Sveta z dne 23. oktobra 2007 o oceni in obvladovanju poplavne ogroženosti (kršitev št. INFR (2022)2199).</w:t>
      </w:r>
    </w:p>
    <w:p w14:paraId="13933B7E" w14:textId="77777777" w:rsidR="007C4EBA" w:rsidRDefault="007C4EBA" w:rsidP="007C4EBA"/>
    <w:p w14:paraId="15000E6B" w14:textId="75C4A24C" w:rsidR="007C4EBA" w:rsidRDefault="007C4EBA" w:rsidP="007C4EBA">
      <w:r>
        <w:t xml:space="preserve">Slovenija bo vse obveznosti izpolnila  s sprejetjem Načrta upravljanja voda na vodnem območju Donave za obdobje 2022–2027, Načrta upravljanja voda na vodnem območju Jadranskega morja za obdobje 2022–2027, Programa ukrepov upravljanja voda in Načrta zmanjševanja poplavne ogroženosti 2023 – 2027. S sprejemom in notifikacijo teh aktov Evropski komisiji bodo odpravljeni vsi očitki iz uradnega opomina. Načrt zmanjševanja poplavne ogroženosti 2023 – 2027 je vlada že sprejela, drugi dokumenti pa bodo predvidoma sprejeti na vladi letos poleti. </w:t>
      </w:r>
    </w:p>
    <w:p w14:paraId="0036CE65" w14:textId="3E35CCCD" w:rsidR="008A099D" w:rsidRDefault="007C4EBA" w:rsidP="007C4EBA">
      <w:pPr>
        <w:pStyle w:val="Vir"/>
      </w:pPr>
      <w:bookmarkStart w:id="0" w:name="_Hlk132261019"/>
      <w:r>
        <w:t>Vir: Ministrstvo za naravne vire in prostor</w:t>
      </w:r>
    </w:p>
    <w:bookmarkEnd w:id="0"/>
    <w:p w14:paraId="57340CDA" w14:textId="4F3726EE" w:rsidR="00473A24" w:rsidRDefault="00473A24" w:rsidP="00473A24">
      <w:pPr>
        <w:pStyle w:val="Naslov2"/>
      </w:pPr>
      <w:r>
        <w:lastRenderedPageBreak/>
        <w:t>Odgovor na uradni opomin Evropske komisije zaradi neizpolnjevanja obveznosti Uredbe Evropskega parlamenta in Sveta o določitvi pravil o omogočanju dostopnosti sredstev za gnojenje EU na trgu</w:t>
      </w:r>
    </w:p>
    <w:p w14:paraId="1692F67C" w14:textId="77777777" w:rsidR="00473A24" w:rsidRDefault="00473A24" w:rsidP="00473A24">
      <w:r>
        <w:t>Vlada je sprejela odgovor na uradni opomin Evropske komisije zaradi neizpolnjevanja obveznosti iz 21. člena in 23. člena Uredbe (EU) 2019/1009 Evropskega parlamenta in Sveta z dne 5. junija 2019 o določitvi pravil o omogočanju dostopnosti sredstev za gnojenje EU na trgu, spremembi uredb (ES) št. 1069/2009 in (ES) št. 1107/2009 ter razveljavitvi Uredbe (ES) št. 2003/2003.</w:t>
      </w:r>
    </w:p>
    <w:p w14:paraId="1F06B92F" w14:textId="77777777" w:rsidR="00473A24" w:rsidRDefault="00473A24" w:rsidP="00473A24"/>
    <w:p w14:paraId="5FFB0B27" w14:textId="77777777" w:rsidR="00473A24" w:rsidRDefault="00473A24" w:rsidP="00473A24">
      <w:r>
        <w:t xml:space="preserve">Evropska komisija v uradnem opominu ugotavlja, da Slovenija ni izpolnila svojih obveznosti iz prvega odstavka 21. člena in prvega odstavka 23. člena Uredbe 2019/1009/EU, ker ni imenovala priglasitvenega organa ter ker Evropske komisije ni obvestila o postopkih za ocenjevanje in priglasitev organov za ugotavljanje skladnosti in spremljanje priglašenih organov. Evropska komisija poziva Vlado RS, naj v skladu z 258. členom Pogodbe o delovanju Evropske unije (PDEU) v dveh mesecih od prejema uradnega opomina predloži svoje pripombe k navedenemu. </w:t>
      </w:r>
    </w:p>
    <w:p w14:paraId="3CE7B128" w14:textId="77777777" w:rsidR="00473A24" w:rsidRDefault="00473A24" w:rsidP="00473A24"/>
    <w:p w14:paraId="1F842B24" w14:textId="77777777" w:rsidR="00473A24" w:rsidRDefault="00473A24" w:rsidP="00473A24">
      <w:r>
        <w:t>Vlada se je seznanila z uradnim opominom in v odgovoru obvešča Evropsko komisijo, da je že bila sprejeta nacionalna zakonodaja v zvezi z izvajanjem Uredbe 2019/1009/EU. S spremembo Zakona o kmetijstvu (ZKme-1F), ki je bila objavljena v Uradnem listu RS št. 123/2021 z dne 27. 7. 2021, se je zagotovila pravna podlaga za sprejem nacionalne uredbe z naslovom Uredba o izvajanju uredbe (EU) o določitvi pravil o omogočanju dostopnosti sredstev za gnojenje EU na trgu, ki je bila objavljena v Uradnem listu RS št. 30/2023  z dne 10. 3. 2023. Uredba o izvajanju uredbe (EU) o določitvi pravil o omogočanju dostopnosti sredstev za gnojenje EU na trgu določa Ministrstvo za kmetijstvo, gozdarstvo in prehrano kot priglasitveni organ, Inšpekcijo za kmetijstvo kot organ za nadzor in poleg tega določa kazenske določbe za kršitve Uredbe 2019/1009/EU in nacionalne uredbe. Prav tako je slovenski jezik določen kot jezik, v katerem morajo biti sredstva za gnojenje označena.</w:t>
      </w:r>
    </w:p>
    <w:p w14:paraId="2C77D53A" w14:textId="77777777" w:rsidR="00473A24" w:rsidRDefault="00473A24" w:rsidP="00473A24"/>
    <w:p w14:paraId="0C3BE10C" w14:textId="77777777" w:rsidR="00473A24" w:rsidRDefault="00473A24" w:rsidP="00473A24">
      <w:r>
        <w:t>Kljub naporom za spoštovanje predpisanega roka iz Uredbe 2019/1009/EU je pri sprejemu nacionalne uredbe prišlo do zamude, saj gre za zahtevne vsebine, ki so narekovale medresorsko uskladitev ter premišljeno umestitev v nacionalno zakonodajo, zlasti v zvezi s kazenskimi določbami, ter v delovno področje organov, ki prevzemajo naloge na podlagi Uredbe 2019/1009/EU.</w:t>
      </w:r>
    </w:p>
    <w:p w14:paraId="70354E11" w14:textId="77777777" w:rsidR="00473A24" w:rsidRDefault="00473A24" w:rsidP="00473A24"/>
    <w:p w14:paraId="4800D1AB" w14:textId="77777777" w:rsidR="00473A24" w:rsidRDefault="00473A24" w:rsidP="00473A24">
      <w:r>
        <w:t xml:space="preserve">Republika Slovenija je dne 27. 3. 2023 prek baze NANDO v skladu s prvim odstavkom 23. člena Uredbe 2019/1009/EU obvestila Evropsko komisijo o postopkih za ocenjevanje in priglasitev organov za ugotavljanje skladnosti in spremljanje priglašenih organov. V naslednjem koraku pa bo, kot priglasitveni organ, Ministrstvo za kmetijstvo, gozdarstvo in prehrano obvestilo Evropsko komisijo in druge države članice o organu(ih) za ugotavljanje skladnosti, takoj ko bodo izbrani. </w:t>
      </w:r>
    </w:p>
    <w:p w14:paraId="627871BF" w14:textId="77777777" w:rsidR="00473A24" w:rsidRDefault="00473A24" w:rsidP="00473A24"/>
    <w:p w14:paraId="4F320A56" w14:textId="67FC1014" w:rsidR="008A099D" w:rsidRDefault="00473A24" w:rsidP="00473A24">
      <w:r>
        <w:t>Vlada tudi seznanja Evropsko komisijo, da v Sloveniji do sedaj ni bilo izraženega interesa s strani morebitnih organov za ugotavljanje skladnosti, saj nimamo močne industrije proizvajalcev sredstev za gnojenje in gre posledično za vprašanje stroškovne učinkovitosti vzpostavitve organa za ugotavljanje skladnosti.</w:t>
      </w:r>
    </w:p>
    <w:p w14:paraId="4C01C7D3" w14:textId="4BDC09CD" w:rsidR="00473A24" w:rsidRDefault="00473A24" w:rsidP="00473A24">
      <w:pPr>
        <w:pStyle w:val="Vir"/>
      </w:pPr>
      <w:r w:rsidRPr="00473A24">
        <w:t>Vir: Ministrstvo za kmetijstvo, gozdarstvo in prehrano</w:t>
      </w:r>
    </w:p>
    <w:p w14:paraId="6EE0F184" w14:textId="5E564FB8" w:rsidR="003728D5" w:rsidRDefault="003728D5" w:rsidP="003728D5">
      <w:pPr>
        <w:pStyle w:val="Naslov2"/>
      </w:pPr>
      <w:r>
        <w:t>Republika Slovenija podpira predlog Uredbe s katero se bo povečala dostopnost zdravil na trgu Evropske unije</w:t>
      </w:r>
    </w:p>
    <w:p w14:paraId="469E3875" w14:textId="1A5604D5" w:rsidR="003728D5" w:rsidRDefault="003728D5" w:rsidP="003728D5">
      <w:r>
        <w:lastRenderedPageBreak/>
        <w:t>Republika Slovenija podpira predlog Uredbe Evropskega parlamenta in Sveta o posebnih pravilih v zvezi z zdravili za uporabo v humani medicini, namenjenimi dajanju v promet na Severnem Irskem, saj se bo s tem povečala dostopnost zdravil na trgu.</w:t>
      </w:r>
    </w:p>
    <w:p w14:paraId="3EE8C2BC" w14:textId="77777777" w:rsidR="003728D5" w:rsidRDefault="003728D5" w:rsidP="003728D5"/>
    <w:p w14:paraId="02838529" w14:textId="77777777" w:rsidR="003728D5" w:rsidRDefault="003728D5" w:rsidP="003728D5">
      <w:r>
        <w:t>Evropska komisija je 27. februarja 2023 pripravila predlog Uredbe Evropskega parlamenta in Sveta o posebnih pravilih v zvezi z zdravili za uporabo v humani medicini, namenjenimi dajanju v promet na Severnem Irskem.</w:t>
      </w:r>
    </w:p>
    <w:p w14:paraId="0A9827BA" w14:textId="77777777" w:rsidR="003728D5" w:rsidRDefault="003728D5" w:rsidP="003728D5">
      <w:r>
        <w:t>Predlog odraža, da:</w:t>
      </w:r>
    </w:p>
    <w:p w14:paraId="0A38B609" w14:textId="38526FEA" w:rsidR="003728D5" w:rsidRDefault="003728D5" w:rsidP="00422822">
      <w:pPr>
        <w:pStyle w:val="Odstavekseznama"/>
        <w:numPr>
          <w:ilvl w:val="0"/>
          <w:numId w:val="5"/>
        </w:numPr>
      </w:pPr>
      <w:r>
        <w:t>morajo biti nova in inovativna zdravila, ki se zakonito dajejo v promet na Severnem Irskem, zajeta le v veljavnem dovoljenju za promet, ki ga izda Združeno kraljestvo v skladu z zakonodajo Združenega kraljestva. Dajanje teh zdravil v promet, zato ne bo več urejeno z dovoljenji na ravni EU, ki jih izda Evropska komisija;</w:t>
      </w:r>
    </w:p>
    <w:p w14:paraId="3CAC28DD" w14:textId="4C75C52F" w:rsidR="003728D5" w:rsidRDefault="003728D5" w:rsidP="00422822">
      <w:pPr>
        <w:pStyle w:val="Odstavekseznama"/>
        <w:numPr>
          <w:ilvl w:val="0"/>
          <w:numId w:val="5"/>
        </w:numPr>
      </w:pPr>
      <w:r>
        <w:t>na ovojnini zdravil, ki se dajo na voljo pacientom na Severnem Irskem, ne sme biti zaščitnih elementov Evropske unije, ki jih mora vsebovati ovojnina zdravil na recept v Evropski uniji.</w:t>
      </w:r>
    </w:p>
    <w:p w14:paraId="33A87A4F" w14:textId="77777777" w:rsidR="003728D5" w:rsidRDefault="003728D5" w:rsidP="003728D5"/>
    <w:p w14:paraId="6168FB58" w14:textId="77777777" w:rsidR="003728D5" w:rsidRDefault="003728D5" w:rsidP="003728D5">
      <w:r>
        <w:t xml:space="preserve">V praksi se je, kljub prehodnemu obdobju po </w:t>
      </w:r>
      <w:proofErr w:type="spellStart"/>
      <w:r>
        <w:t>Brexitu</w:t>
      </w:r>
      <w:proofErr w:type="spellEnd"/>
      <w:r>
        <w:t xml:space="preserve">, izkazalo, da trenutna ureditev nekaterim gospodarskim subjektom s sedežem v delih Združenega kraljestva povzroča težave pri prilagoditvi in prenosu svojih funkcij zagotavljanja skladnosti z zakonodajo. Evropska komisija in vlada Združenega kraljestva sta s predlogom Uredbe dosegli celovit sklop skupnih rešitev za odpravo neskladnosti na področjih kot so dovoljenja za promet, preskušanje kontrole kakovosti in </w:t>
      </w:r>
      <w:proofErr w:type="spellStart"/>
      <w:r>
        <w:t>farmakovigilanca</w:t>
      </w:r>
      <w:proofErr w:type="spellEnd"/>
      <w:r>
        <w:t xml:space="preserve">, ob hkratni zaščiti celovitosti notranjega trga Unije in Združenega kraljestva. </w:t>
      </w:r>
    </w:p>
    <w:p w14:paraId="02D8E2EA" w14:textId="77777777" w:rsidR="008A7849" w:rsidRDefault="008A7849" w:rsidP="003728D5"/>
    <w:p w14:paraId="137F4639" w14:textId="41DE2908" w:rsidR="003728D5" w:rsidRDefault="003728D5" w:rsidP="003728D5">
      <w:r>
        <w:t>Predlagane rešitve zagotavljajo pravno jasnost, predvidljivost in blaginjo za državljane in podjetja na Severnem Irskem, hkrati pa se preprečijo kakršna koli tveganja za javno zdravje na notranjem trgu.</w:t>
      </w:r>
    </w:p>
    <w:p w14:paraId="10A6C7DB" w14:textId="4F25A17B" w:rsidR="003728D5" w:rsidRDefault="00D1323C" w:rsidP="00D1323C">
      <w:pPr>
        <w:pStyle w:val="Vir"/>
      </w:pPr>
      <w:r w:rsidRPr="00D1323C">
        <w:t>Vir: Ministrstvo za zdravje</w:t>
      </w:r>
    </w:p>
    <w:p w14:paraId="0FF8FD42" w14:textId="29D6D33F" w:rsidR="009E7ED6" w:rsidRDefault="009E7ED6" w:rsidP="009E7ED6">
      <w:pPr>
        <w:pStyle w:val="Naslov2"/>
      </w:pPr>
      <w:r>
        <w:t xml:space="preserve">Sporazum med Vlado Republike Slovenije in Vlado Republike Uzbekistan o gospodarskem sodelovanju </w:t>
      </w:r>
    </w:p>
    <w:p w14:paraId="6DD96A3D" w14:textId="5585D7AA" w:rsidR="009E7ED6" w:rsidRDefault="009E7ED6" w:rsidP="009E7ED6">
      <w:r>
        <w:t xml:space="preserve">Vlada je izdala Uredbo o ratifikaciji Sporazuma med Vlado Republike Slovenije in Vlado Republike Uzbekistan o gospodarskem sodelovanju, ki ga je ministrica za zunanje in evropske zadeve Tanja Fajon podpisala ob delovnem obisku v Taškentu 8. februarja letos. S sporazumom se pogodbenici zavezujeta, da si bosta v okviru svoje zakonodaje ter ob upoštevanju svojih mednarodnih obveznosti in sporazumov, ki ju zavezujejo, kar najbolj prizadevali za razvoj in krepitev gospodarskega sodelovanja v obojestransko korist. Z namenom nadaljnje krepitve gospodarskega sodelovanja pogodbenici ustanavljata tudi skupno slovensko-uzbekistansko gospodarsko komisijo. </w:t>
      </w:r>
    </w:p>
    <w:p w14:paraId="5ECE5752" w14:textId="6104FA93" w:rsidR="008A099D" w:rsidRDefault="009E7ED6" w:rsidP="009E7ED6">
      <w:pPr>
        <w:pStyle w:val="Vir"/>
      </w:pPr>
      <w:r>
        <w:t>Vir: Ministrstvo za zunanje in evropske zadeve</w:t>
      </w:r>
    </w:p>
    <w:p w14:paraId="31D5374E" w14:textId="770EC543" w:rsidR="00E10C41" w:rsidRDefault="00E10C41" w:rsidP="00E10C41">
      <w:pPr>
        <w:pStyle w:val="Naslov2"/>
      </w:pPr>
      <w:r>
        <w:t>Vlada se je seznanila z informacijo o podpisu tehničnega dogovora med obrambnima ministrstvoma Slovenije in Poljske glede podpore države gostiteljice na vaji Anakonda 23</w:t>
      </w:r>
    </w:p>
    <w:p w14:paraId="410530F5" w14:textId="77777777" w:rsidR="00E10C41" w:rsidRDefault="00E10C41" w:rsidP="00E10C41">
      <w:r>
        <w:t>Med 17. aprilom 2023 in 20. majem 2023, bo na Poljskem potekala mednarodna vojaška vaja Anakonda 23, na kateri bo sodelovalo prek 60.000 udeležencev iz sedemnajstih partnerskih držav zavezništva. Na vaji bo sodelovalo do 40 pripadnikov Slovenske vojske. Udeležba na vaji je predvidena z Načrtom vaj v obrambnem sistemu in sistemu varstva pred naravnimi in drugimi nesrečami v letu 2023</w:t>
      </w:r>
    </w:p>
    <w:p w14:paraId="7F340735" w14:textId="77777777" w:rsidR="00E10C41" w:rsidRDefault="00E10C41" w:rsidP="00E10C41"/>
    <w:p w14:paraId="0A058527" w14:textId="77777777" w:rsidR="00E10C41" w:rsidRDefault="00E10C41" w:rsidP="00E10C41">
      <w:r>
        <w:lastRenderedPageBreak/>
        <w:t xml:space="preserve">Vaja ANAKONDA 23 ponuja zahtevno vadbeno okolje za zaveznike in partnerje ter vključuje realno poveljevanje, kontrolo v pogojih spopadov večje intenzivnosti in preizkus izvedljivosti obrambnih načrtov v več domenskih bojiščnih operacijah. </w:t>
      </w:r>
    </w:p>
    <w:p w14:paraId="10D1D741" w14:textId="77777777" w:rsidR="00E10C41" w:rsidRDefault="00E10C41" w:rsidP="00E10C41"/>
    <w:p w14:paraId="62B51E9C" w14:textId="4724D66F" w:rsidR="008A099D" w:rsidRDefault="00E10C41" w:rsidP="00E10C41">
      <w:r>
        <w:t>Tehnični dogovor ureja razmerja med Republiko Poljsko kot državo gostiteljico in Republiko Slovenijo kot državo pošiljateljico ter vsebuje običajne določbe glede pravic in obveznosti udeležencev, splošna načela, podporo države gostiteljice, obveznosti države pošiljateljice, finančne in pravne določbe, določbe glede statusa in jurisdikcije, reševanje odškodninskih zahtevkov, zdravstveno in zobozdravstveno podporo, varovanje podatkov, nošenje orožja, zaščito sil ter drugo.</w:t>
      </w:r>
    </w:p>
    <w:p w14:paraId="68A96F6F" w14:textId="286BBD89" w:rsidR="00E10C41" w:rsidRDefault="00E10C41" w:rsidP="00E10C41">
      <w:pPr>
        <w:pStyle w:val="Vir"/>
      </w:pPr>
      <w:r w:rsidRPr="00E10C41">
        <w:t>Vir: Ministrstvo za obrambo</w:t>
      </w:r>
    </w:p>
    <w:p w14:paraId="237245AF" w14:textId="7F38A0EE" w:rsidR="00422822" w:rsidRDefault="00422822" w:rsidP="00422822">
      <w:pPr>
        <w:pStyle w:val="Naslov2"/>
      </w:pPr>
      <w:r>
        <w:t>Vlada se je seznanila z načrtovanimi zasedanji meddržavnih komisij za znanstveno in tehnološko sodelovanje ter imenovala vladne predstavnike</w:t>
      </w:r>
    </w:p>
    <w:p w14:paraId="7B91AD44" w14:textId="0AAF787E" w:rsidR="00422822" w:rsidRDefault="00422822" w:rsidP="00422822">
      <w:r>
        <w:t>Vlada se je seznanila z načrtovanimi zasedanji meddržavnih komisij za znanstveno in tehnološko sodelovanje Slovenije s posameznimi državami v letu 2023 in v meddržavne komisije za znanstveno in tehnološko sodelovanje Slovenije s posameznimi državami kot slovenske vladne predstavnike imenovala:</w:t>
      </w:r>
    </w:p>
    <w:p w14:paraId="1EB0F694" w14:textId="15CFEDCC" w:rsidR="00422822" w:rsidRDefault="00422822" w:rsidP="008A7849">
      <w:pPr>
        <w:pStyle w:val="Odstavekseznama"/>
        <w:numPr>
          <w:ilvl w:val="0"/>
          <w:numId w:val="8"/>
        </w:numPr>
      </w:pPr>
      <w:r>
        <w:t>Tino Vuga, Ministrstvo za visoko šolstvo, znanost in inovacije, sopredsednica meddržavnih komisij;</w:t>
      </w:r>
    </w:p>
    <w:p w14:paraId="05F03C66" w14:textId="1BEFFEF0" w:rsidR="00422822" w:rsidRDefault="00422822" w:rsidP="008A7849">
      <w:pPr>
        <w:pStyle w:val="Odstavekseznama"/>
        <w:numPr>
          <w:ilvl w:val="0"/>
          <w:numId w:val="8"/>
        </w:numPr>
      </w:pPr>
      <w:r>
        <w:t xml:space="preserve">mag. Petra </w:t>
      </w:r>
      <w:proofErr w:type="spellStart"/>
      <w:r>
        <w:t>Volaska</w:t>
      </w:r>
      <w:proofErr w:type="spellEnd"/>
      <w:r>
        <w:t>, Ministrstvo za visoko šolstvo, znanost in inovacije, namestnik sopredsednice in član;</w:t>
      </w:r>
    </w:p>
    <w:p w14:paraId="6C49C41B" w14:textId="07120D92" w:rsidR="00422822" w:rsidRDefault="00422822" w:rsidP="008A7849">
      <w:pPr>
        <w:pStyle w:val="Odstavekseznama"/>
        <w:numPr>
          <w:ilvl w:val="0"/>
          <w:numId w:val="8"/>
        </w:numPr>
      </w:pPr>
      <w:r>
        <w:t>1 predstavnika/predstavnico Oddelka za mednarodno sodelovanje, Služba za evropske zadeve in mednarodno sodelovanje, Ministrstvo za visoko šolstvo, znanost in inovacije, pristojnega/pristojno za sodelovanje s posameznimi državami – sekretar/sekretarka meddržavnih komisij;</w:t>
      </w:r>
    </w:p>
    <w:p w14:paraId="64F542B5" w14:textId="6A6F1F32" w:rsidR="00422822" w:rsidRDefault="00422822" w:rsidP="008A7849">
      <w:pPr>
        <w:pStyle w:val="Odstavekseznama"/>
        <w:numPr>
          <w:ilvl w:val="0"/>
          <w:numId w:val="8"/>
        </w:numPr>
      </w:pPr>
      <w:r>
        <w:t>1 predstavnika/predstavnico Javne agencije za raziskovalno dejavnost Republike Slovenije – član/članica.</w:t>
      </w:r>
    </w:p>
    <w:p w14:paraId="596427A1" w14:textId="7DCCCA29" w:rsidR="008A099D" w:rsidRDefault="00422822" w:rsidP="00422822">
      <w:pPr>
        <w:pStyle w:val="Vir"/>
      </w:pPr>
      <w:r>
        <w:t>Vir: Ministrstvo za visoko šolstvo, znanost in inovacije</w:t>
      </w:r>
    </w:p>
    <w:p w14:paraId="5C831D82" w14:textId="6759F5BF" w:rsidR="007566AE" w:rsidRDefault="007566AE" w:rsidP="007566AE">
      <w:pPr>
        <w:pStyle w:val="Naslov2"/>
      </w:pPr>
      <w:r>
        <w:t>Vlada se je seznanila z informacijo o zasedanjih meddržavnih komisij za znanstveno in tehnološko sodelovanje Slovenije v preteklem letu</w:t>
      </w:r>
    </w:p>
    <w:p w14:paraId="1890D809" w14:textId="2D056D48" w:rsidR="007566AE" w:rsidRDefault="007566AE" w:rsidP="007566AE">
      <w:r>
        <w:t>Vlada se je seznanila z informacijo o zasedanjih meddržavnih komisij za znanstveno in tehnološko sodelovanje Slovenije v preteklem letu. V letu 2022 so bila izvedena naslednja zasedanja meddržavnih komisij in podpisani naslednji protokoli:</w:t>
      </w:r>
    </w:p>
    <w:p w14:paraId="07BC9A07" w14:textId="2A116E22" w:rsidR="007566AE" w:rsidRDefault="007566AE" w:rsidP="007566AE">
      <w:pPr>
        <w:pStyle w:val="Odstavekseznama"/>
        <w:numPr>
          <w:ilvl w:val="0"/>
          <w:numId w:val="7"/>
        </w:numPr>
      </w:pPr>
      <w:r>
        <w:t>Črna gora – Protokol sedmega zasedanja Mešane komisije za znanstveno in tehnološko sodelovanje med Republiko Slovenijo in Črno goro v slovenskem in črnogorskem jeziku, podpisan 20. decembra 2022 v Ljubljani.</w:t>
      </w:r>
    </w:p>
    <w:p w14:paraId="696DC054" w14:textId="71F6A5B0" w:rsidR="007566AE" w:rsidRDefault="007566AE" w:rsidP="007566AE">
      <w:pPr>
        <w:pStyle w:val="Odstavekseznama"/>
        <w:numPr>
          <w:ilvl w:val="0"/>
          <w:numId w:val="7"/>
        </w:numPr>
      </w:pPr>
      <w:r>
        <w:t>Avstrija – Protokol 9. zasedanja slovensko-avstrijske mešane komisije za znanstveno in tehnološko sodelovanje v angleškem jeziku, podpisan decembra 2022 v Ljubljani in na Dunaju.</w:t>
      </w:r>
    </w:p>
    <w:p w14:paraId="327842CA" w14:textId="3C5722DE" w:rsidR="007566AE" w:rsidRDefault="007566AE" w:rsidP="007566AE">
      <w:pPr>
        <w:pStyle w:val="Odstavekseznama"/>
        <w:numPr>
          <w:ilvl w:val="0"/>
          <w:numId w:val="7"/>
        </w:numPr>
      </w:pPr>
      <w:r>
        <w:t>Turčija - Sklepni dokument razpisa za obdobje financiranja 2022-2024 med Republiko Slovenijo in Republiko Turčijo v angleškem jeziku, podpisan septembra 2022 v Ljubljani in Ankari.</w:t>
      </w:r>
    </w:p>
    <w:p w14:paraId="4AA704EA" w14:textId="3C8A8A15" w:rsidR="007566AE" w:rsidRDefault="007566AE" w:rsidP="007566AE">
      <w:pPr>
        <w:pStyle w:val="Odstavekseznama"/>
        <w:numPr>
          <w:ilvl w:val="0"/>
          <w:numId w:val="7"/>
        </w:numPr>
      </w:pPr>
      <w:r>
        <w:t xml:space="preserve">Nemčija – Sklepni dokument o izboru projektov v slovensko-nemškem skupnem programu mobilnosti 2023-2024 v angleškem jeziku, podpisan decembra 2022 v Ljubljani in Bonnu. </w:t>
      </w:r>
    </w:p>
    <w:p w14:paraId="0474746E" w14:textId="50C4AE10" w:rsidR="007566AE" w:rsidRDefault="007566AE" w:rsidP="007566AE">
      <w:pPr>
        <w:pStyle w:val="Odstavekseznama"/>
        <w:numPr>
          <w:ilvl w:val="0"/>
          <w:numId w:val="7"/>
        </w:numPr>
      </w:pPr>
      <w:r>
        <w:t>Francija – Protokol 29. zasedanja slovensko-francoske mešane komisije za izbor projektov programa PROTEUS v slovenskem in francoskem jeziku, podpisan 27. oktobra 2022 v Ljubljani.</w:t>
      </w:r>
    </w:p>
    <w:p w14:paraId="2E511658" w14:textId="4F575AC3" w:rsidR="008A099D" w:rsidRDefault="007566AE" w:rsidP="007566AE">
      <w:pPr>
        <w:pStyle w:val="Vir"/>
      </w:pPr>
      <w:r>
        <w:lastRenderedPageBreak/>
        <w:t>Vir: Ministrstvo za visoko šolstvo, znanost in inovacije</w:t>
      </w:r>
    </w:p>
    <w:p w14:paraId="57CC6EE0" w14:textId="081F59B0" w:rsidR="004A65D0" w:rsidRDefault="004A65D0" w:rsidP="004A65D0">
      <w:pPr>
        <w:pStyle w:val="Naslov2"/>
      </w:pPr>
      <w:r>
        <w:t xml:space="preserve">Vlada je sprejela odgovora na poslanski vprašanji Suzane Lep </w:t>
      </w:r>
      <w:proofErr w:type="spellStart"/>
      <w:r>
        <w:t>Šimenko</w:t>
      </w:r>
      <w:proofErr w:type="spellEnd"/>
      <w:r>
        <w:t xml:space="preserve"> in mag. Karmen Furman </w:t>
      </w:r>
    </w:p>
    <w:p w14:paraId="4FBCD36F" w14:textId="443E3919" w:rsidR="004A65D0" w:rsidRDefault="004A65D0" w:rsidP="004A65D0">
      <w:r>
        <w:t xml:space="preserve">Vlada je sprejela Odgovor na pisno poslansko vprašanje Suzane Lep </w:t>
      </w:r>
      <w:proofErr w:type="spellStart"/>
      <w:r>
        <w:t>Šimenko</w:t>
      </w:r>
      <w:proofErr w:type="spellEnd"/>
      <w:r>
        <w:t xml:space="preserve"> v zvezi z ukinjanjem Upravne enote Ptuj in Odgovor na pisno poslansko vprašanje poslanke mag. Karmen Furman v zvezi z ukinjanjem Upravne enote Slovenska Bistrica in ju pošlje Državnemu zboru.</w:t>
      </w:r>
    </w:p>
    <w:p w14:paraId="1A0824BD" w14:textId="77777777" w:rsidR="004A65D0" w:rsidRDefault="004A65D0" w:rsidP="004A65D0"/>
    <w:p w14:paraId="45763137" w14:textId="77777777" w:rsidR="004A65D0" w:rsidRDefault="004A65D0" w:rsidP="004A65D0">
      <w:r>
        <w:t>Vlada v obeh odgovorih pojasnjuje, da se zavzema za modernizacijo upravnega poslovanja, s katero se bo še dodatno izboljšalo kakovost javnih storitev za vse uporabnike, torej tako za prebivalce kot podjetja. S tem namenom je bil ustanovljen Strokovni svet za trajnostni razvoj javne uprave kot posvetovalno telo ministrice za javno upravo. Eno od delovnih področij strokovnega sveta zajema tudi reorganizacijo in modernizacijo poslovanja upravnih enot za dosego večje fleksibilnosti, kakovosti in dostopnosti upravnih storitev.</w:t>
      </w:r>
    </w:p>
    <w:p w14:paraId="624ADA8D" w14:textId="77777777" w:rsidR="004A65D0" w:rsidRDefault="004A65D0" w:rsidP="004A65D0"/>
    <w:p w14:paraId="6CAF4FAD" w14:textId="77777777" w:rsidR="004A65D0" w:rsidRDefault="004A65D0" w:rsidP="004A65D0">
      <w:r>
        <w:t xml:space="preserve">Upravne enote predstavljajo neposreden stik države z uporabniki. V Sloveniji imamo 58 upravnih enot, ki pa so med seboj neenake, tako po delovnem </w:t>
      </w:r>
      <w:proofErr w:type="spellStart"/>
      <w:r>
        <w:t>pripadu</w:t>
      </w:r>
      <w:proofErr w:type="spellEnd"/>
      <w:r>
        <w:t xml:space="preserve"> kot po načinih dela. Zato je vlada pristopila k spremembam, katerih glavni cilj je dvig zaupanja javnosti v javne institucije, strateško upravljanje javnih institucij ter koordiniran razvoj javne uprave. Naloga Strokovnega sveta je predlaganje rešitev, ki bodo upoštevale tako pozitivne točke delovanja upravnih enot kot tudi zaznane slabosti, ki se pojavljajo pri njihovem delu. </w:t>
      </w:r>
    </w:p>
    <w:p w14:paraId="1C9094BD" w14:textId="77777777" w:rsidR="004A65D0" w:rsidRDefault="004A65D0" w:rsidP="004A65D0"/>
    <w:p w14:paraId="71A6D7EC" w14:textId="77777777" w:rsidR="004A65D0" w:rsidRDefault="004A65D0" w:rsidP="004A65D0">
      <w:r>
        <w:t>Strokovni svet sicer sestavljajo tako strokovnjaki javnega in zasebnega sektorja ter tudi predstavniki reprezentativnih združenj občin, saj sodelovanje z lokalno samoupravo jemljemo resno. Prav zato v naše delovne skupine vključujemo vsa tri občinska združenja, kar predstavlja tudi sistemski način vključevanja lokalne samouprave v sprejemanje odločitev na državni ravni.</w:t>
      </w:r>
    </w:p>
    <w:p w14:paraId="28B65A98" w14:textId="77777777" w:rsidR="004A65D0" w:rsidRDefault="004A65D0" w:rsidP="004A65D0"/>
    <w:p w14:paraId="194FDCC0" w14:textId="76BE3562" w:rsidR="008A099D" w:rsidRDefault="004A65D0" w:rsidP="004A65D0">
      <w:r>
        <w:t xml:space="preserve">Upravnih enot ne zapiramo. Še več, z namenom boljše dostopnosti javnih storitev odpiramo celo že leta zaprte krajevne urade. Poleg tega pa je uporabnikom vedno več storitev na voljo tudi po elektronski poti – preko portala </w:t>
      </w:r>
      <w:proofErr w:type="spellStart"/>
      <w:r>
        <w:t>eUprava</w:t>
      </w:r>
      <w:proofErr w:type="spellEnd"/>
      <w:r>
        <w:t xml:space="preserve"> za fizične osebe in preko portala SPOT za podjetja.</w:t>
      </w:r>
    </w:p>
    <w:p w14:paraId="0D6C8918" w14:textId="4C3C7D22" w:rsidR="004A65D0" w:rsidRDefault="004A65D0" w:rsidP="004A65D0">
      <w:pPr>
        <w:pStyle w:val="Vir"/>
      </w:pPr>
      <w:r w:rsidRPr="004A65D0">
        <w:t>Vir: Ministrstvo za javno upravo</w:t>
      </w:r>
    </w:p>
    <w:p w14:paraId="2EBA047D" w14:textId="711A24F4" w:rsidR="00D27A36" w:rsidRDefault="00D27A36" w:rsidP="00D27A36">
      <w:pPr>
        <w:pStyle w:val="Naslov2"/>
      </w:pPr>
      <w:r>
        <w:t>Vlada je sprejela odgovor na pisno poslansko vprašanje o menjavah v policiji</w:t>
      </w:r>
    </w:p>
    <w:p w14:paraId="236A338F" w14:textId="22215B09" w:rsidR="00D27A36" w:rsidRDefault="00D27A36" w:rsidP="00D27A36">
      <w:r>
        <w:t xml:space="preserve">Vlada je sprejela odgovor na pisno poslansko vprašanje Anje Bah Žibert o menjavah v policiji, ki ga pošlje Državnemu zboru. </w:t>
      </w:r>
    </w:p>
    <w:p w14:paraId="59B85A09" w14:textId="77777777" w:rsidR="008A7849" w:rsidRDefault="008A7849" w:rsidP="00D27A36"/>
    <w:p w14:paraId="3C48B1F1" w14:textId="77777777" w:rsidR="00D27A36" w:rsidRDefault="00D27A36" w:rsidP="00D27A36">
      <w:r>
        <w:t xml:space="preserve">Vlada odgovarja, da veljavna zakonska ureditev ministru za notranje zadeve daje možnost razrešitve uradnika na položaju brez krivdnih razlogov v roku enega leta od nastopa funkcije. Pri tem je pomembno poudariti, da minister ni odgovoren le za politiko ministrstva in svoje delo, temveč tudi za delo svojih podrejenih, seveda vse v okviru pristojnosti ministrstva. Minister za notranje zadeve torej odgovarja za delo resorja, vključno z organoma v sestavi ministrstva, zato mu je dana možnost zamenjave najožjih sodelavcev, tudi generalnega direktorja policije. </w:t>
      </w:r>
    </w:p>
    <w:p w14:paraId="4BDF3ED8" w14:textId="77777777" w:rsidR="00D27A36" w:rsidRDefault="00D27A36" w:rsidP="00D27A36"/>
    <w:p w14:paraId="4E7ACB92" w14:textId="77777777" w:rsidR="00D27A36" w:rsidRDefault="00D27A36" w:rsidP="00D27A36">
      <w:r>
        <w:t>Z nadzori ministrstvo ugotavljanja zakonitost, strokovnost ter spoštovanje človekovih pravic in temeljnih svoboščin pri izvajanju policijskih pooblastil, opravljanju nalog policije ter izvajanju usmeritev ministra. Minister lahko v okviru hierarhične funkcije do policije kot organa v sestavi izdaja usmeritve za delo, ne more pa posegati v operativno avtonomijo policije. Kadrovska politika policije je v pristojnosti generalnega direktorja policije, ki je odgovoren za vodenje policije ter izvrševanje pravic in obveznosti delodajalca.</w:t>
      </w:r>
    </w:p>
    <w:p w14:paraId="27D45E56" w14:textId="57E0777B" w:rsidR="008A099D" w:rsidRDefault="00D27A36" w:rsidP="00D27A36">
      <w:pPr>
        <w:pStyle w:val="Vir"/>
      </w:pPr>
      <w:r>
        <w:lastRenderedPageBreak/>
        <w:t>Vir: Ministrstvo za notranje zadeve</w:t>
      </w:r>
    </w:p>
    <w:p w14:paraId="68A1F73C" w14:textId="4BA46559" w:rsidR="00CF46C6" w:rsidRDefault="00CF46C6" w:rsidP="00CF46C6">
      <w:pPr>
        <w:pStyle w:val="Naslov2"/>
      </w:pPr>
      <w:r>
        <w:t>Vlada je sprejela odgovor na pisno poslansko vprašanje o posilstvih migrantov</w:t>
      </w:r>
    </w:p>
    <w:p w14:paraId="34282184" w14:textId="1062F4B2" w:rsidR="00CF46C6" w:rsidRDefault="00CF46C6" w:rsidP="00CF46C6">
      <w:r>
        <w:t>Vlada je sprejela odgovor na pisno poslansko vprašanje Alenke Jeraj v zvezi s posilstvi migrantov, ki ga pošlje Državnemu zboru.</w:t>
      </w:r>
    </w:p>
    <w:p w14:paraId="029A99A0" w14:textId="77777777" w:rsidR="00CF46C6" w:rsidRDefault="00CF46C6" w:rsidP="00CF46C6"/>
    <w:p w14:paraId="00044C58" w14:textId="77777777" w:rsidR="00CF46C6" w:rsidRDefault="00CF46C6" w:rsidP="00CF46C6">
      <w:r>
        <w:t xml:space="preserve">Vlada odgovarja, da ne drži, da je policija samo na območju Ljubljane v prvih treh mesecih letošnjega leta obravnavala že 57 primerov posilstev, kjer je osumljeni migrant. Letos do 6. aprila 2023 je bilo na območju Policijske uprave Ljubljana zaznanih 10 kaznivih dejanj posilstva. Eno kaznivo dejanje je bilo uspešno preiskano in zoper osumljenca, slovenskega državljana, podana kazenska ovadba. Ostalih devet kaznivih dejanj je še v fazi preiskave. Od teh devetih kaznivih dejanj so preiskovalne aktivnosti policije usmerjene zoper šest znanih osumljencev, trije osumljeni pa so trenutno še neznani. Nihče od šestih znanih osumljencev ni migrant. </w:t>
      </w:r>
    </w:p>
    <w:p w14:paraId="3FF18ECF" w14:textId="77777777" w:rsidR="00CF46C6" w:rsidRDefault="00CF46C6" w:rsidP="00CF46C6"/>
    <w:p w14:paraId="714BCB78" w14:textId="7364ECFF" w:rsidR="008A099D" w:rsidRDefault="00CF46C6" w:rsidP="00CF46C6">
      <w:r>
        <w:t>Vlada ima do kaznivih dejanj posilstva ničelno toleranco, policija kot organ odkrivanja pa na tem področju dosledno izvaja vse zakonite naloge in pooblastila. Vlada ocenjuje, da je javna varnost v Sloveniji stabilna, k čemur v veliki meri pripomore tudi Policija s svojimi vsakodnevnimi in številnimi preventivnimi aktivnostmi in drugimi oblikami dela. Če pride do deviantnih ravnanj posameznikov ali skupin s katerega koli področja dela, se Policija vedno odzove in pristopi k ustrezni obravnavi na načine, ki so najbolj ustrezni ter v skladu z zakonodajo in s pravili stroke.</w:t>
      </w:r>
    </w:p>
    <w:p w14:paraId="01E4DACB" w14:textId="7A7E2A70" w:rsidR="00CF46C6" w:rsidRDefault="00CF46C6" w:rsidP="00CF46C6">
      <w:pPr>
        <w:pStyle w:val="Vir"/>
      </w:pPr>
      <w:r w:rsidRPr="00CF46C6">
        <w:t>Vir: Ministrstvo za notranje zadeve</w:t>
      </w:r>
    </w:p>
    <w:p w14:paraId="722098D1" w14:textId="3F2EBF53" w:rsidR="00FF2720" w:rsidRDefault="00FF2720" w:rsidP="00FF2720">
      <w:pPr>
        <w:pStyle w:val="Naslov2"/>
      </w:pPr>
      <w:r>
        <w:t>Vlada določila besedilo predloga Zakona o spremembah in dopolnitvah Pomorskega zakonika</w:t>
      </w:r>
    </w:p>
    <w:p w14:paraId="21F8E7CE" w14:textId="77777777" w:rsidR="00FF2720" w:rsidRDefault="00FF2720" w:rsidP="00FF2720">
      <w:r>
        <w:t xml:space="preserve">Predlog Zakona o spremembah in dopolnitvah Pomorskega zakonika vsebuje predvsem spremembe in dopolnitve, ki se nanašajo na izboljšanje varnosti plovbe. Vzdrževanje objektov za varnost plovbe se oblikuje kot redna strokovna naloga Uprave Republike Slovenije za pomorstvo, in ne več kot gospodarska javna služba. Glede na vsebino pogodbenega razmerja in načina opravljanja gospodarske javne službe gre po vsebini za javno naročilo, saj je izvajalec storitve v celoti plačan iz proračuna in ne od uporabnikov storitev. Pristojbine, ki jih zavezanci plačujejo Upravi RS za pomorstvo, so nenamenski prihodek proračuna. </w:t>
      </w:r>
    </w:p>
    <w:p w14:paraId="64E19F67" w14:textId="77777777" w:rsidR="00FF2720" w:rsidRDefault="00FF2720" w:rsidP="00FF2720"/>
    <w:p w14:paraId="3EAD1CE4" w14:textId="77777777" w:rsidR="00FF2720" w:rsidRDefault="00FF2720" w:rsidP="00FF2720">
      <w:r>
        <w:t>Med pristanišča za posebne namene se doda nova kategorija šolsko pristanišče, ki bo služilo za namene izobraževanja in usposabljanja srednje šole in fakultete. Prenovljene se določbe o odprtju pristanišča za javni promet ali posebne namene in določbe o gradnji ali posegih na pristaniški infrastrukturi ali objektih, ki lahko vplivajo na varnost plovbe na obali ali v morju. Uskladijo se z določbami Gradbenega zakona in podrobneje določijo, da stranka v postopku pridobivanja obratovalnega oziroma gradbenega dovoljenja predloži listine, s katerimi izkazuje, da je zagotovljena varnost plovbe.</w:t>
      </w:r>
    </w:p>
    <w:p w14:paraId="123A34F1" w14:textId="77777777" w:rsidR="00FF2720" w:rsidRDefault="00FF2720" w:rsidP="00FF2720"/>
    <w:p w14:paraId="5E0DBA6B" w14:textId="77777777" w:rsidR="00FF2720" w:rsidRDefault="00FF2720" w:rsidP="00FF2720">
      <w:r>
        <w:t>Določi se pravna podlaga za izvajanje stalnega videonadzora in snemanja komunikacije med udeleženci pomorskega prometa, ki se izvaja v nadzornem centru Uprave RS za pomorstvo. Zaradi obdelave osebnih podatkov z namenom zagotavljanja varnosti plovbe ter iskanja in reševanja na morju je bila izvedena ocena učinkov v zvezi z varstvom osebnih podatkov, v skladu s Splošno uredbo o varstvu osebnih podatkov.</w:t>
      </w:r>
    </w:p>
    <w:p w14:paraId="4FB595E7" w14:textId="77777777" w:rsidR="00FF2720" w:rsidRDefault="00FF2720" w:rsidP="00FF2720"/>
    <w:p w14:paraId="0444A280" w14:textId="77777777" w:rsidR="00FF2720" w:rsidRDefault="00FF2720" w:rsidP="00FF2720">
      <w:r>
        <w:t>Prenovijo se določbe o prepovedi upravljanja plovila pod vplivom alkohola in psihotropnih snovi, ki sledijo ureditvi sorodnih določb v Zakonu o pravilih cestnega prometa, oblikujejo se določbe za uskladitev s spremembami Konvencije o delu v pomorstvu iz leta 2018, ki se nanašajo na veljavnost pogodbe o zaposlitvi, tudi če je pomorščak v ujetništvu.</w:t>
      </w:r>
    </w:p>
    <w:p w14:paraId="581ACB56" w14:textId="77777777" w:rsidR="00FF2720" w:rsidRDefault="00FF2720" w:rsidP="00FF2720"/>
    <w:p w14:paraId="16F77CFC" w14:textId="77777777" w:rsidR="00FF2720" w:rsidRDefault="00FF2720" w:rsidP="00FF2720">
      <w:r>
        <w:lastRenderedPageBreak/>
        <w:t>Dopolni se nekaj določb z dodelitvijo pravne podlage za podzakonske akte vlade, ki se nanašajo na podrobnejše pogoje ki jih morajo izpolnjevati pristanišča, delovanje službe spremljanja in upravljanja pomorskega prometa z uporabo tehničnih sredstev (služba VTS) ter merila za oblikovanje najvišje cene za zdravstvene preglede pomorščakov.</w:t>
      </w:r>
    </w:p>
    <w:p w14:paraId="6BE7E319" w14:textId="2A60049F" w:rsidR="008A099D" w:rsidRDefault="00FF2720" w:rsidP="00FF2720">
      <w:pPr>
        <w:pStyle w:val="Vir"/>
      </w:pPr>
      <w:r w:rsidRPr="00FF2720">
        <w:t>Vir: Ministrstvo za infrastrukturo</w:t>
      </w:r>
    </w:p>
    <w:p w14:paraId="70DF179B" w14:textId="432CAADD" w:rsidR="003D0D27" w:rsidRDefault="003D0D27" w:rsidP="003D0D27">
      <w:pPr>
        <w:pStyle w:val="Naslov2"/>
      </w:pPr>
      <w:bookmarkStart w:id="1" w:name="_Hlk132285769"/>
      <w:r>
        <w:t>Vlada podaljšala regulacijo cen električne energije za gospodinjstva in male poslovne odjemalce do konca leta</w:t>
      </w:r>
    </w:p>
    <w:bookmarkEnd w:id="1"/>
    <w:p w14:paraId="52772671" w14:textId="77777777" w:rsidR="003D0D27" w:rsidRDefault="003D0D27" w:rsidP="003D0D27">
      <w:r>
        <w:t xml:space="preserve">Vlada je junija 2022 določila najvišjo dovoljeno ceno električne energije za gospodinjstva in male poslovne odjemalce. </w:t>
      </w:r>
    </w:p>
    <w:p w14:paraId="400A9EE8" w14:textId="77777777" w:rsidR="003D0D27" w:rsidRDefault="003D0D27" w:rsidP="003D0D27"/>
    <w:p w14:paraId="727F0CA9" w14:textId="77777777" w:rsidR="003D0D27" w:rsidRDefault="003D0D27" w:rsidP="003D0D27">
      <w:r>
        <w:t xml:space="preserve">Cene električne energije na veleprodajnih trgih so v začetku 2023 sicer padle, marca so bile cene na terminskih trgih za pasovno energijo okrog 150 €/MWh. Razlog je v milejši zimi od pričakovane, energija je bila večinoma zakupljena že v letu 2022, povpraševanje v začetku 2023 pa je bilo manjše in posledično tudi cene. V nadaljevanju leta 2023 bo verjetno spet prišlo do naraščanja cen, lahko že po koncu zime, ko se bo začelo polnjenje skladišč zemeljskega plina za naslednjo zimo. Glede na trenutne borzne cene in glede na nabave, ki so se izvajale v letih pred 2023, lahko ocenimo, da bi se cene za gospodinjstva, ki so v tem trenutku omejene na okrog 100 €/MWh, dvignile na okrog 200 €/MWh, če vlada ukrepov ne bi podaljšala. Cene za male poslovne odjemalce pa bi se na približno isti nivo, kot za gospodinjstva, dvignila iz sedaj omejenih 125 €/MWh. Analiza je pokazala, da se stanje na trgu ni spremenilo niti se ne nakazuje izboljšanje situacije, na ravni EU niso bili sprejeti ukrepi, ki bi zadostno znižali cene in obstaja potreba, da se odjemalcem, ki jih zajema Uredba, takoj zagotovi stabilne cene za celo leto 2023, še posebno pa je taka stabilnost in predvidljivost pomembna za gospodarstvo. </w:t>
      </w:r>
    </w:p>
    <w:p w14:paraId="0F159C32" w14:textId="77777777" w:rsidR="003D0D27" w:rsidRDefault="003D0D27" w:rsidP="003D0D27"/>
    <w:p w14:paraId="4B15D3C0" w14:textId="77777777" w:rsidR="003D0D27" w:rsidRDefault="003D0D27" w:rsidP="003D0D27">
      <w:bookmarkStart w:id="2" w:name="_Hlk132285814"/>
      <w:r>
        <w:t xml:space="preserve">Vlada zato ocenjuje, da je potrebno ukrep omejitve cene električne energije za gospodinjske odjemalce in male poslovne odjemalce podaljšati do konca leta 2023. Ali bo potrebno ukrep podaljšati še v leto 2024, pa bo vidno po zakupih energije za leto 2024 in 2025, ki se bodo izvajali v letu 2023. </w:t>
      </w:r>
    </w:p>
    <w:bookmarkEnd w:id="2"/>
    <w:p w14:paraId="1F693F53" w14:textId="77777777" w:rsidR="003D0D27" w:rsidRDefault="003D0D27" w:rsidP="003D0D27"/>
    <w:p w14:paraId="357CFCDA" w14:textId="5781F59E" w:rsidR="008A099D" w:rsidRDefault="003D0D27" w:rsidP="003D0D27">
      <w:r>
        <w:t>Uredba</w:t>
      </w:r>
      <w:r w:rsidRPr="003D0D27">
        <w:t xml:space="preserve"> podaljšuje</w:t>
      </w:r>
      <w:r>
        <w:t xml:space="preserve"> obdobje veljavnosti do konca leta, z nespremenjenimi pogoji. Zaradi predvidljivosti oz. znanih pogojev na trgu za odjemalce in dobavitelje, in glede na to, da je večino zakupa bilo narejenega na letni ravni, je potrebno, da se ukrep podaljša že sedaj.</w:t>
      </w:r>
    </w:p>
    <w:p w14:paraId="16FCFBFB" w14:textId="6DBA6875" w:rsidR="008A099D" w:rsidRDefault="003D0D27" w:rsidP="003D0D27">
      <w:pPr>
        <w:pStyle w:val="Vir"/>
      </w:pPr>
      <w:r w:rsidRPr="003D0D27">
        <w:t>Vir: Ministrstvo za okolje, podnebje in energijo</w:t>
      </w:r>
    </w:p>
    <w:p w14:paraId="1B98C57E" w14:textId="260058E6" w:rsidR="00DC1C8F" w:rsidRDefault="00DC1C8F" w:rsidP="00DC1C8F">
      <w:pPr>
        <w:pStyle w:val="Naslov2"/>
      </w:pPr>
      <w:bookmarkStart w:id="3" w:name="_Hlk132285779"/>
      <w:r>
        <w:t xml:space="preserve">Vlada podaljšala veljavnost uredbe o določitvi najvišje dovoljene cene električne energije za </w:t>
      </w:r>
      <w:proofErr w:type="spellStart"/>
      <w:r>
        <w:t>mikro</w:t>
      </w:r>
      <w:proofErr w:type="spellEnd"/>
      <w:r>
        <w:t xml:space="preserve">, mala in srednja podjetja </w:t>
      </w:r>
    </w:p>
    <w:p w14:paraId="2933E0C7" w14:textId="77777777" w:rsidR="00DC1C8F" w:rsidRDefault="00DC1C8F" w:rsidP="00DC1C8F">
      <w:bookmarkStart w:id="4" w:name="_Hlk132285847"/>
      <w:bookmarkEnd w:id="3"/>
      <w:r>
        <w:t xml:space="preserve">Dosedanja uredba je veljala za dobave od 1. januarja 2023 do 30. junija 2023, za pogodbe, ki so bile podpisane od 9. novembra 2021 naprej. Analiza je pokazala, da (1) se stanje na trgu ni spremenilo niti se ne nakazuje izboljšanje situacije, (2) na ravni EU niso bili sprejeti ukrepi, ki bi zadostno znižali cene in (3) obstaja potreba, da se odjemalcem, ki jih zajema Uredba, takoj zagotovi stabilne cene za celo leto 2023, še posebno pa je taka stabilnost in predvidljivost pomembna za gospodarstvo. Če bodo cene naraščale, bo regulacija dobrodošla, če pa bodo padle, bodo ponudniki sami znižali cene in omejitev cen bo postala odveč. V tem trenutku je zaradi predvidljivosti gospodarskih razmer nedvomno bolje, če se omejitev cen za mala in srednja podjetja podaljša do konca leta 2023. Zato se s predlogom te uredbe določi, da se ukrep obnovi za dodatnih 6 mesecev, tj. do 31. 12. 2023. Ta uredba obdobje veljavnosti podaljšuje do konca leta, z nespremenjenimi pogoji. </w:t>
      </w:r>
    </w:p>
    <w:bookmarkEnd w:id="4"/>
    <w:p w14:paraId="46430CA8" w14:textId="77777777" w:rsidR="00DC1C8F" w:rsidRDefault="00DC1C8F" w:rsidP="00DC1C8F"/>
    <w:p w14:paraId="1549651F" w14:textId="77777777" w:rsidR="00DC1C8F" w:rsidRDefault="00DC1C8F" w:rsidP="00DC1C8F">
      <w:r>
        <w:lastRenderedPageBreak/>
        <w:t>Ta uredba nima finančnih posledic za državni proračun. Vsi dobavitelji, ki bodo dobavljali električno energijo na podlagi uredbe bodo upravičeni do nadomestila oziroma drugega ukrepa (kar bo določeno v Uredbi o določitvi nadomestila dobaviteljem električne energije). V Uredbi o določitvi nadomestila dobaviteljem električne energije bo sklic na to uredbo.</w:t>
      </w:r>
    </w:p>
    <w:p w14:paraId="3BB912CE" w14:textId="77777777" w:rsidR="00DC1C8F" w:rsidRDefault="00DC1C8F" w:rsidP="00DC1C8F"/>
    <w:p w14:paraId="461339AF" w14:textId="77777777" w:rsidR="00DC1C8F" w:rsidRDefault="00DC1C8F" w:rsidP="00DC1C8F">
      <w:r>
        <w:t>Uredba vpliva na gospodarstvo, in sicer gre za pozitiven vpliv na gospodarstvo, saj se razmere na energetskih trgih niso spremenile in zato je potrebna regulacija cen, ki bo zamejila cene električne energije za najbolj ranljivi del gospodarstva.</w:t>
      </w:r>
    </w:p>
    <w:p w14:paraId="6A98C809" w14:textId="2B929842" w:rsidR="00DC1C8F" w:rsidRDefault="00DC1C8F" w:rsidP="00DC1C8F">
      <w:pPr>
        <w:pStyle w:val="Vir"/>
      </w:pPr>
      <w:r w:rsidRPr="00DC1C8F">
        <w:t>Vir: Ministrstvo za okolje, podnebje in energijo</w:t>
      </w:r>
    </w:p>
    <w:p w14:paraId="404A8466" w14:textId="493EB094" w:rsidR="008C3164" w:rsidRDefault="008C3164" w:rsidP="008C3164">
      <w:pPr>
        <w:pStyle w:val="Naslov2"/>
      </w:pPr>
      <w:bookmarkStart w:id="5" w:name="_Hlk132285871"/>
      <w:r>
        <w:t xml:space="preserve">Vlada podaljšala veljavnost uredbe o določitvi najvišje dovoljene cene zemeljskega plina iz sistema </w:t>
      </w:r>
    </w:p>
    <w:p w14:paraId="1BF03ACA" w14:textId="77777777" w:rsidR="008C3164" w:rsidRDefault="008C3164" w:rsidP="008C3164">
      <w:r>
        <w:t>Vlada je julija 2022 sprejela Uredbo o določitvi cen zemeljskega plina iz plinskega sistema, s katero je določila najvišjo drobnoprodajno ceno zemeljskega plina za določene kategorije odjemalcev, s spremembami in dopolnitvami Uredbe pa je krog upravičenih odjemalcev še razširila. Uredba je veljavna do 31. 8. 2023.</w:t>
      </w:r>
    </w:p>
    <w:p w14:paraId="6A0C0889" w14:textId="77777777" w:rsidR="008C3164" w:rsidRDefault="008C3164" w:rsidP="008C3164"/>
    <w:p w14:paraId="6AB04F9A" w14:textId="77777777" w:rsidR="008C3164" w:rsidRDefault="008C3164" w:rsidP="008C3164">
      <w:r>
        <w:t xml:space="preserve">Analiza je pokazala, da  se stanje na trgu ni spremenilo niti se ne nakazuje izboljšanje situacije,  na ravni EU niso bili sprejeti ukrepi, ki bi zadostno znižali cen, obstaja pa tudi potreba, da se odjemalcem, ki jih zajema Uredba, takoj zagotovi stabilne cene za celo leto 2023, še posebno pa je taka stabilnost in predvidljivost pomembna za gospodarstvo </w:t>
      </w:r>
    </w:p>
    <w:p w14:paraId="08EAAD00" w14:textId="77777777" w:rsidR="008C3164" w:rsidRDefault="008C3164" w:rsidP="008C3164"/>
    <w:p w14:paraId="2DFB9B9D" w14:textId="77777777" w:rsidR="008C3164" w:rsidRDefault="008C3164" w:rsidP="008C3164">
      <w:r>
        <w:t>S predlogom nove uredbe se tako določi, da se ukrep obnovi za dodatne 4 mesece, in sicer do 31. 12. 2023. S tem bodo imeli znane pogoje tako odjemalci kot tudi dobavitelji. Tako se bo ukrep regulacije cen zemeljskega plina poenotil z regulacijo cene električne energije, katere cene bodo ravno tako regulirane za obdobje do konca leta 2023.</w:t>
      </w:r>
    </w:p>
    <w:bookmarkEnd w:id="5"/>
    <w:p w14:paraId="56148FCD" w14:textId="288D9BDF" w:rsidR="008A099D" w:rsidRDefault="008C3164" w:rsidP="008C3164">
      <w:pPr>
        <w:pStyle w:val="Vir"/>
      </w:pPr>
      <w:r>
        <w:t>Vir: Ministrstvo za okolje, podnebje in energijo</w:t>
      </w:r>
    </w:p>
    <w:p w14:paraId="66785DEC" w14:textId="67902A69" w:rsidR="008A099D" w:rsidRDefault="0094458F" w:rsidP="0094458F">
      <w:pPr>
        <w:pStyle w:val="Naslov2"/>
      </w:pPr>
      <w:r>
        <w:t xml:space="preserve">Novela </w:t>
      </w:r>
      <w:r w:rsidR="008A099D">
        <w:t>Uredbe o karti regionalne pomoči za obdobje 2022–2027</w:t>
      </w:r>
    </w:p>
    <w:p w14:paraId="4770AFB5" w14:textId="3AE4ADF7" w:rsidR="0094458F" w:rsidRDefault="0094458F" w:rsidP="0094458F">
      <w:r>
        <w:t xml:space="preserve">Vlada je izdala Uredbo o spremembi in dopolnitvi Uredbe o karti regionalne pomoči za obdobje 2022–2027, ki bo začela veljati dan po objavi v Uradnem listu RS. Sprememba regionalne karte omogoča povečanje stopnje intenzivnosti pomoči za območja, ki so opredeljena za podporo iz sklada za pravični prehod. </w:t>
      </w:r>
    </w:p>
    <w:p w14:paraId="49118566" w14:textId="77777777" w:rsidR="0094458F" w:rsidRDefault="0094458F" w:rsidP="0094458F"/>
    <w:p w14:paraId="4037814E" w14:textId="77777777" w:rsidR="0094458F" w:rsidRDefault="0094458F" w:rsidP="0094458F">
      <w:r>
        <w:t>V Sloveniji sta do sredstev sklada za pravični prehod upravičeni dve premogovni regiji: zasavska in savinjsko-šaleška premogovna regija. Povečanje stopnje intenzivnosti pomoči bo mogoče uveljavljati za naložbe na območju občin savinjsko-šaleške premogovne regije, to so občine Gornji Grad, Ljubno, Luče, Mozirje, Nazarje, Rečica ob Savinji, Solčava, Šmartno ob Paki, Šoštanj in Velenje, ter zasavske premogovne regije, ki vključuje občine Hrastnik, Litija, Trbovlje in Zagorje ob Savi. Intenzivnost regionalne pomoči za velika podjejta na teh območjih bo lahko znašala do 40 % (prej 30 %), za srednja podjetja do 50% (prej 40%) in za mala podjetja do 60 % (prej 50 %).</w:t>
      </w:r>
    </w:p>
    <w:p w14:paraId="2C6872B7" w14:textId="77777777" w:rsidR="0094458F" w:rsidRDefault="0094458F" w:rsidP="0094458F"/>
    <w:p w14:paraId="32B81328" w14:textId="79E87B5D" w:rsidR="008A099D" w:rsidRDefault="0094458F" w:rsidP="0094458F">
      <w:r>
        <w:t>Regionalna državna pomoč je ena od dovoljenih vrsta državne pomoči v EU. Namenjena je pospeševanju gospodarskega razvoja prikrajšanih regij v EU in se lahko dodeljuje le na območjih, ki izkazujejo razvojni zaostanek in so določena na karti regionalne pomoči, ki jo potrdi Evropska komisija.</w:t>
      </w:r>
    </w:p>
    <w:p w14:paraId="66D1A6B4" w14:textId="28958CF7" w:rsidR="0094458F" w:rsidRDefault="0094458F" w:rsidP="0094458F">
      <w:pPr>
        <w:pStyle w:val="Vir"/>
      </w:pPr>
      <w:r w:rsidRPr="0094458F">
        <w:t>Vir: Ministrstvo za kohezijo in regionalni razvoj</w:t>
      </w:r>
    </w:p>
    <w:p w14:paraId="489F67C6" w14:textId="77777777" w:rsidR="008A7849" w:rsidRDefault="008A7849" w:rsidP="008A7849">
      <w:pPr>
        <w:pStyle w:val="Naslov2"/>
        <w:rPr>
          <w:szCs w:val="20"/>
        </w:rPr>
      </w:pPr>
      <w:bookmarkStart w:id="6" w:name="_Hlk132285935"/>
      <w:r>
        <w:lastRenderedPageBreak/>
        <w:t xml:space="preserve">Storitev </w:t>
      </w:r>
      <w:r w:rsidRPr="00A525BE">
        <w:t>dopolnilnega zdravstvenega zavarovanja</w:t>
      </w:r>
      <w:r>
        <w:t xml:space="preserve"> bo vključena na seznam </w:t>
      </w:r>
      <w:r w:rsidRPr="00A525BE">
        <w:t>Uredbe o listi blaga in storitev, za katere se uporabljajo ukrepi kontrole cen</w:t>
      </w:r>
    </w:p>
    <w:p w14:paraId="3180C058" w14:textId="17840EA1" w:rsidR="008A7849" w:rsidRPr="00FA4E79" w:rsidRDefault="008A7849" w:rsidP="00FA4E79">
      <w:pPr>
        <w:rPr>
          <w:color w:val="A6A6A6" w:themeColor="background1" w:themeShade="A6"/>
        </w:rPr>
      </w:pPr>
      <w:r>
        <w:t xml:space="preserve">Vlada je danes potrdila novelo </w:t>
      </w:r>
      <w:r w:rsidRPr="00A525BE">
        <w:t>Uredbe o listi blaga in storitev, za katere se uporabljajo ukrepi kontrole cen</w:t>
      </w:r>
      <w:r>
        <w:t xml:space="preserve">. Novela dopolnjuje seznam blaga in </w:t>
      </w:r>
      <w:r w:rsidRPr="00A525BE">
        <w:t>storitev, za kater</w:t>
      </w:r>
      <w:r>
        <w:t>e</w:t>
      </w:r>
      <w:r w:rsidRPr="00A525BE">
        <w:t xml:space="preserve"> se smejo uporabiti ukrepi kontrole cen</w:t>
      </w:r>
      <w:r>
        <w:t>, in sicer je bila na seznam dodana s</w:t>
      </w:r>
      <w:r w:rsidRPr="00A525BE">
        <w:t>torit</w:t>
      </w:r>
      <w:r>
        <w:t>e</w:t>
      </w:r>
      <w:r w:rsidRPr="00A525BE">
        <w:t>v dopolnilnega zdravstvenega zavarovanja.</w:t>
      </w:r>
    </w:p>
    <w:p w14:paraId="3DFF32EC" w14:textId="77777777" w:rsidR="008A7849" w:rsidRDefault="008A7849" w:rsidP="008A7849">
      <w:pPr>
        <w:rPr>
          <w:szCs w:val="20"/>
        </w:rPr>
      </w:pPr>
    </w:p>
    <w:p w14:paraId="335FABC3" w14:textId="478B1707" w:rsidR="008A7849" w:rsidRPr="00A525BE" w:rsidRDefault="008A7849" w:rsidP="008A7849">
      <w:pPr>
        <w:rPr>
          <w:szCs w:val="20"/>
        </w:rPr>
      </w:pPr>
      <w:r w:rsidRPr="00A525BE">
        <w:rPr>
          <w:szCs w:val="20"/>
        </w:rPr>
        <w:t>Zakon o kontroli cen vladi omogoča, da pod določenimi razlogi z uredbo določi ustrezne ukrepe kontrole cen. Vlada z uredbo določi listo blaga, za katero se smejo uporabiti ukrepi kontrole cen zaradi razloga, kadar gre za dejavnosti, v katerih ima posamezno podjetje ali enota, ki samostojno opravlja dejavnost ali nekaj podjetij monopolni ali obvladujoč položaj, pa so te dejavnosti nujne za zadovoljevanje potreb ljudi in organiza</w:t>
      </w:r>
      <w:r>
        <w:rPr>
          <w:szCs w:val="20"/>
        </w:rPr>
        <w:t>cij.</w:t>
      </w:r>
      <w:r w:rsidRPr="00A525BE">
        <w:rPr>
          <w:szCs w:val="20"/>
        </w:rPr>
        <w:t xml:space="preserve"> </w:t>
      </w:r>
    </w:p>
    <w:p w14:paraId="0C4776A3" w14:textId="77777777" w:rsidR="00FA4E79" w:rsidRDefault="00FA4E79" w:rsidP="008A7849">
      <w:pPr>
        <w:rPr>
          <w:szCs w:val="20"/>
        </w:rPr>
      </w:pPr>
    </w:p>
    <w:p w14:paraId="784D2FBA" w14:textId="374FD266" w:rsidR="008A7849" w:rsidRDefault="008A7849" w:rsidP="008A7849">
      <w:pPr>
        <w:rPr>
          <w:szCs w:val="20"/>
        </w:rPr>
      </w:pPr>
      <w:r w:rsidRPr="00A525BE">
        <w:rPr>
          <w:szCs w:val="20"/>
        </w:rPr>
        <w:t>Zaradi obveznosti države, da zagotavlja dopolnilno zdravstveno zavarovanje, ki predstavlja javni interes in je del socialne varnosti prebivalcev skladno z Zakonom o zdravstvenem varstvu in zdravstvenem zavarovanju, se je vlada odločila ra</w:t>
      </w:r>
      <w:r>
        <w:rPr>
          <w:szCs w:val="20"/>
        </w:rPr>
        <w:t xml:space="preserve">zširiti listo blaga in storitev, </w:t>
      </w:r>
      <w:r w:rsidRPr="00A525BE">
        <w:rPr>
          <w:szCs w:val="20"/>
        </w:rPr>
        <w:t>za katero se smejo uporabiti ukrepi kontrole cen</w:t>
      </w:r>
      <w:r>
        <w:rPr>
          <w:szCs w:val="20"/>
        </w:rPr>
        <w:t>,</w:t>
      </w:r>
      <w:r w:rsidRPr="00A525BE">
        <w:rPr>
          <w:szCs w:val="20"/>
        </w:rPr>
        <w:t xml:space="preserve"> in sicer s storitvijo dopolnilnega zdravstvenega zavarovanja. Dopolnitev liste s storitvijo dopolnilnega zdravstvenega zavarovanja vladi omogoča sprejem morebitnih ukrepov kontrole cen.</w:t>
      </w:r>
    </w:p>
    <w:p w14:paraId="6CEAE375" w14:textId="77777777" w:rsidR="00FA4E79" w:rsidRDefault="00FA4E79" w:rsidP="008A7849">
      <w:pPr>
        <w:rPr>
          <w:szCs w:val="20"/>
        </w:rPr>
      </w:pPr>
    </w:p>
    <w:p w14:paraId="442CF53F" w14:textId="2C9F0E0D" w:rsidR="008A7849" w:rsidRDefault="008A7849" w:rsidP="008A7849">
      <w:pPr>
        <w:rPr>
          <w:szCs w:val="20"/>
        </w:rPr>
      </w:pPr>
      <w:r w:rsidRPr="00A525BE">
        <w:rPr>
          <w:szCs w:val="20"/>
        </w:rPr>
        <w:t xml:space="preserve">Dopolnilno zdravstveno zavarovanje po svoji vsebini krije razliko med polno vrednostjo storitve, ki je opredeljena v obveznem zdravstvenem zavarovanja in vrednostjo, ki jo plača </w:t>
      </w:r>
      <w:r w:rsidRPr="00DA39A5">
        <w:rPr>
          <w:szCs w:val="20"/>
        </w:rPr>
        <w:t>Zavod za zdravstveno zavarovanje Slovenije</w:t>
      </w:r>
      <w:r w:rsidRPr="00A525BE">
        <w:rPr>
          <w:szCs w:val="20"/>
        </w:rPr>
        <w:t xml:space="preserve">. Delež, ki ga plača </w:t>
      </w:r>
      <w:r>
        <w:rPr>
          <w:szCs w:val="20"/>
        </w:rPr>
        <w:t>dopolnilno zdravstveno zavarovanje</w:t>
      </w:r>
      <w:r w:rsidRPr="00A525BE">
        <w:rPr>
          <w:szCs w:val="20"/>
        </w:rPr>
        <w:t xml:space="preserve"> se giblje med 5</w:t>
      </w:r>
      <w:r>
        <w:rPr>
          <w:szCs w:val="20"/>
        </w:rPr>
        <w:t xml:space="preserve"> </w:t>
      </w:r>
      <w:r w:rsidRPr="00A525BE">
        <w:rPr>
          <w:szCs w:val="20"/>
        </w:rPr>
        <w:t>% in 90</w:t>
      </w:r>
      <w:r>
        <w:rPr>
          <w:szCs w:val="20"/>
        </w:rPr>
        <w:t xml:space="preserve"> </w:t>
      </w:r>
      <w:r w:rsidRPr="00A525BE">
        <w:rPr>
          <w:szCs w:val="20"/>
        </w:rPr>
        <w:t xml:space="preserve">% vrednosti zdravstvene storitve. V Zakonu o zdravstvenem varstvu in zdravstvenem zavarovanju je </w:t>
      </w:r>
      <w:r>
        <w:rPr>
          <w:szCs w:val="20"/>
        </w:rPr>
        <w:t>dopolnilno zdravstveno zavarovanje</w:t>
      </w:r>
      <w:r w:rsidRPr="00A525BE">
        <w:rPr>
          <w:szCs w:val="20"/>
        </w:rPr>
        <w:t xml:space="preserve"> opredeljeno kot javni interes RS, ki se izvaja po načelu medgeneracijske vzajemnosti in vzajemnosti med spoloma. </w:t>
      </w:r>
    </w:p>
    <w:p w14:paraId="0BC94356" w14:textId="77777777" w:rsidR="008A7849" w:rsidRDefault="008A7849" w:rsidP="008A7849">
      <w:pPr>
        <w:rPr>
          <w:szCs w:val="20"/>
        </w:rPr>
      </w:pPr>
      <w:r w:rsidRPr="00A525BE">
        <w:rPr>
          <w:szCs w:val="20"/>
        </w:rPr>
        <w:t>Iz tega izhaja, da to zavarovanje predstavlja tudi del socialne varnosti zavarovanih oseb v obveznem zdravstvenem zavarovanju.</w:t>
      </w:r>
    </w:p>
    <w:p w14:paraId="4841B6C6" w14:textId="77777777" w:rsidR="00FA4E79" w:rsidRDefault="00FA4E79" w:rsidP="008A7849">
      <w:pPr>
        <w:rPr>
          <w:szCs w:val="20"/>
        </w:rPr>
      </w:pPr>
    </w:p>
    <w:p w14:paraId="4328FEBA" w14:textId="0A24FE70" w:rsidR="008A7849" w:rsidRPr="00A525BE" w:rsidRDefault="008A7849" w:rsidP="008A7849">
      <w:pPr>
        <w:rPr>
          <w:szCs w:val="20"/>
        </w:rPr>
      </w:pPr>
      <w:r w:rsidRPr="00A525BE">
        <w:rPr>
          <w:szCs w:val="20"/>
        </w:rPr>
        <w:t>Tveganje dviga cene premije dopolnilnega zdravstvenega zavarovanja posledično ima</w:t>
      </w:r>
      <w:r>
        <w:rPr>
          <w:szCs w:val="20"/>
        </w:rPr>
        <w:t xml:space="preserve"> lahko</w:t>
      </w:r>
      <w:r w:rsidRPr="00A525BE">
        <w:rPr>
          <w:szCs w:val="20"/>
        </w:rPr>
        <w:t xml:space="preserve"> precej škodljivih posledic za dostopnost prebivalcev do zdravstvenih storitev in na splošno zdravje populacije. Dvig premije bi lahko pomenil prekinitev sklenjenih zavarovanj s strani določenega dela prebivalcev, predvsem tistih z nižjimi dohodki, saj zanje dvig, n</w:t>
      </w:r>
      <w:r>
        <w:rPr>
          <w:szCs w:val="20"/>
        </w:rPr>
        <w:t>a primer</w:t>
      </w:r>
      <w:r w:rsidRPr="00A525BE">
        <w:rPr>
          <w:szCs w:val="20"/>
        </w:rPr>
        <w:t xml:space="preserve"> za 10 </w:t>
      </w:r>
      <w:r>
        <w:rPr>
          <w:szCs w:val="20"/>
        </w:rPr>
        <w:t>evrov</w:t>
      </w:r>
      <w:r w:rsidRPr="00A525BE">
        <w:rPr>
          <w:szCs w:val="20"/>
        </w:rPr>
        <w:t xml:space="preserve"> mesečno, pomeni precejšnje povišanje izdatkov. </w:t>
      </w:r>
    </w:p>
    <w:p w14:paraId="16C10029" w14:textId="77777777" w:rsidR="008A7849" w:rsidRPr="00A525BE" w:rsidRDefault="008A7849" w:rsidP="008A7849">
      <w:pPr>
        <w:rPr>
          <w:szCs w:val="20"/>
        </w:rPr>
      </w:pPr>
    </w:p>
    <w:p w14:paraId="052FEF87" w14:textId="77777777" w:rsidR="008A7849" w:rsidRPr="00A525BE" w:rsidRDefault="008A7849" w:rsidP="008A7849">
      <w:pPr>
        <w:rPr>
          <w:szCs w:val="20"/>
        </w:rPr>
      </w:pPr>
      <w:r w:rsidRPr="00A525BE">
        <w:rPr>
          <w:szCs w:val="20"/>
        </w:rPr>
        <w:t xml:space="preserve">To bi pomenilo, da te osebe bodisi ne bi več koristile zdravstvenih storitev, kljub izkazani potrebi, in bi bile deležne visokih izdatkov za doplačevanje ob njihovem koriščenju, kar lahko pomeni velike finančne stroške in vodi v finančno stisko. </w:t>
      </w:r>
    </w:p>
    <w:p w14:paraId="53562278" w14:textId="77777777" w:rsidR="00FA4E79" w:rsidRDefault="00FA4E79" w:rsidP="008A7849">
      <w:pPr>
        <w:rPr>
          <w:szCs w:val="20"/>
        </w:rPr>
      </w:pPr>
    </w:p>
    <w:p w14:paraId="1B04BE39" w14:textId="1C0DAA97" w:rsidR="008A7849" w:rsidRPr="00A525BE" w:rsidRDefault="008A7849" w:rsidP="008A7849">
      <w:pPr>
        <w:rPr>
          <w:szCs w:val="20"/>
        </w:rPr>
      </w:pPr>
      <w:r w:rsidRPr="00A525BE">
        <w:rPr>
          <w:szCs w:val="20"/>
        </w:rPr>
        <w:t>Poleg navedenega bi se zaradi manjše zavarovanosti populacije s tem zavarovanjem (sedaj ga ima sklenjenega več kot 95</w:t>
      </w:r>
      <w:r>
        <w:rPr>
          <w:szCs w:val="20"/>
        </w:rPr>
        <w:t xml:space="preserve"> </w:t>
      </w:r>
      <w:r w:rsidRPr="00A525BE">
        <w:rPr>
          <w:szCs w:val="20"/>
        </w:rPr>
        <w:t>% populacije, ki je zavezana k doplačevanju, vključena je celotna populacija od mladih po končanem šolanju do upokojencev) lahko porušilo ravnovesje medgeneracijske solidarnosti ob prekinitvi zavarovanj s strani mlajše populacije.</w:t>
      </w:r>
    </w:p>
    <w:p w14:paraId="6DE2D8E6" w14:textId="77777777" w:rsidR="00FA4E79" w:rsidRDefault="00FA4E79" w:rsidP="008A7849">
      <w:pPr>
        <w:rPr>
          <w:szCs w:val="20"/>
        </w:rPr>
      </w:pPr>
    </w:p>
    <w:p w14:paraId="200262AE" w14:textId="2A75379A" w:rsidR="008A7849" w:rsidRPr="00A525BE" w:rsidRDefault="008A7849" w:rsidP="008A7849">
      <w:pPr>
        <w:rPr>
          <w:szCs w:val="20"/>
        </w:rPr>
      </w:pPr>
      <w:r w:rsidRPr="00A525BE">
        <w:rPr>
          <w:szCs w:val="20"/>
        </w:rPr>
        <w:t>Na trgu imamo samo tri ponudnike dopolnilnega zdravstveno zavarovanja, zato gre za nepopolno konkurenco</w:t>
      </w:r>
      <w:r>
        <w:rPr>
          <w:szCs w:val="20"/>
        </w:rPr>
        <w:t>, kjer se</w:t>
      </w:r>
      <w:r w:rsidRPr="00A525BE">
        <w:rPr>
          <w:szCs w:val="20"/>
        </w:rPr>
        <w:t xml:space="preserve"> trije ponudniki med seboj lahko zlahka cenovno uskladijo in </w:t>
      </w:r>
      <w:r>
        <w:rPr>
          <w:szCs w:val="20"/>
        </w:rPr>
        <w:t xml:space="preserve">si </w:t>
      </w:r>
      <w:r w:rsidRPr="00A525BE">
        <w:rPr>
          <w:szCs w:val="20"/>
        </w:rPr>
        <w:t xml:space="preserve">sledijo. </w:t>
      </w:r>
      <w:r>
        <w:rPr>
          <w:szCs w:val="20"/>
        </w:rPr>
        <w:t xml:space="preserve">Poleg tega </w:t>
      </w:r>
      <w:r w:rsidRPr="00A525BE">
        <w:rPr>
          <w:szCs w:val="20"/>
        </w:rPr>
        <w:t>obstajajo visoke vstopne ovire</w:t>
      </w:r>
      <w:r>
        <w:rPr>
          <w:szCs w:val="20"/>
        </w:rPr>
        <w:t xml:space="preserve"> na zavarovalni trg</w:t>
      </w:r>
      <w:r w:rsidRPr="00A525BE">
        <w:rPr>
          <w:szCs w:val="20"/>
        </w:rPr>
        <w:t>, kar ne omogoča razvoj</w:t>
      </w:r>
      <w:r>
        <w:rPr>
          <w:szCs w:val="20"/>
        </w:rPr>
        <w:t>a</w:t>
      </w:r>
      <w:r w:rsidRPr="00A525BE">
        <w:rPr>
          <w:szCs w:val="20"/>
        </w:rPr>
        <w:t xml:space="preserve"> konkurenčnega okolja in obstaja visoko tveganje in možnost kartelnega dogovarjanja. </w:t>
      </w:r>
    </w:p>
    <w:p w14:paraId="3FF62247" w14:textId="088911A5" w:rsidR="008A7849" w:rsidRDefault="008A7849" w:rsidP="008A7849">
      <w:pPr>
        <w:rPr>
          <w:szCs w:val="20"/>
        </w:rPr>
      </w:pPr>
      <w:r w:rsidRPr="00A525BE">
        <w:rPr>
          <w:szCs w:val="20"/>
        </w:rPr>
        <w:t xml:space="preserve">Zaradi </w:t>
      </w:r>
      <w:r>
        <w:rPr>
          <w:szCs w:val="20"/>
        </w:rPr>
        <w:t>navedenih razlogov</w:t>
      </w:r>
      <w:r w:rsidRPr="00A525BE">
        <w:rPr>
          <w:szCs w:val="20"/>
        </w:rPr>
        <w:t xml:space="preserve"> se je </w:t>
      </w:r>
      <w:r>
        <w:rPr>
          <w:szCs w:val="20"/>
        </w:rPr>
        <w:t>v</w:t>
      </w:r>
      <w:r w:rsidRPr="00A525BE">
        <w:rPr>
          <w:szCs w:val="20"/>
        </w:rPr>
        <w:t>lada odločila, da poseže na trg dopolnilnega zdravstvenega zavarovanja.</w:t>
      </w:r>
    </w:p>
    <w:p w14:paraId="608DCB0B" w14:textId="77777777" w:rsidR="008A7849" w:rsidRPr="009C32CE" w:rsidRDefault="008A7849" w:rsidP="008A7849">
      <w:pPr>
        <w:pStyle w:val="Vir"/>
      </w:pPr>
      <w:r>
        <w:t>Vir: Ministrstvo za gospodarstvo, turizem in šport</w:t>
      </w:r>
    </w:p>
    <w:bookmarkEnd w:id="6"/>
    <w:p w14:paraId="6D98FB52" w14:textId="14A03D4A" w:rsidR="0019114B" w:rsidRDefault="0019114B" w:rsidP="0019114B">
      <w:pPr>
        <w:pStyle w:val="Naslov2"/>
      </w:pPr>
      <w:r>
        <w:lastRenderedPageBreak/>
        <w:t>Vlada sprejela letni načrt upravljanja kapitalskih naložb, s katerimi upravlja vlada</w:t>
      </w:r>
    </w:p>
    <w:p w14:paraId="76BE845D" w14:textId="77777777" w:rsidR="0019114B" w:rsidRDefault="0019114B" w:rsidP="0019114B">
      <w:r>
        <w:t>Vlada je za letošnje leto sprejela letni načrt upravljanja kapitalskih naložb, za upravljanje katerih je pristojna vlada. V njem so opredeljeni podrobni cilji vlade pri upravljanju posameznih naložb ter ukrepi in usmeritve za doseganje teh ciljev. Letni načrt upravljanja naložb določa tudi pričakovane denarne tokove iz upravljanja naložb.</w:t>
      </w:r>
    </w:p>
    <w:p w14:paraId="05E8DAED" w14:textId="77777777" w:rsidR="0019114B" w:rsidRDefault="0019114B" w:rsidP="0019114B"/>
    <w:p w14:paraId="51236261" w14:textId="77777777" w:rsidR="0019114B" w:rsidRDefault="0019114B" w:rsidP="0019114B">
      <w:r>
        <w:t>Ministrstva, na delovna področja katerih spadajo dejavnosti posameznih družb, spremljajo njihovo poslovanje ter uspešnost doseganja ciljev. Na delovno področje Ministrstva za infrastrukturo sodi gospodarska družba 2TDK, na delovno področje Ministrstva za okolje, podnebje in energijo sodijo gospodarske družbe Eles, Borzen in Družba za upravljanje javnega potniškega prometa, na delovno področje Ministrstva za gospodarstvo, turizem in šport pa sodi gospodarska družba Holding Kobilarna Lipica.</w:t>
      </w:r>
    </w:p>
    <w:p w14:paraId="55820A7D" w14:textId="77777777" w:rsidR="0019114B" w:rsidRDefault="0019114B" w:rsidP="0019114B"/>
    <w:p w14:paraId="78D942C9" w14:textId="77777777" w:rsidR="0019114B" w:rsidRDefault="0019114B" w:rsidP="0019114B">
      <w:r>
        <w:t>Vlada je omenjenim ministrstvom med drugim naložila, da pri spremljanju izpolnjevanja letnega načrta upravljanja poročajo Ministrstvu za finance, v poročilu pa navedejo informacije o doseženih rezultatih družbe, pojasnila o razlogih za bistvene odmike od sprejetih ciljev ter ukrepe in usmeritve za doseganje zastavljenih ciljev. S spremembami in dopolnitvami Zakona o Slovenskem državnem holdingu se je ureditev spremljanja poslovanja družb v upravljanju vlade uskladila z ureditvijo, ki velja za družbe, s katerimi upravlja Slovenski državni holding.</w:t>
      </w:r>
    </w:p>
    <w:p w14:paraId="5AC3B900" w14:textId="41E41002" w:rsidR="008A099D" w:rsidRDefault="0019114B" w:rsidP="0019114B">
      <w:pPr>
        <w:pStyle w:val="Vir"/>
      </w:pPr>
      <w:r>
        <w:t>Vir: Ministrstvo za finance</w:t>
      </w:r>
    </w:p>
    <w:p w14:paraId="67B04DCC" w14:textId="12B36DC8" w:rsidR="00E4094B" w:rsidRDefault="00E4094B" w:rsidP="00E4094B">
      <w:pPr>
        <w:pStyle w:val="Naslov2"/>
      </w:pPr>
      <w:r>
        <w:t>Vlada soglaša z dopolnitvijo letnega načrta upravljanja kapitalskih naložb</w:t>
      </w:r>
    </w:p>
    <w:p w14:paraId="7188EB29" w14:textId="77777777" w:rsidR="00E4094B" w:rsidRDefault="00E4094B" w:rsidP="00E4094B">
      <w:r>
        <w:t xml:space="preserve">Vlada je Slovenskemu državnemu holdingu dala soglasje k dopolnitvi Letnega načrta upravljanja kapitalskih naložb za leto 2023. Z dopolnitvijo se v letni načrt upravljanja umešča družba Center FAIR </w:t>
      </w:r>
      <w:proofErr w:type="spellStart"/>
      <w:r>
        <w:t>GmbH</w:t>
      </w:r>
      <w:proofErr w:type="spellEnd"/>
      <w:r>
        <w:t>.</w:t>
      </w:r>
    </w:p>
    <w:p w14:paraId="2CB284B3" w14:textId="77777777" w:rsidR="00E4094B" w:rsidRDefault="00E4094B" w:rsidP="00E4094B"/>
    <w:p w14:paraId="579983CB" w14:textId="77777777" w:rsidR="00E4094B" w:rsidRDefault="00E4094B" w:rsidP="00E4094B">
      <w:r>
        <w:t>Računsko sodišče je v reviziji zaključnega računa proračuna Republike Slovenije za leto 2021 ugotovilo, da gre pri Centru FAIR za kapitalsko naložbo države. Slednje v skladu z Zakonom o Slovenskem državnem holdingu upravlja Slovenski državni holding, zato ga je ta od Ministrstva za visoko šolstvo, znanost in inovacije v upravljanje prevzel novembra 2022. Ker mora holding skladno z zakonom letni načrt upravljanja naložb pripraviti in predložiti vladi najpozneje do konca novembra za naslednje koledarsko leto, se že sprejeti Letni načrt upravljanja naložb za leto 2023 dopolnjuje s to naložbo.</w:t>
      </w:r>
    </w:p>
    <w:p w14:paraId="3761E880" w14:textId="77777777" w:rsidR="00E4094B" w:rsidRDefault="00E4094B" w:rsidP="00E4094B"/>
    <w:p w14:paraId="4221439A" w14:textId="77777777" w:rsidR="00E4094B" w:rsidRDefault="00E4094B" w:rsidP="00E4094B">
      <w:r>
        <w:t xml:space="preserve">Družbo Center FAIR </w:t>
      </w:r>
      <w:proofErr w:type="spellStart"/>
      <w:r>
        <w:t>GmbH</w:t>
      </w:r>
      <w:proofErr w:type="spellEnd"/>
      <w:r>
        <w:t xml:space="preserve"> je ustanovilo več držav na podlagi Konvencije o izgradnji in delovanju Centra za raziskave z antiprotoni in ioni v Evropi, ki jo je Slovenija ratificirala leta 2011. Namen ustanovitve Centra FAIR, ki ima sedež v Darmstadtu v Nemčiji, je izvajanje dejavnosti javnega interesa (napredek znanosti in raziskovanja), tako da deluje v splošno korist in njegov prvotni namen ni pridobitna dejavnost. Slovenija ima v družbi kapitalski delež v višini 1,18 %. </w:t>
      </w:r>
    </w:p>
    <w:p w14:paraId="234EC8C2" w14:textId="422206BD" w:rsidR="008A099D" w:rsidRDefault="00E4094B" w:rsidP="00E4094B">
      <w:pPr>
        <w:pStyle w:val="Vir"/>
      </w:pPr>
      <w:r w:rsidRPr="00E4094B">
        <w:t>Vir: Ministrstvo za finance</w:t>
      </w:r>
    </w:p>
    <w:p w14:paraId="122D270E" w14:textId="07511101" w:rsidR="007C4EBA" w:rsidRDefault="007C4EBA" w:rsidP="007C4EBA">
      <w:pPr>
        <w:pStyle w:val="Naslov2"/>
      </w:pPr>
      <w:r>
        <w:t>Poslovni načrt javnega podjetja INFRA</w:t>
      </w:r>
    </w:p>
    <w:p w14:paraId="6213BF32" w14:textId="77777777" w:rsidR="007C4EBA" w:rsidRDefault="007C4EBA" w:rsidP="007C4EBA">
      <w:r>
        <w:t xml:space="preserve">Vlada je sprejela Poslovni načrt javnega podjetja INFRA izvajanje investicijske dejavnosti </w:t>
      </w:r>
      <w:proofErr w:type="spellStart"/>
      <w:r>
        <w:t>d.o.o</w:t>
      </w:r>
      <w:proofErr w:type="spellEnd"/>
      <w:r>
        <w:t xml:space="preserve">. za leto 2023. </w:t>
      </w:r>
    </w:p>
    <w:p w14:paraId="2A9AC891" w14:textId="77777777" w:rsidR="007C4EBA" w:rsidRDefault="007C4EBA" w:rsidP="007C4EBA"/>
    <w:p w14:paraId="0F0D2FA1" w14:textId="04B5A4E4" w:rsidR="007C4EBA" w:rsidRDefault="007C4EBA" w:rsidP="007C4EBA">
      <w:r>
        <w:t xml:space="preserve">Vlada je kot zastopnica ustanovitelja javnega podjetja INFRA izvajanje investicijske dejavnosti, d. o. o., Republike Slovenije, na osnovi Zakona o pogojih koncesije za izkoriščanje energetskega potenciala spodnje Save  pristojna za sprejem programa dela gospodarske </w:t>
      </w:r>
      <w:r>
        <w:lastRenderedPageBreak/>
        <w:t>družbe pri izvedbi ureditev vodne infrastrukture ter državne in lokalne infrastrukture na vplivnem območju koncesije. INFRA pridobiva zemljišča v imenu in za račun Republike Slovenije ter gradi vodno, državno in lokalno infrastrukturo na območju hidroelektrarn Arto-Blanca, Krško, Brežice in Mokrice, vzdržuje akumulacijske bazene ter upravlja odlagališče odpadkov Rakovnik.</w:t>
      </w:r>
    </w:p>
    <w:p w14:paraId="4C1B41E4" w14:textId="07E8FBDF" w:rsidR="008A099D" w:rsidRDefault="007C4EBA" w:rsidP="007C4EBA">
      <w:pPr>
        <w:pStyle w:val="Vir"/>
      </w:pPr>
      <w:r>
        <w:t>Vir: Ministrstvo za naravne vire in prostor</w:t>
      </w:r>
    </w:p>
    <w:p w14:paraId="2961B9A1" w14:textId="77777777" w:rsidR="00373F9E" w:rsidRPr="00065666" w:rsidRDefault="00373F9E" w:rsidP="00373F9E">
      <w:pPr>
        <w:pStyle w:val="Naslov2"/>
      </w:pPr>
      <w:r w:rsidRPr="00065666">
        <w:t>Vlada sprejela Nacionalni reformni program 2023</w:t>
      </w:r>
    </w:p>
    <w:p w14:paraId="1A3F1161" w14:textId="77777777" w:rsidR="00373F9E" w:rsidRPr="00065666" w:rsidRDefault="00373F9E" w:rsidP="00373F9E">
      <w:r w:rsidRPr="00065666">
        <w:t>Vlada je danes sprejela Nacionalni reformni program 2023, ki vključuje načrtovane prednostne naloge dela vlade, ključne strukturne ukrepe in ukrepe za doseganje priporočil ter ciljev iz nacionalnih in evropskih strateških dokumentov.</w:t>
      </w:r>
    </w:p>
    <w:p w14:paraId="008A69A5" w14:textId="77777777" w:rsidR="00373F9E" w:rsidRDefault="00373F9E" w:rsidP="00373F9E"/>
    <w:p w14:paraId="59038348" w14:textId="77777777" w:rsidR="00373F9E" w:rsidRDefault="00373F9E" w:rsidP="00373F9E">
      <w:r>
        <w:t xml:space="preserve">Priprava nacionalnega reformnega programa je del </w:t>
      </w:r>
      <w:r w:rsidRPr="00E65A35">
        <w:t>tako imenovan</w:t>
      </w:r>
      <w:r>
        <w:t>ega</w:t>
      </w:r>
      <w:r w:rsidRPr="00E65A35">
        <w:t xml:space="preserve"> evropsk</w:t>
      </w:r>
      <w:r>
        <w:t>ega</w:t>
      </w:r>
      <w:r w:rsidRPr="00E65A35">
        <w:t xml:space="preserve"> semest</w:t>
      </w:r>
      <w:r>
        <w:t xml:space="preserve">ra – procesa </w:t>
      </w:r>
      <w:r w:rsidRPr="00E65A35">
        <w:t>uskla</w:t>
      </w:r>
      <w:r>
        <w:t xml:space="preserve">jene priprave in poročanja o ukrepih ekonomske in fiskalne politike </w:t>
      </w:r>
      <w:r w:rsidRPr="00E65A35">
        <w:t>držav članic</w:t>
      </w:r>
      <w:r>
        <w:t>, vzpostavljenega na ravni Evropske unije</w:t>
      </w:r>
      <w:r w:rsidRPr="00E65A35">
        <w:t>.</w:t>
      </w:r>
      <w:r>
        <w:t xml:space="preserve"> </w:t>
      </w:r>
    </w:p>
    <w:p w14:paraId="76D03EAA" w14:textId="77777777" w:rsidR="00373F9E" w:rsidRDefault="00373F9E" w:rsidP="00373F9E"/>
    <w:p w14:paraId="2E00FF70" w14:textId="77777777" w:rsidR="00373F9E" w:rsidRDefault="00373F9E" w:rsidP="00373F9E">
      <w:r>
        <w:t xml:space="preserve">Začetek letošnjega evropskega semestra zaznamuje Letni pregled trajnostne rasti 2023, dokument Evropske komisije, v katerem so določene prednostne naloge Evropske unije. Komisija v njem izpostavlja štiri ključne stebre, in sicer vključujočo rast, produktivnost, trajnostno rast in zeleni prehod ter zagotavljanje makroekonomske in fiskalne stabilnosti. </w:t>
      </w:r>
    </w:p>
    <w:p w14:paraId="775432F1" w14:textId="77777777" w:rsidR="00373F9E" w:rsidRDefault="00373F9E" w:rsidP="00373F9E"/>
    <w:p w14:paraId="74333DC9" w14:textId="77777777" w:rsidR="00373F9E" w:rsidRDefault="00373F9E" w:rsidP="00373F9E">
      <w:r>
        <w:t xml:space="preserve">Na tej strukturi je pripravljen tudi letošnji nacionalni reformni program, ki ga je vlada pripravila v sodelovanju s socialnimi partnerji, vsebuje pa načrte ukrepov in investicij na področju sistemov socialnega varstva, zdravstva, javnega sektorja, izobraževanja, spodbujanja produktivnosti in zelenega prehoda. </w:t>
      </w:r>
    </w:p>
    <w:p w14:paraId="6CD63A22" w14:textId="77777777" w:rsidR="00373F9E" w:rsidRDefault="00373F9E" w:rsidP="00373F9E"/>
    <w:p w14:paraId="71811CC4" w14:textId="77777777" w:rsidR="00373F9E" w:rsidRPr="000D5028" w:rsidRDefault="00373F9E" w:rsidP="00373F9E">
      <w:bookmarkStart w:id="7" w:name="_Hlk132190120"/>
      <w:r w:rsidRPr="00C4579D">
        <w:t>Ukrepi v nacionalnem reformnem programu so ključni za srednjeročno in dolgoročno stabilnost javnih financ ter odgovarjajo na trenutne izzive. Skladno z Zakonom o fiskalnem pravilu in evropskimi smernicami (ali spremembami) bomo spomladi 2024 predstavili tudi tako imenovano izhodno strategijo, kjer bomo celovito prikazali vse rešitve in jih ovrednotili.</w:t>
      </w:r>
    </w:p>
    <w:bookmarkEnd w:id="7"/>
    <w:p w14:paraId="01397322" w14:textId="77777777" w:rsidR="00373F9E" w:rsidRDefault="00373F9E" w:rsidP="00373F9E"/>
    <w:p w14:paraId="416BA4D4" w14:textId="7E919FD6" w:rsidR="00373F9E" w:rsidRPr="00373F9E" w:rsidRDefault="00373F9E" w:rsidP="00373F9E">
      <w:r>
        <w:t xml:space="preserve">Ministrstvo za finance bo nacionalni reformni program ta teden posredovalo Evropski komisiji. Vzporedno z nacionalnim reformnim programom vlada sicer pripravlja tudi program stabilnosti, v katerem bo </w:t>
      </w:r>
      <w:r w:rsidRPr="00306A49">
        <w:t>opredeli</w:t>
      </w:r>
      <w:r>
        <w:t xml:space="preserve">la </w:t>
      </w:r>
      <w:r w:rsidRPr="00306A49">
        <w:t>večletni makroekonomski in fiskalni okvir</w:t>
      </w:r>
      <w:r>
        <w:t>, Evropski komisiji pa ga mora poslati do konca aprila.</w:t>
      </w:r>
    </w:p>
    <w:p w14:paraId="765CEA73" w14:textId="46B3E629" w:rsidR="0035220F" w:rsidRDefault="00373F9E" w:rsidP="00373F9E">
      <w:pPr>
        <w:pStyle w:val="Vir"/>
      </w:pPr>
      <w:r>
        <w:t xml:space="preserve">Vir: Ministrstvo za </w:t>
      </w:r>
      <w:r>
        <w:t>finance</w:t>
      </w:r>
    </w:p>
    <w:p w14:paraId="35DB9653" w14:textId="4668BEF5" w:rsidR="0035220F" w:rsidRDefault="0035220F" w:rsidP="0035220F">
      <w:pPr>
        <w:pStyle w:val="Naslov2"/>
      </w:pPr>
      <w:r>
        <w:t>Vlada odgovorila na dodatni uradni opomin Evropske komisije zaradi neizpolnjevanja obveznosti iz Direktive  o boju proti spolni zlorabi in spolnemu izkoriščanju otrok ter otroški pornografiji</w:t>
      </w:r>
    </w:p>
    <w:p w14:paraId="4422AFDD" w14:textId="3B72A801" w:rsidR="0035220F" w:rsidRDefault="0035220F" w:rsidP="0035220F">
      <w:r>
        <w:t xml:space="preserve">Vlada je na današnji seji sprejela odgovor Republike Slovenije v </w:t>
      </w:r>
      <w:proofErr w:type="spellStart"/>
      <w:r>
        <w:t>predsodnem</w:t>
      </w:r>
      <w:proofErr w:type="spellEnd"/>
      <w:r>
        <w:t xml:space="preserve"> postopku na dodatni uradni opomin Evropske komisije zaradi neizpolnjevanja obveznosti iz točke (i) petega odstavka 3. člena, drugega odstavka 4. člena, drugega odstavka 10. člena, četrtega in petega odstavka 17. člena, tretjega odstavka 18. člena, petega odstavka 19. člena, tretjega odstavka 20. člena, točke (a) 21. člena, 22. člena in 24. člena Direktive Evropskega parlamenta in Sveta z dne 13. decembra 2011 o boju proti spolni zlorabi in spolnemu izkoriščanju otrok ter otroški pornografiji in nadomestitvi Okvirnega sklepa Sveta.</w:t>
      </w:r>
    </w:p>
    <w:p w14:paraId="01C19698" w14:textId="77777777" w:rsidR="0035220F" w:rsidRDefault="0035220F" w:rsidP="0035220F">
      <w:pPr>
        <w:pStyle w:val="Vir"/>
      </w:pPr>
      <w:r>
        <w:t>Vir: Ministrstvo za pravosodje</w:t>
      </w:r>
    </w:p>
    <w:p w14:paraId="7ABAE882" w14:textId="2F82148D" w:rsidR="0035220F" w:rsidRDefault="0035220F" w:rsidP="0035220F">
      <w:pPr>
        <w:pStyle w:val="Naslov2"/>
      </w:pPr>
      <w:r>
        <w:lastRenderedPageBreak/>
        <w:t>Vlada sprejela mnenje o zahtevi Državnega sveta o ponovnem odločanju o spremembah Zakona o tujcih</w:t>
      </w:r>
    </w:p>
    <w:p w14:paraId="6F76B245" w14:textId="2C5B26B6" w:rsidR="0035220F" w:rsidRDefault="0035220F" w:rsidP="0035220F">
      <w:r>
        <w:t>Vlada je sprejela mnenje o zahtevi Državnega sveta Republike Slovenije, da Državni zbor Republike Slovenije ponovno odloča o Zakonu o spremembah in dopolnitvah Zakona o tujcih (ZTuj-2G), ki ga pošlje Državnemu zboru Republike Slovenije.</w:t>
      </w:r>
    </w:p>
    <w:p w14:paraId="37A1F954" w14:textId="77777777" w:rsidR="0035220F" w:rsidRDefault="0035220F" w:rsidP="0035220F"/>
    <w:p w14:paraId="5BE6D385" w14:textId="77777777" w:rsidR="0035220F" w:rsidRDefault="0035220F" w:rsidP="0035220F">
      <w:r>
        <w:t>Glede navedb o nekonsistentnosti novega koncepta odločanja o zamenjavi delovnega mesta, delodajalca ter zaposlitvi pri dveh ali več delodajalcih, s katerim se ukinja obveznost izdaje odločbe upravne enote ob pozitivni odločitvi Zavoda Republike Slovenije za zaposlovanje (ZRSZ), vlada pojasnjuje, da se je z uvedbo enotnega postopka izdaje dovoljenja za prebivanje in delo, ki tujcu omogoča, da vstopi, prebiva in dela v Sloveniji, uveljavilo načelo vse na enem mestu, po katerem tujec ali njegov delodajalec vložita enotno vlogo za izdajo enotnega dovoljenja (za prebivanje in delo) na enem mestu, torej pri upravni enoti ali pri pristojnem diplomatskem predstavništvu oziroma konzulatu Slovenije v tujini. S predlagano spremembo se želi izogniti formalizaciji soglasja ZRSZ o zamenjavi delovnega mesta pri istem delodajalcu, zamenjavi delodajalca ali zaposlitvi pri dveh ali več dodajalcih. Ta je po mnenju predlagatelja nepotrebna, saj predstavlja administrativno breme upravnim enotam, za stranke pa pomeni daljše čakanje na odločitev, kar jih spravlja v negotov položaj in v določenih primerih celo povzroča škodo. S predlagano spremembo bi se tako izognili takim položajem, saj je v praksi povprečni čas odločanja na ZRSZ mnogo krajši kot na upravnih enotah. Poleg navedenega bi se upravne enote razbremenile dela, ki je v trenutno veljavni ureditvi le formalne narave in nima narave vsebinske presoje.</w:t>
      </w:r>
    </w:p>
    <w:p w14:paraId="414D8483" w14:textId="77777777" w:rsidR="0035220F" w:rsidRDefault="0035220F" w:rsidP="0035220F"/>
    <w:p w14:paraId="55E15E58" w14:textId="77777777" w:rsidR="0035220F" w:rsidRDefault="0035220F" w:rsidP="0035220F">
      <w:r>
        <w:t>Obveznost periodičnega preverjanja izpolnjevanja pogoja zadostnih sredstev za preživljanje vsakih šest mesecev po izdaji dovoljenja se odpravlja z namenom razbremenitve upravnih enot in odprave administrativnih ovir. Ne glede na črtanje obveznosti periodičnega preverjanja pa vlada pojasnjuje, da mora upravna enota v vsakem primeru, ko ugotovi, da tujec ne izpolnjuje več pogoja zadostnih sredstev za preživljanje, uvesti postopek razveljavitve dovoljenja za prebivanje, izpolnjevanje pogoja pa se preverja tudi ob podaljšanju dovoljenja za začasno prebivanje, ki se izda najdlje za eno oziroma v posebnih primerih največ za dve leti.</w:t>
      </w:r>
    </w:p>
    <w:p w14:paraId="41ED3E1F" w14:textId="77777777" w:rsidR="0035220F" w:rsidRDefault="0035220F" w:rsidP="0035220F"/>
    <w:p w14:paraId="4574F12B" w14:textId="77777777" w:rsidR="0035220F" w:rsidRDefault="0035220F" w:rsidP="0035220F">
      <w:r>
        <w:t>Pogoj znanja slovenskega jezika za podaljšanje dovoljenja za začasno prebivanje zaradi združitve družine in za izdajo dovoljenja za stalno prebivanje je bil vnesen v Zakon o tujcih z novelo iz leta 2021. Nujna novela pogoj ohranja, začetek njegove uporabe pa zamika za 18 mesecev z namenom, da se vzpostavi pogoje, da bodo lahko vsi tujci obiskovali tečaje slovenščine in spoznavanja slovenske družbe, za kar bo vlada v šestih mesecih sprejela integracijsko strategijo. Ob tem vlada pojasnjuje, da integracijski programi že zdaj obstajajo in se tudi izvajajo.</w:t>
      </w:r>
    </w:p>
    <w:p w14:paraId="3254EA85" w14:textId="77777777" w:rsidR="0035220F" w:rsidRDefault="0035220F" w:rsidP="0035220F"/>
    <w:p w14:paraId="7EB5B95E" w14:textId="77777777" w:rsidR="0035220F" w:rsidRDefault="0035220F" w:rsidP="0035220F">
      <w:r>
        <w:t>V šestih mesecih po sprejemu nujne novele ZTuj-2G se uvaja nov pogoj glede podaljševanja dovoljenja za začasno prebivanje za družinske člane, in sicer bodo morali po tem času in do začetka uporabe pogoja izpita ob vlogi za podaljšanje priložiti potrdilo o udeležbi v programu učenja slovenskega jezika in spoznavanja slovenske družbe na vstopni ravni. Z ZTuj-2G se spreminja tudi način imenovanja oziroma podaje pooblastila za izvajanje izpitov iz slovenskega jezika na vstopni in osnovni ravni, in sicer se daje možnost vsem izvajalcem, ki izvajajo javno veljavni program izobraževanja slovenščina kot drugi tuj jezik.</w:t>
      </w:r>
    </w:p>
    <w:p w14:paraId="1C954F2D" w14:textId="77777777" w:rsidR="0035220F" w:rsidRDefault="0035220F" w:rsidP="0035220F"/>
    <w:p w14:paraId="270B26EC" w14:textId="77777777" w:rsidR="0035220F" w:rsidRDefault="0035220F" w:rsidP="0035220F">
      <w:r>
        <w:t xml:space="preserve">V primeru odložitve uveljavitve nujne novele Zakona o tujcih bi se začele uporabljati tudi določbe spremenjenega 106. člena ZTuj-2, ki določajo spremenjen način financiranja programov učenja slovenskega jezika in ožji krog upravičencev do teh tečajev. Če bi 27. aprila 2023 stopile v veljavo določbe spremenjenega 106. člena ZTuj-2, bi se integracija tujcev v bistveni meri omejila zgolj na tujce, ki pogoj znanja slovenskega jezika potrebujejo za podaljšanje dovoljenja za začasno prebivanje oziroma za pridobitev dovoljenja za stalno </w:t>
      </w:r>
      <w:r>
        <w:lastRenderedPageBreak/>
        <w:t>prebivanje, saj bi se le tem tujcev sofinancirala udeležba v tečajih v višini 50 odstotkov cene programa. Ta rešitev bi destimulativno vplivala na vse ostale tujce, državljane tretjih držav, ki v Sloveniji prebivajo na podlagi dovoljenja za prebivanje, ki pa ni izdano zaradi združitve družine, oziroma na tiste tujce, ki ne zaprošajo za pridobitev dovoljenja za stalno prebivanje. Ti bi si morali udeležbo na teh tečajih, če bi se jih želeli udeležiti, v celoti finančno kriti sami.</w:t>
      </w:r>
    </w:p>
    <w:p w14:paraId="71E100B3" w14:textId="77777777" w:rsidR="0035220F" w:rsidRDefault="0035220F" w:rsidP="0035220F"/>
    <w:p w14:paraId="5FE4D27B" w14:textId="77777777" w:rsidR="0035220F" w:rsidRDefault="0035220F" w:rsidP="0035220F">
      <w:r>
        <w:t xml:space="preserve">Glede očitka o kršitvi načela enakosti iz 14. člena Ustave vlada pojasnjuje, da je treba pri oceni </w:t>
      </w:r>
      <w:proofErr w:type="spellStart"/>
      <w:r>
        <w:t>diskriminatornosti</w:t>
      </w:r>
      <w:proofErr w:type="spellEnd"/>
      <w:r>
        <w:t xml:space="preserve"> upoštevati dejstvo, da Direktiva o pravici do združitve družine (ki velja za družinske člane državljanov tretjih držav) omogoča, da države članice od državljanov tretjih držav (družinskih članov) zahtevajo izpolnitev meril za integracijo v skladu z nacionalnim pravom (npr. pogoj znanja slovenskega jezika), medtem ko Direktiva o pravici državljanov Unije in njihovih družinskih članov do prostega gibanja in prebivanja na ozemlju držav članic (ki velja za družinske člane državljanov EU in družinske člane državljanov držav članic Evropskega gospodarskega prostora) uvedbe integracijskih pogojev za izdajo dovoljenja za prebivanje družinskemu članu ne omogoča. V tej luči so očitki o </w:t>
      </w:r>
      <w:proofErr w:type="spellStart"/>
      <w:r>
        <w:t>diskimininatornosti</w:t>
      </w:r>
      <w:proofErr w:type="spellEnd"/>
      <w:r>
        <w:t xml:space="preserve"> predlagane določbe po mnenje vlade neutemeljeni.</w:t>
      </w:r>
    </w:p>
    <w:p w14:paraId="686B9179" w14:textId="77777777" w:rsidR="0035220F" w:rsidRDefault="0035220F" w:rsidP="0035220F"/>
    <w:p w14:paraId="01B8B22B" w14:textId="77777777" w:rsidR="0035220F" w:rsidRDefault="0035220F" w:rsidP="0035220F">
      <w:r>
        <w:t>Vlada zato predlaga Državnemu zboru, da ob ponovnem odločanju Zakon o spremembah in dopolnitvah Zakona o tujcih podpre.</w:t>
      </w:r>
    </w:p>
    <w:p w14:paraId="2597BB9E" w14:textId="77777777" w:rsidR="0035220F" w:rsidRDefault="0035220F" w:rsidP="0035220F">
      <w:pPr>
        <w:pStyle w:val="Vir"/>
      </w:pPr>
      <w:r>
        <w:t>Vir: Ministrstvo za notranje zadeve</w:t>
      </w:r>
    </w:p>
    <w:p w14:paraId="49056561" w14:textId="73322639" w:rsidR="0035220F" w:rsidRDefault="0035220F" w:rsidP="0035220F">
      <w:pPr>
        <w:pStyle w:val="Naslov2"/>
      </w:pPr>
      <w:r>
        <w:t>Vlada o uspešnosti Slovenije pri črpanju evropskih sredstev</w:t>
      </w:r>
    </w:p>
    <w:p w14:paraId="6F0F27EE" w14:textId="77777777" w:rsidR="0035220F" w:rsidRDefault="0035220F" w:rsidP="0035220F">
      <w:r>
        <w:t>Vlada se je opredelila do sklepov Komisije Državnega zbora za nadzor javnih financ glede uspešnosti Slovenije pri črpanju evropskih sredstev. Vlada poudarja, da je Slovenija glede črpanja kohezijskih sredstev nad povprečjem Evropske unije.</w:t>
      </w:r>
    </w:p>
    <w:p w14:paraId="337BD2AB" w14:textId="77777777" w:rsidR="0035220F" w:rsidRDefault="0035220F" w:rsidP="0035220F"/>
    <w:p w14:paraId="304DB1AE" w14:textId="77777777" w:rsidR="0035220F" w:rsidRDefault="0035220F" w:rsidP="0035220F">
      <w:r>
        <w:t xml:space="preserve">Vlada v odzivu na sklepe Komisije za nadzor javnih financ za področje izvajanja evropske kohezijske politike 2014–2020 pojasnjuje, da je cilj države 100 % koriščenje dodeljenih kohezijskih sredstev. Po podatkih Evropske komisije pa je Slovenija med 15 državami članicami, ki so upravičene do koriščenja sredstev Kohezijskega sklada, na 7. mestu po višini prejetih plačil posamezni državi članici, kar je nad povprečjem Evropske unije. </w:t>
      </w:r>
    </w:p>
    <w:p w14:paraId="2FA62599" w14:textId="77777777" w:rsidR="0035220F" w:rsidRDefault="0035220F" w:rsidP="0035220F"/>
    <w:p w14:paraId="13FD19B4" w14:textId="77777777" w:rsidR="0035220F" w:rsidRDefault="0035220F" w:rsidP="0035220F">
      <w:r>
        <w:t xml:space="preserve">Glede transparentnosti izvajanja Načrta za okrevanje in odpornost vlada pojasnjuje, da je za ta namen vzpostavljena tudi spletna stran, preko katere je javnost redno obvešča o izvajanju načrta. Na spletnem mestu so med drugim objavljene tudi informacije o finančnem izvajanju ter doseganju mejnikov in ciljev na načrtovanih ukrepih. Vlada je komisiji posredovala tudi preglednico ukrepov z mejniki in cilji, pri katerih ministrstva beležijo časovna odstopanja oziroma so predmet vladnih izhodišč za pripravo predloga prilagoditve načrta zaradi naslavljanja nižje alokacije nepovratnih sredstev Mehanizma za okrevanje in odpornost. </w:t>
      </w:r>
    </w:p>
    <w:p w14:paraId="6FCFCDED" w14:textId="77777777" w:rsidR="0035220F" w:rsidRDefault="0035220F" w:rsidP="0035220F">
      <w:pPr>
        <w:pStyle w:val="Vir"/>
      </w:pPr>
      <w:r>
        <w:t>Vir: Ministrstvo za finance</w:t>
      </w:r>
    </w:p>
    <w:p w14:paraId="121BFE80" w14:textId="48421925" w:rsidR="0035220F" w:rsidRDefault="0035220F" w:rsidP="0035220F">
      <w:pPr>
        <w:pStyle w:val="Naslov2"/>
      </w:pPr>
      <w:r>
        <w:t xml:space="preserve">Vlada ocenjuje, da ne potrebujemo urada za demografijo </w:t>
      </w:r>
    </w:p>
    <w:p w14:paraId="56FF42A6" w14:textId="7DAFFE7E" w:rsidR="0035220F" w:rsidRDefault="0035220F" w:rsidP="0035220F">
      <w:r>
        <w:t xml:space="preserve">Na </w:t>
      </w:r>
      <w:r w:rsidR="004B1C99">
        <w:t>vlado</w:t>
      </w:r>
      <w:r>
        <w:t xml:space="preserve"> je bilo naslovljena poslanska pobuda poslanke Anje Bah Žibert v zvezi z demografskimi kazalci. V njej poslanka predlaga Vladi RS ponovno ustanovitev Urada RS za demografijo. Ustanovitev Urada RS za demografijo poslanka utemeljuje s kazalci rojstev in umrljivosti januarja 2023, v primerjavi z januarjem 2022 in navaja, da naj bi bili kazalci vse slabši. </w:t>
      </w:r>
    </w:p>
    <w:p w14:paraId="19ACC574" w14:textId="77777777" w:rsidR="0035220F" w:rsidRDefault="0035220F" w:rsidP="0035220F"/>
    <w:p w14:paraId="141FC33E" w14:textId="77777777" w:rsidR="0035220F" w:rsidRDefault="0035220F" w:rsidP="0035220F">
      <w:r>
        <w:t xml:space="preserve">Vlada  pojasnjuje, da kazalci, ki so zajeti v pobudi in temeljijo zgolj na enem mesecu, statistično gledano ne prikažejo verodostojno stanja, zato ne moremo sklepati enakih zaključkov, kot so </w:t>
      </w:r>
      <w:r>
        <w:lastRenderedPageBreak/>
        <w:t xml:space="preserve">navedeni v pobudi. Se pa strinjamo, da moramo izzivom, ki jih prinaša staranje prebivalstva posvetiti več pozornosti. Tudi zato je bilo ustanovljeno Ministrstvo za solidarno prihodnost (v nadaljnjem besedilu: MSP), saj je za spopadanje z demografskimi, podnebnimi in drugimi večjimi strukturnimi izzivi, ključna solidarnost in medgeneracijsko sodelovanje. Slednje pomeni, da moramo najprej poskrbeti za dostojno staranje in starost, omogočiti mladim, da se osamosvojijo in oblikovati socialne politike tako, da bodo v ospredje postavile človeka in mu omogočale dostojno življenje skozi celotno življenjsko obdobje. Omogočanje dostojne starosti pomeni predvsem oblikovanje pravičnega, solidarnega in kakovostnega sistema dolgotrajne oskrbe, ki bo omogočal vsem ljudem, ki to potrebujejo, predvsem pa starejšim, da ostanejo v svojem domačem okolju, brez strahu, da bi bili brez oskrbe, ki jo v tem obdobju potrebujejo. Pomeni tudi, da starejšim omogočimo, da so slišani, poskrbimo za njihove človekove pravice, odpravljamo osamljenost in jih aktivno vključimo v družbo. </w:t>
      </w:r>
    </w:p>
    <w:p w14:paraId="2191DBAC" w14:textId="77777777" w:rsidR="0035220F" w:rsidRDefault="0035220F" w:rsidP="0035220F"/>
    <w:p w14:paraId="73A50729" w14:textId="77777777" w:rsidR="0035220F" w:rsidRDefault="0035220F" w:rsidP="0035220F">
      <w:r>
        <w:t xml:space="preserve">Omogočanje osamosvojitve mladih pomeni, da oblikujemo trajnostno in solidarno stanovanjsko politiko, ki bo mladim priskrbela dostop do dostojnih in cenovno ugodnih stanovanj. Omogočanje pogojev za ustvarjanje družine pomeni krepitev progresivnih socialnih politik za odpravljanje revščine, zagotavljanje dostojnih pokojnin, odpravljanje </w:t>
      </w:r>
      <w:proofErr w:type="spellStart"/>
      <w:r>
        <w:t>prekarnosti</w:t>
      </w:r>
      <w:proofErr w:type="spellEnd"/>
      <w:r>
        <w:t xml:space="preserve"> zaposlitev, predvsem pa zagotavljanje vključenosti, enakosti in dvig kakovosti družinskega življenja, kar v veliki meri dosegamo tudi z ukrepi za usklajevanje poklicnega in zasebnega življenja. </w:t>
      </w:r>
    </w:p>
    <w:p w14:paraId="1D109A25" w14:textId="77777777" w:rsidR="0035220F" w:rsidRDefault="0035220F" w:rsidP="0035220F"/>
    <w:p w14:paraId="20F646CC" w14:textId="77777777" w:rsidR="0035220F" w:rsidRDefault="0035220F" w:rsidP="0035220F">
      <w:r>
        <w:t>Zato ocenjujemo, da Urada RS za demografijo ne potrebujemo, saj se s področnimi politikami že aktivno ukvarjata Ministrstvo za delo, družino, socialne zadeve in enake možnosti ter novoustanovljeno MSP. Ustanovitev takega urada bi bilo torej zgolj podvajanje dela in pristojnosti, ter bi pomenilo dodatno birokratizacijo sistema javne uprave.</w:t>
      </w:r>
    </w:p>
    <w:p w14:paraId="2306D348" w14:textId="77777777" w:rsidR="0035220F" w:rsidRDefault="0035220F" w:rsidP="0035220F">
      <w:pPr>
        <w:pStyle w:val="Vir"/>
      </w:pPr>
      <w:r>
        <w:t>Vir: Ministrstvo za delo, družino, socialne zadeve in enake možnosti</w:t>
      </w:r>
    </w:p>
    <w:p w14:paraId="57E43C75" w14:textId="6F503BE2" w:rsidR="0035220F" w:rsidRDefault="0035220F" w:rsidP="0035220F">
      <w:pPr>
        <w:pStyle w:val="Naslov2"/>
      </w:pPr>
      <w:r>
        <w:t>Vlada sprejela odgovor na pisno poslansko vprašanje Jelke Godec v zvezi z Uradom za nadzor, kakovost in investicije v zdravstvenem sistemu</w:t>
      </w:r>
    </w:p>
    <w:p w14:paraId="69F04365" w14:textId="77777777" w:rsidR="0035220F" w:rsidRDefault="0035220F" w:rsidP="0035220F">
      <w:r>
        <w:t xml:space="preserve">Poslanka Državnega zbora Republike Slovenije Jelka Godec je na Vlado RS naslovila pisno poslansko vprašanje v zvezi z Uradom za nadzor, kakovost in investicije v zdravstvenem sistemu. </w:t>
      </w:r>
    </w:p>
    <w:p w14:paraId="4156734D" w14:textId="77777777" w:rsidR="0035220F" w:rsidRDefault="0035220F" w:rsidP="0035220F"/>
    <w:p w14:paraId="2C92233F" w14:textId="77777777" w:rsidR="0035220F" w:rsidRDefault="0035220F" w:rsidP="0035220F">
      <w:r>
        <w:t xml:space="preserve">Vlada v odgovoru pojasnjuje pričakovanja predsednika vlade, da Urad za nadzor, kakovost in investicije v zdravstvu (UNKIZ) pri izvajanju in nadzoru investicij ravna zakonito, odgovorno in gospodarno. Direktor UNIKZ, Aleš </w:t>
      </w:r>
      <w:proofErr w:type="spellStart"/>
      <w:r>
        <w:t>Šabeder</w:t>
      </w:r>
      <w:proofErr w:type="spellEnd"/>
      <w:r>
        <w:t>, ima potrebna znanja, kompetence in izkušnje, da svoje delo opravlja kakovostno in odgovorno. V odgovoru so predstavljeni tudi konkretni rezultati projektov UNKIZ z obrazložitvami.</w:t>
      </w:r>
    </w:p>
    <w:p w14:paraId="7D5EEC4B" w14:textId="77777777" w:rsidR="0035220F" w:rsidRDefault="0035220F" w:rsidP="0035220F"/>
    <w:p w14:paraId="3D9BF33B" w14:textId="77777777" w:rsidR="0035220F" w:rsidRDefault="0035220F" w:rsidP="0035220F">
      <w:r>
        <w:t xml:space="preserve">Velik del podražitev projektov je posledica spremenjenih razmer na trgu, ki so podražile skorajda vse projekte. Del podražitev investicij v zdravstvu pa je posledica slabo pripravljene projektne dokumentacije, kar se odraža v neuspelih postopkih javnega naročanja. Zato je treba novelirati investicijsko dokumentacijo in ponavljati postopke javnega naročanja. Vlada meni, da nastale situacije ni bilo mogoče predvideti, zato se podražitvam ni mogoče izogniti. </w:t>
      </w:r>
    </w:p>
    <w:p w14:paraId="22CEED2F" w14:textId="77777777" w:rsidR="0035220F" w:rsidRDefault="0035220F" w:rsidP="0035220F">
      <w:pPr>
        <w:pStyle w:val="Vir"/>
      </w:pPr>
      <w:r>
        <w:t>Vir: Kabinet predsednika vlade</w:t>
      </w:r>
    </w:p>
    <w:p w14:paraId="776DFA3D" w14:textId="370C96EF" w:rsidR="0035220F" w:rsidRDefault="0035220F" w:rsidP="0035220F">
      <w:pPr>
        <w:pStyle w:val="Naslov2"/>
      </w:pPr>
      <w:r>
        <w:t xml:space="preserve">Vlada sprejela odgovor na pisno poslansko vprašanje Karmen Furman v zvezi z izjavo predsednika Strateškega sveta za zdravstvo Erika Breclja  </w:t>
      </w:r>
    </w:p>
    <w:p w14:paraId="5125F204" w14:textId="77777777" w:rsidR="0035220F" w:rsidRDefault="0035220F" w:rsidP="0035220F">
      <w:r>
        <w:t xml:space="preserve">Poslanka Državnega zbora Republike Slovenije Karmen Furman je na Vlado RS naslovila pisno poslansko vprašanje v zvezi z izjavo predsednika Strateškega sveta za zdravstvo Erika Breclja. </w:t>
      </w:r>
    </w:p>
    <w:p w14:paraId="37C26709" w14:textId="77777777" w:rsidR="0035220F" w:rsidRDefault="0035220F" w:rsidP="0035220F"/>
    <w:p w14:paraId="37F7871B" w14:textId="77777777" w:rsidR="0035220F" w:rsidRDefault="0035220F" w:rsidP="0035220F">
      <w:r>
        <w:lastRenderedPageBreak/>
        <w:t xml:space="preserve">Vlada v odgovoru pojasnjuje, da dr. Erik Brecelj že vrsto let opozarja na anomalije in nepravilnosti v zdravstvu. Predsednik vlade zato povsem zaupa njegovemu znanju in izkušnjam, na podlagi katerih bomo lahko s skupnimi močmi naredili pomemben korak k preglednemu in učinkovitemu javnemu zdravstvu. </w:t>
      </w:r>
    </w:p>
    <w:p w14:paraId="2E06F18C" w14:textId="77777777" w:rsidR="0035220F" w:rsidRDefault="0035220F" w:rsidP="0035220F"/>
    <w:p w14:paraId="5B6D606C" w14:textId="77777777" w:rsidR="0035220F" w:rsidRDefault="0035220F" w:rsidP="0035220F">
      <w:r>
        <w:t xml:space="preserve">Zdravstvena reforma je ena ključnih prednostnih nalog vlade, pomembno področje, ki ga bo reforma naslovila, pa je digitalizacija zdravstva za večjo transparentnost sistema. </w:t>
      </w:r>
    </w:p>
    <w:p w14:paraId="0E1903E7" w14:textId="77777777" w:rsidR="0035220F" w:rsidRDefault="0035220F" w:rsidP="0035220F"/>
    <w:p w14:paraId="70B76146" w14:textId="45CD95EC" w:rsidR="0035220F" w:rsidRDefault="0035220F" w:rsidP="0035220F">
      <w:r>
        <w:t xml:space="preserve">Vlada podpira vsa prizadevanja za zmanjševanje in odpravo korupcije na vseh področjih, ne le v zdravstvu. </w:t>
      </w:r>
    </w:p>
    <w:p w14:paraId="461BA8A6" w14:textId="77777777" w:rsidR="0035220F" w:rsidRDefault="0035220F" w:rsidP="0035220F">
      <w:pPr>
        <w:pStyle w:val="Vir"/>
      </w:pPr>
      <w:r>
        <w:t>Vir: Kabinet predsednika vlade</w:t>
      </w:r>
    </w:p>
    <w:p w14:paraId="2E21C9A3" w14:textId="4C060857" w:rsidR="0035220F" w:rsidRDefault="0035220F" w:rsidP="0035220F">
      <w:pPr>
        <w:pStyle w:val="Naslov2"/>
      </w:pPr>
      <w:r>
        <w:t>Vlada sprejela Odgovor na pisno poslansko vprašanje Jelke Godec</w:t>
      </w:r>
    </w:p>
    <w:p w14:paraId="61414A2E" w14:textId="1E7AD111" w:rsidR="0035220F" w:rsidRDefault="0035220F" w:rsidP="0035220F">
      <w:r>
        <w:t>Vlada je sprejela Odgovor na pisno poslansko vprašanje Jelke Godec v zvezi s plačami v javnem sektorju in ga posreduje Državnemu zboru Republike Slovenije.</w:t>
      </w:r>
    </w:p>
    <w:p w14:paraId="20C7A9FE" w14:textId="77777777" w:rsidR="0035220F" w:rsidRDefault="0035220F" w:rsidP="0035220F"/>
    <w:p w14:paraId="26D1429A" w14:textId="77777777" w:rsidR="0035220F" w:rsidRDefault="0035220F" w:rsidP="0035220F">
      <w:r>
        <w:t xml:space="preserve">Poslanka v vprašanju izpostavlja neenakost plačila med moškimi in ženskami. </w:t>
      </w:r>
    </w:p>
    <w:p w14:paraId="44F4D2CE" w14:textId="77777777" w:rsidR="0035220F" w:rsidRDefault="0035220F" w:rsidP="0035220F"/>
    <w:p w14:paraId="7F47FFE6" w14:textId="77777777" w:rsidR="0035220F" w:rsidRDefault="0035220F" w:rsidP="0035220F">
      <w:r>
        <w:t xml:space="preserve">Vlada v odgovoru pojasnjuje, da se načelo enakega plačila za delo na primerljivih delovnih mestih, nazivih in funkcijah uporablja ne glede na spol in je uzakonjeno z Zakonom o sistemu plač v javnem sektorju (ZSPJS). Tudi sicer veljavni normativni okvir ne dopušča, da bi se plače razlikovale glede na spol. </w:t>
      </w:r>
    </w:p>
    <w:p w14:paraId="08311D4F" w14:textId="77777777" w:rsidR="0035220F" w:rsidRDefault="0035220F" w:rsidP="0035220F"/>
    <w:p w14:paraId="5F3E11D3" w14:textId="77777777" w:rsidR="0035220F" w:rsidRDefault="0035220F" w:rsidP="0035220F">
      <w:r>
        <w:t>Inšpekcija za plače v javnem sektorju, ki opravlja inšpekcijski nadzor nad izvajanjem določb ZSPJS in na njegovi podlagi izdanih izvršilnih predpisov ter kolektivnih pogodb in splošnih aktov delodajalca, od leta 2020 dalje ni prejela nobene prijave za inšpekcijski nadzor v zvezi z vprašanjem diskriminacije oziroma neenakosti po spolu pri določanju plač v javnem sektorju, posledično v tej smeri v Inšpektoratu za javni sektor niso bili opravljeni inšpekcijski nadzori, v katerih bi se ugotavljalo in ukrepalo zaradi neenakosti v plačah zaradi spola.</w:t>
      </w:r>
    </w:p>
    <w:p w14:paraId="0F8E98F8" w14:textId="5A32F62D" w:rsidR="0035220F" w:rsidRDefault="0035220F" w:rsidP="0035220F">
      <w:pPr>
        <w:pStyle w:val="Vir"/>
      </w:pPr>
      <w:r>
        <w:t>Vir: Ministrstvo za javno upravo</w:t>
      </w:r>
    </w:p>
    <w:p w14:paraId="77745354" w14:textId="31E39F87" w:rsidR="00434885" w:rsidRDefault="00434885" w:rsidP="00434885">
      <w:pPr>
        <w:pStyle w:val="Naslov2"/>
      </w:pPr>
      <w:r>
        <w:t>O bolniški odsotnosti zaradi menstruacije tudi s socialnimi partnerji</w:t>
      </w:r>
    </w:p>
    <w:p w14:paraId="02639D4C" w14:textId="046BD1F7" w:rsidR="00434885" w:rsidRDefault="00434885" w:rsidP="00434885">
      <w:r>
        <w:t xml:space="preserve">Vlada je sprejela Odgovor na pisno poslansko pobudo mag. </w:t>
      </w:r>
      <w:proofErr w:type="spellStart"/>
      <w:r>
        <w:t>Meire</w:t>
      </w:r>
      <w:proofErr w:type="spellEnd"/>
      <w:r>
        <w:t xml:space="preserve"> Hot, Nataše Sukič in Lucije Tacer v zvezi s pravicami iz dela zaradi reproduktivnega zdravja žensk in ga pošlje Državnemu zboru.</w:t>
      </w:r>
    </w:p>
    <w:p w14:paraId="4024E15F" w14:textId="77777777" w:rsidR="00434885" w:rsidRDefault="00434885" w:rsidP="00434885"/>
    <w:p w14:paraId="61E6D06D" w14:textId="77777777" w:rsidR="00434885" w:rsidRDefault="00434885" w:rsidP="00434885">
      <w:r>
        <w:t>Pobudnice predlagajo, da se pristopi k preučitvi in pripravi ukrepov, ki bi zmanjšali neenakost na delovnem mestu glede na osebne okoliščine, zlasti uvedbo možnosti koriščenja bolniške odsotnosti z dela iz naslova menstruacije po zgledu Španije, brez potrebe po zdravniškem potrdilu, vnaprejšnjem napovedovanju odsotnosti ali koriščenju dopusta. Obenem pa ocenjujejo, da se menstruacija (ki ima lahko resne kratkoročne fizične posledice – bolečine) obravnava na podoben način kot primerljiva bolečinska stanja.</w:t>
      </w:r>
    </w:p>
    <w:p w14:paraId="7F5B7499" w14:textId="77777777" w:rsidR="00434885" w:rsidRDefault="00434885" w:rsidP="00434885"/>
    <w:p w14:paraId="72950186" w14:textId="6F8CC97B" w:rsidR="00434885" w:rsidRDefault="00434885" w:rsidP="00434885">
      <w:r>
        <w:t>Vlada v odgovoru ugotavlja, da je bolniški stalež v Republiki urejen tudi za omenjene zdravstvene težave. Pravico do odsotnosti z dela zaradi boleče menstruacije imajo zavarovanke v Sloveniji pod enakimi pogoji, kot to velja sicer za ugotavljanje in priznavanje začasne nezmožnosti za delo pri drugih boleznih glede na zdravstveno stanje in delovno mesto, ki ga zavarovanka opravlja. Se bo pa v aktualnih pogajanjih pri socialnih partnerjih preverilo, ali obstaja soglasje za bolj ugodno urejanje bolniške odsotnosti iz naslova ponavljajoče se boleče menstruacije.</w:t>
      </w:r>
    </w:p>
    <w:p w14:paraId="596859E7" w14:textId="77777777" w:rsidR="00434885" w:rsidRDefault="00434885" w:rsidP="00434885"/>
    <w:p w14:paraId="134DE63C" w14:textId="77777777" w:rsidR="00434885" w:rsidRDefault="00434885" w:rsidP="00434885">
      <w:r>
        <w:t>V letu 2022 je bilo zaradi boleče menstruacije (</w:t>
      </w:r>
      <w:proofErr w:type="spellStart"/>
      <w:r>
        <w:t>dismenoreje</w:t>
      </w:r>
      <w:proofErr w:type="spellEnd"/>
      <w:r>
        <w:t xml:space="preserve">) po podatkih Zavoda za zdravstveno zavarovanje v bolniškem staležu 940 zavarovank, skupno število dni odsotnosti iz tega razloga je bilo 2.852 delovnih dni. </w:t>
      </w:r>
    </w:p>
    <w:p w14:paraId="2E86542E" w14:textId="77777777" w:rsidR="00434885" w:rsidRDefault="00434885" w:rsidP="00434885"/>
    <w:p w14:paraId="2718908A" w14:textId="2F08D26B" w:rsidR="00434885" w:rsidRDefault="00434885" w:rsidP="00434885">
      <w:r>
        <w:t>Glede dostopa do menstrualnih pripomočkov Vlada RS pojasnjuje, da se je zavezala, da bo to problematiko uredila v okviru Operativnega programa materialne pomoči preko Ministrstva za delo, družino, socialne zadeve in enake možnosti, in sicer na način, ki bo glede dostopnosti do menstrualnih pripomočkov enakopravno obravnaval vse ženske, ki si jih ne morejo privoščiti. V odgovoru na poziv Študentske organizacije Slovenije in Dijaške organizacije Slovenije k zagotovitvi brezplačnih menstrualnih higienskih pripomočkov v sanitarijah izobraževalnih ustanov ter drugih javnih objektih je Vlada RS med drugim poudarila, da nasprotuje razdeljevanju higienskih pripomočkov glede na socialni kriterij izključno v vzgojno-izobraževalnih zavodih, brez ustrezno izdelanih kriterijev.</w:t>
      </w:r>
    </w:p>
    <w:p w14:paraId="701AF1EA" w14:textId="7A050AC6" w:rsidR="00434885" w:rsidRPr="00434885" w:rsidRDefault="00434885" w:rsidP="00434885">
      <w:pPr>
        <w:pStyle w:val="Vir"/>
      </w:pPr>
      <w:r w:rsidRPr="00434885">
        <w:t>Vir: Ministrstvo za delo, družino, socialne zadeve in enake možnosti</w:t>
      </w:r>
    </w:p>
    <w:p w14:paraId="79822996" w14:textId="6DCA239F" w:rsidR="00F14A4C" w:rsidRDefault="00065F56" w:rsidP="00D96530">
      <w:pPr>
        <w:pStyle w:val="Naslov2"/>
      </w:pPr>
      <w:r>
        <w:t>D</w:t>
      </w:r>
      <w:r w:rsidR="00543FC5">
        <w:t>opolnitev odgovora na poslansko vprašanje Jelke Godec v zvezi s programom dela vlade za leto 2023</w:t>
      </w:r>
    </w:p>
    <w:p w14:paraId="08724BB6" w14:textId="7EC5711C" w:rsidR="00D96530" w:rsidRDefault="00D96530" w:rsidP="00D96530">
      <w:r>
        <w:t>Vlada je na današnji seji sprejela odgovor na zahtevo za dopolnitev odgovora na poslansko vprašanje Jelke Godec v zvezi s programom dela vlade za leto 2023 in ga pošlje Državnemu zboru.</w:t>
      </w:r>
    </w:p>
    <w:p w14:paraId="23CF4B7A" w14:textId="77777777" w:rsidR="00D96530" w:rsidRDefault="00D96530" w:rsidP="00D96530"/>
    <w:p w14:paraId="628F504C" w14:textId="77777777" w:rsidR="00D96530" w:rsidRDefault="00D96530" w:rsidP="00D96530">
      <w:r>
        <w:t>Poslanka Jelka Godec je preko predsednice Državnega zbora na vlado naslovila zahtevo za dopolnitev odgovora na poslansko vprašanje v zvezi s programom dela vlade za leto 2023. Poslanko dodatno zanima, na podlagi katerih dokumentov Vlada Republike Slovenije deluje, v katerih dokumentih ima Vlada Republike Slovenije opredeljene postopke in roke za svoje delo, na kateri podlagi vlada ocenjuje delo, realizacijo in uspešnost svojega dela ter ali vlada namerava obravnavati in sprejeti program dela Vlade Republike Slovenije za leto 2023? Če da, kdaj, če ne, zakaj ne?</w:t>
      </w:r>
    </w:p>
    <w:p w14:paraId="2F0870AB" w14:textId="77777777" w:rsidR="00D96530" w:rsidRDefault="00D96530" w:rsidP="00D96530"/>
    <w:p w14:paraId="71D709AA" w14:textId="7791442B" w:rsidR="00D96530" w:rsidRDefault="00D96530" w:rsidP="00D96530">
      <w:r>
        <w:t>Vlada s tem v zvezi odgovarja, da načrtovanje dela vlade opredeljuje 5. poglavje Poslovnika Vlade Republike Slovenije (v nadaljnjem besedilu: poslovnik). V skladu z 41. členom poslovnika vlada določi svoje prednostne naloge s programom dela vlade. Program dela vlade lahko obsega proračunske dokumente, okvirni načrt normativne dejavnosti in druge dokumente, s katerimi vlada opredeli področja, katerim se bo prednostno posvečala. Iz citirane določbe poslovnika torej izhaja, da so dokumenti, ki tvorijo program dela vlade, primeroma opredeljeni, odločitev vsakokratne vlade pa je, s katerimi dokumenti bo opredelila prednostna področja svojega delovanja.</w:t>
      </w:r>
    </w:p>
    <w:p w14:paraId="619AABC7" w14:textId="77777777" w:rsidR="00D96530" w:rsidRDefault="00D96530" w:rsidP="00D96530"/>
    <w:p w14:paraId="05BCD63A" w14:textId="77777777" w:rsidR="00D96530" w:rsidRDefault="00D96530" w:rsidP="00D96530">
      <w:r>
        <w:t xml:space="preserve">Vlada v nadaljevanju predstavi le nekaj pomembnejših dokumentov, ki opredeljujejo prioritete in cilje vlade. (npr. proračunski memorandum, proračunske dokumente za leto 2023 in 2024, Strategijo razvoja Slovenije 2030, Program evropske kohezijske politike v obdobju 2021-2027 v Sloveniji, Načrt za okrevanje in odpornost, Nacionalni reformni program 2023). Vlada pa mora, ki je v skladu z 2. členom Zakona o Vladi Republike Slovenije odgovorna za urejenost razmer na vseh področjih iz pristojnosti države, med drugim svoje delovanje prilagajati tudi nepredvidenim, nepričakovanim dogodkom, ki terjajo nujno ali čimprejšnje ukrepanje. Teh ukrepov že zaradi njihove naključnosti v načrtu normativne dejavnosti ni možno načrtovati.   </w:t>
      </w:r>
    </w:p>
    <w:p w14:paraId="6C714ACE" w14:textId="6348BF86" w:rsidR="00F14A4C" w:rsidRDefault="00416C42" w:rsidP="00416C42">
      <w:pPr>
        <w:pStyle w:val="Vir"/>
      </w:pPr>
      <w:r w:rsidRPr="00416C42">
        <w:t>Vir: Generalni sekretariat vlade</w:t>
      </w:r>
    </w:p>
    <w:p w14:paraId="1A197F86" w14:textId="501C0277" w:rsidR="00CF4366" w:rsidRDefault="00CF4366" w:rsidP="00CF4366">
      <w:pPr>
        <w:pStyle w:val="Naslov2"/>
      </w:pPr>
      <w:r>
        <w:t xml:space="preserve">Vlada sprejela pobudo o sklenitvi sporazuma o zaposlovanju  med Slovenijo in Srbijo  </w:t>
      </w:r>
    </w:p>
    <w:p w14:paraId="496A43F9" w14:textId="5D975CC8" w:rsidR="00CF4366" w:rsidRDefault="00CF4366" w:rsidP="00CF4366">
      <w:r>
        <w:lastRenderedPageBreak/>
        <w:t>Vlada je sprejela pobudo za sklenitev Sporazuma med Vlado Republike Slovenije in Vlado Republike Srbije o zaposlovanju državljanov Republike Slovenije v Republiki Srbiji in zaposlovanju državljanov Republike Srbije v Republiki Sloveniji in Protokola o izvajanju Sporazuma med Vlado Republike Slovenije in Vlado Republike Srbije o zaposlovanju državljanov Republike Slovenije v Republiki Srbiji in zaposlovanju državljanov Republike Srbije v Republiki Sloveniji in jo pošlje v potrditev Odboru za zunanjo politiko Državnega zbora Republike Slovenije.</w:t>
      </w:r>
    </w:p>
    <w:p w14:paraId="498E736A" w14:textId="77777777" w:rsidR="00CF4366" w:rsidRDefault="00CF4366" w:rsidP="00CF4366"/>
    <w:p w14:paraId="78EE7987" w14:textId="77777777" w:rsidR="00CF4366" w:rsidRDefault="00CF4366" w:rsidP="00CF4366">
      <w:r>
        <w:t>Predlog novega sporazuma v veliki meri sledi rešitvam obstoječega sporazuma, ki ga bo nadomestil. Namen sprememb je v izboljšanju zaščite delavcev in utrditvi njihovega delovno pravnega položaja na trgu dela v drugi pogodbenici in v tej zvezi v odpravi nekaterih pomanjkljivosti, ki so se pokazale pri izvajanju do sedaj veljavnega sporazuma v praksi in ki so bile večkrat izpostavljene ob pojavih kršitev pravic tujih delavcev.</w:t>
      </w:r>
    </w:p>
    <w:p w14:paraId="2FD69320" w14:textId="77777777" w:rsidR="00CF4366" w:rsidRDefault="00CF4366" w:rsidP="00CF4366"/>
    <w:p w14:paraId="55D6F2EA" w14:textId="77777777" w:rsidR="00CF4366" w:rsidRDefault="00CF4366" w:rsidP="00CF4366">
      <w:r>
        <w:t>Sedanji sporazum ureja le zaposlovanje delavcev iz Republike Srbije v Republiki Sloveniji in ne tudi zaposlovanja slovenskih delavcev v Republiki Srbiji. Republika Srbija je izrazila željo, da bi se sporazum uporabljal vzajemno - tako za zaposlovanje srbskih delavcev v Republiki Sloveniji, kot tudi za zaposlovanje slovenskih delavcev v Republiki Srbiji. Ta in druge v nadaljevanju navedene predvidene spremembe pa pomenijo vsebinsko in konceptualno spremembo ureditve ter narekujejo med drugim tudi spremembo naslova sporazuma, vsega tega pa z vidika pravno-sistemske skladnosti in sledljivosti ureditve ni mogoče uresničiti v obliki sprememb in dopolnitev obstoječega sporazuma. Zato predlagamo sklenitev novega sporazuma, ki bo nadomestil obstoječi sporazum.</w:t>
      </w:r>
    </w:p>
    <w:p w14:paraId="7A8B9CC7" w14:textId="77777777" w:rsidR="00CF4366" w:rsidRDefault="00CF4366" w:rsidP="00CF4366"/>
    <w:p w14:paraId="590A7C05" w14:textId="77777777" w:rsidR="00CF4366" w:rsidRDefault="00CF4366" w:rsidP="00CF4366">
      <w:r>
        <w:t>Druga ključna sprememba se nanaša na problematiko enoletne vezanosti delavca na delodajalca, pri katerem je delavec pridobil dovoljenje za zaposlitev. V skladu z veljavnim sporazumom mora namreč biti prvo leto zaposlitve delavec migrant zaposlen pri delodajalcu, ki je vložil vlogo za izdajo dovoljenja, oziroma pri njegovem pravnem nasledniku. Z novim sporazumom se predlaga možnost zamenjave delodajalca že v prvem letu zaposlitve in pridobitve novega delovnega dovoljenja.</w:t>
      </w:r>
    </w:p>
    <w:p w14:paraId="6C98692C" w14:textId="77777777" w:rsidR="00CF4366" w:rsidRDefault="00CF4366" w:rsidP="00CF4366"/>
    <w:p w14:paraId="2E07A19D" w14:textId="77777777" w:rsidR="00CF4366" w:rsidRDefault="00CF4366" w:rsidP="00CF4366">
      <w:r>
        <w:t>Predlaga se tudi, da se pogodba o zaposlitvi delavcu zagotovi v jeziku, ki ga razume, oziroma v uradnih jezikih pogodbenic. Ta sprememba sledi namenu boljšega informiranja delavcev o njihovih pravicah in obveznostih, ki jih vsebuje pogodba o zaposlitvi.</w:t>
      </w:r>
    </w:p>
    <w:p w14:paraId="27448CF6" w14:textId="77777777" w:rsidR="00CF4366" w:rsidRDefault="00CF4366" w:rsidP="00CF4366"/>
    <w:p w14:paraId="0BE08B0B" w14:textId="77777777" w:rsidR="00CF4366" w:rsidRDefault="00CF4366" w:rsidP="00CF4366">
      <w:r>
        <w:t>Nadalje se predlaga, da se dovoljenje, izdano po sporazumu, vroči delavcu preko službe za zaposlovanje v državi pogodbenici, saj v dosedanji praksi, ko se dovoljenje vroči delodajalcu, ki bo ga moral izročiti delavcu, do tega velikokrat ne pride. Dovoljenje, izdano po sporazumu je poleg pogodbe o zaposlitvi ključni dokument, ki izkazuje delavčev delovno pravni status v drugi pogodbenici in zato je potrebno zagotoviti, da delavec  z njim razpolaga.</w:t>
      </w:r>
    </w:p>
    <w:p w14:paraId="6DC25D88" w14:textId="77777777" w:rsidR="00CF4366" w:rsidRDefault="00CF4366" w:rsidP="00CF4366"/>
    <w:p w14:paraId="548B1CBF" w14:textId="77777777" w:rsidR="00CF4366" w:rsidRDefault="00CF4366" w:rsidP="00CF4366">
      <w:r>
        <w:t>Slovenska stran bo v okviru pogajanj dodatno predlagala tudi spremembo določbe iz obstoječega sporazuma, ki od delavca migranta, kandidata za zaposlitev v Republiki Sloveniji, zahteva vključitev v evidenco brezposelnih oseb. Ta obveznost kandidata za zaposlitev sili v prekinitev morebitnega delovnega razmerja, pri čemer se lahko na ustrezno dokumentacijo za zaposlitev v Republiki Sloveniji čaka tudi več mesecev. S tem se potiska kandidata za zaposlitev v nezavidljiv, brezposeln, položaj, zato bo slovenska stran predlagala drugačen sistem beleženja migracijskih tokov med državama, po vzoru evidence iskalcev zaposlitve (vpis v tovrstno evidenco ne zahteva prekinitve delovnega razmerja).</w:t>
      </w:r>
    </w:p>
    <w:p w14:paraId="1B156754" w14:textId="1068986E" w:rsidR="00CF4366" w:rsidRDefault="00CF4366" w:rsidP="00CF4366">
      <w:pPr>
        <w:pStyle w:val="Vir"/>
      </w:pPr>
      <w:r>
        <w:t xml:space="preserve"> </w:t>
      </w:r>
      <w:r w:rsidRPr="00CF4366">
        <w:t>Vir: Ministrstvo za delo, družino, socialne zadeve in enake možnosti</w:t>
      </w:r>
    </w:p>
    <w:p w14:paraId="7DF443D0" w14:textId="6F6F7E9F" w:rsidR="004B1C99" w:rsidRPr="004B1C99" w:rsidRDefault="004B1C99" w:rsidP="004B1C99">
      <w:pPr>
        <w:pStyle w:val="Naslov2"/>
      </w:pPr>
      <w:r>
        <w:t>Predlog</w:t>
      </w:r>
      <w:r w:rsidRPr="004B1C99">
        <w:t xml:space="preserve"> amandmaja k Predlogu zakona o spremembah in dopolnitvah Zakona o informacijski varnosti. </w:t>
      </w:r>
    </w:p>
    <w:p w14:paraId="1EDA8DEE" w14:textId="77777777" w:rsidR="004B1C99" w:rsidRPr="004B1C99" w:rsidRDefault="004B1C99" w:rsidP="004B1C99">
      <w:pPr>
        <w:spacing w:line="240" w:lineRule="auto"/>
        <w:rPr>
          <w:rFonts w:cs="Arial"/>
          <w:szCs w:val="20"/>
        </w:rPr>
      </w:pPr>
    </w:p>
    <w:p w14:paraId="4183B79B" w14:textId="77777777" w:rsidR="004B1C99" w:rsidRPr="004B1C99" w:rsidRDefault="004B1C99" w:rsidP="004B1C99">
      <w:pPr>
        <w:spacing w:line="240" w:lineRule="auto"/>
        <w:rPr>
          <w:rFonts w:cs="Arial"/>
          <w:szCs w:val="20"/>
        </w:rPr>
      </w:pPr>
      <w:r w:rsidRPr="004B1C99">
        <w:rPr>
          <w:rFonts w:cs="Arial"/>
          <w:szCs w:val="20"/>
        </w:rPr>
        <w:t xml:space="preserve">Predlagani amandma je bil potreben zaradi uskladitve z mnenjem Zakonodajno-pravne službe Državnega zbora Republike Slovenije (v nadaljnjem besedilu ZPS). </w:t>
      </w:r>
    </w:p>
    <w:p w14:paraId="75278E78" w14:textId="77777777" w:rsidR="004B1C99" w:rsidRPr="004B1C99" w:rsidRDefault="004B1C99" w:rsidP="004B1C99">
      <w:pPr>
        <w:spacing w:line="240" w:lineRule="auto"/>
        <w:rPr>
          <w:rFonts w:cs="Arial"/>
          <w:szCs w:val="20"/>
        </w:rPr>
      </w:pPr>
    </w:p>
    <w:p w14:paraId="099197A5" w14:textId="77777777" w:rsidR="004B1C99" w:rsidRPr="004B1C99" w:rsidRDefault="004B1C99" w:rsidP="004B1C99">
      <w:pPr>
        <w:spacing w:line="240" w:lineRule="auto"/>
        <w:rPr>
          <w:rFonts w:cs="Arial"/>
          <w:szCs w:val="20"/>
        </w:rPr>
      </w:pPr>
      <w:r w:rsidRPr="004B1C99">
        <w:rPr>
          <w:rFonts w:cs="Arial"/>
          <w:szCs w:val="20"/>
        </w:rPr>
        <w:t xml:space="preserve">Iz mnenja ZPS k 4. členu Predloga zakona izhaja, da naslov novega 18.a člena Zakona o informacijski varnosti (v nadaljnjem besedilu </w:t>
      </w:r>
      <w:proofErr w:type="spellStart"/>
      <w:r w:rsidRPr="004B1C99">
        <w:rPr>
          <w:rFonts w:cs="Arial"/>
          <w:szCs w:val="20"/>
        </w:rPr>
        <w:t>ZInfV</w:t>
      </w:r>
      <w:proofErr w:type="spellEnd"/>
      <w:r w:rsidRPr="004B1C99">
        <w:rPr>
          <w:rFonts w:cs="Arial"/>
          <w:szCs w:val="20"/>
        </w:rPr>
        <w:t xml:space="preserve">), ne odraža bistvene vsebine tega člena, saj predlagani člen ne opredeljuje povezanih subjektov kot zavezancev po </w:t>
      </w:r>
      <w:proofErr w:type="spellStart"/>
      <w:r w:rsidRPr="004B1C99">
        <w:rPr>
          <w:rFonts w:cs="Arial"/>
          <w:szCs w:val="20"/>
        </w:rPr>
        <w:t>ZInfV</w:t>
      </w:r>
      <w:proofErr w:type="spellEnd"/>
      <w:r w:rsidRPr="004B1C99">
        <w:rPr>
          <w:rFonts w:cs="Arial"/>
          <w:szCs w:val="20"/>
        </w:rPr>
        <w:t xml:space="preserve">, temveč določa njihove obveznosti na področju informacijske varnosti. Naslov člena je bilo treba zato ustrezno spremeniti. </w:t>
      </w:r>
    </w:p>
    <w:p w14:paraId="317346C5" w14:textId="77777777" w:rsidR="004B1C99" w:rsidRPr="004B1C99" w:rsidRDefault="004B1C99" w:rsidP="004B1C99">
      <w:pPr>
        <w:spacing w:line="240" w:lineRule="auto"/>
        <w:rPr>
          <w:rFonts w:cs="Arial"/>
          <w:szCs w:val="20"/>
        </w:rPr>
      </w:pPr>
    </w:p>
    <w:p w14:paraId="2E6EC564" w14:textId="77777777" w:rsidR="004B1C99" w:rsidRPr="004B1C99" w:rsidRDefault="004B1C99" w:rsidP="004B1C99">
      <w:pPr>
        <w:spacing w:line="240" w:lineRule="auto"/>
        <w:rPr>
          <w:rFonts w:cs="Arial"/>
          <w:szCs w:val="20"/>
        </w:rPr>
      </w:pPr>
      <w:r w:rsidRPr="004B1C99">
        <w:rPr>
          <w:rFonts w:cs="Arial"/>
          <w:szCs w:val="20"/>
        </w:rPr>
        <w:t xml:space="preserve">Ob tem predlagani amandma, s tem ko se je dodal nov četrti odstavek novega 18. a člena, hkrati primerno upošteva tudi mnenje ZPS k 1. členu predlaganega zakona. ZPS je namreč opozorila, da manjka opredelitev pojma centralno informacijsko-komunikacijsko omrežje in je zato ustrezno definicijo treba podati v enem izmed členov Zakona o informacijski varnosti, ki jih predlog zakon spreminja oziroma dopolnjuje. </w:t>
      </w:r>
    </w:p>
    <w:p w14:paraId="6A974E4A" w14:textId="77777777" w:rsidR="004B1C99" w:rsidRPr="004B1C99" w:rsidRDefault="004B1C99" w:rsidP="004B1C99">
      <w:pPr>
        <w:spacing w:line="240" w:lineRule="auto"/>
        <w:rPr>
          <w:rFonts w:cs="Arial"/>
          <w:szCs w:val="20"/>
        </w:rPr>
      </w:pPr>
    </w:p>
    <w:p w14:paraId="49A3593B" w14:textId="77777777" w:rsidR="004B1C99" w:rsidRPr="004B1C99" w:rsidRDefault="004B1C99" w:rsidP="004B1C99">
      <w:pPr>
        <w:spacing w:line="240" w:lineRule="auto"/>
        <w:rPr>
          <w:rFonts w:cs="Arial"/>
          <w:szCs w:val="20"/>
        </w:rPr>
      </w:pPr>
      <w:r w:rsidRPr="004B1C99">
        <w:rPr>
          <w:rFonts w:cs="Arial"/>
          <w:szCs w:val="20"/>
        </w:rPr>
        <w:t>Ker Predlog zakona uporablja besedno zvezo »centralno državno informacijsko-komunikacijsko omrežje oziroma sistem, ki je v četrti alineji prvega odstavka novega 18.a člena okrajšana na »(v nadaljnjem besedilu: centralni informacijsko-komunikacijski sistem)«, se s predlaganim novim četrtim odstavkom novega 18.a člena opredeljuje »centralni informacijsko-komunikacijski sistem.«</w:t>
      </w:r>
    </w:p>
    <w:p w14:paraId="16D27E63" w14:textId="44A539BF" w:rsidR="00F14A4C" w:rsidRPr="004B1C99" w:rsidRDefault="004B1C99" w:rsidP="004B1C99">
      <w:pPr>
        <w:pStyle w:val="Vir"/>
      </w:pPr>
      <w:r>
        <w:t xml:space="preserve">Vir: </w:t>
      </w:r>
      <w:r>
        <w:t>Urad Vlade RS za informacijsko varnost</w:t>
      </w:r>
    </w:p>
    <w:p w14:paraId="60496A89" w14:textId="6A09D1AC" w:rsidR="006A558E" w:rsidRDefault="006A558E" w:rsidP="006A558E">
      <w:pPr>
        <w:pStyle w:val="Naslov2"/>
      </w:pPr>
      <w:r>
        <w:t xml:space="preserve">Novi vršilec dolžnosti direktorja Direktorata za šport bo mag. Dejan </w:t>
      </w:r>
      <w:proofErr w:type="spellStart"/>
      <w:r>
        <w:t>Plastovski</w:t>
      </w:r>
      <w:proofErr w:type="spellEnd"/>
    </w:p>
    <w:p w14:paraId="140D1F55" w14:textId="15BD927F" w:rsidR="006A558E" w:rsidRDefault="006A558E" w:rsidP="006A558E">
      <w:r>
        <w:t xml:space="preserve">Vlada je izdala odločbo o imenovanju mag. Dejana </w:t>
      </w:r>
      <w:proofErr w:type="spellStart"/>
      <w:r>
        <w:t>Plastovskega</w:t>
      </w:r>
      <w:proofErr w:type="spellEnd"/>
      <w:r>
        <w:t xml:space="preserve"> za vršilca dolžnosti generalnega direktorja Direktorata za šport na Ministrstvu za gospodarstvo, turizem in šport z dnem 20. aprila 2023, in sicer do imenovanja direktorja, vendar največ za šest mesecev, to je najdlje do 19. oktobra 2023. </w:t>
      </w:r>
    </w:p>
    <w:p w14:paraId="5677B860" w14:textId="77777777" w:rsidR="006A558E" w:rsidRDefault="006A558E" w:rsidP="006A558E"/>
    <w:p w14:paraId="49E91311" w14:textId="77777777" w:rsidR="006A558E" w:rsidRDefault="006A558E" w:rsidP="006A558E">
      <w:r>
        <w:t>Vršilca dolžnosti generalnega direktorja je vlada predlagala, ker je sedanji vršilki dolžnosti, dr. Petri Robnik z dnem 19. aprila 2023 potekel 6-mesečni mandat ter zaradi zagotovitve nemotenega dela direktorata. Minister bo Uradniškemu svetu hkrati podal predlog za začetek postopka izvedbe javnega natečaja za položaj generalnega direktorja Direktorata za šport v Ministrstvu za gospodarstvo, turizem in šport.</w:t>
      </w:r>
    </w:p>
    <w:p w14:paraId="0D8D4500" w14:textId="77777777" w:rsidR="006A558E" w:rsidRDefault="006A558E" w:rsidP="006A558E"/>
    <w:p w14:paraId="7F9CD1F6" w14:textId="77777777" w:rsidR="006A558E" w:rsidRDefault="006A558E" w:rsidP="006A558E">
      <w:r>
        <w:t>Vir: Ministrstvo za gospodarstvo, turizem in šport</w:t>
      </w:r>
    </w:p>
    <w:p w14:paraId="3E2FB6B7" w14:textId="77777777" w:rsidR="006A558E" w:rsidRDefault="006A558E" w:rsidP="006A558E"/>
    <w:p w14:paraId="4763468A" w14:textId="0AE01003" w:rsidR="00BE0DB3" w:rsidRDefault="00BE0DB3" w:rsidP="00BE0DB3">
      <w:pPr>
        <w:pStyle w:val="Naslov2"/>
      </w:pPr>
      <w:r>
        <w:t xml:space="preserve">Imenovan nov član uprave Ustanove – Center za evropsko prihodnost </w:t>
      </w:r>
    </w:p>
    <w:p w14:paraId="4FF399A1" w14:textId="50D2FDE8" w:rsidR="00BE0DB3" w:rsidRDefault="00BE0DB3" w:rsidP="00BE0DB3">
      <w:r>
        <w:t xml:space="preserve">Vlada je za člana uprave Ustanove – Center za evropsko prihodnost imenovala mag. </w:t>
      </w:r>
      <w:proofErr w:type="spellStart"/>
      <w:r>
        <w:t>Anžeja</w:t>
      </w:r>
      <w:proofErr w:type="spellEnd"/>
      <w:r>
        <w:t xml:space="preserve"> Frangeša, vršilca dolžnosti generalnega direktorja Direktorata za evropske v Ministrstvu za zunanje in evropske zadeve, ki bo nadomestil mag. Ksenijo Škrilec.</w:t>
      </w:r>
    </w:p>
    <w:p w14:paraId="6278E956" w14:textId="77777777" w:rsidR="00BE0DB3" w:rsidRDefault="00BE0DB3" w:rsidP="00BE0DB3">
      <w:pPr>
        <w:pStyle w:val="Vir"/>
      </w:pPr>
      <w:r>
        <w:t>Vir: Ministrstvo za zunanje in evropske zadeve</w:t>
      </w:r>
    </w:p>
    <w:p w14:paraId="244FE9C2" w14:textId="3C097B8B" w:rsidR="0052521B" w:rsidRDefault="0052521B" w:rsidP="0052521B">
      <w:pPr>
        <w:pStyle w:val="Naslov2"/>
      </w:pPr>
      <w:r>
        <w:t>Vlada ustanovila medresorsko delovno skupino za usmerjanje Celovitega strateškega projekta razogljičenja Slovenije preko prehoda v krožno gospodarstvo</w:t>
      </w:r>
    </w:p>
    <w:p w14:paraId="09839498" w14:textId="52D558C3" w:rsidR="0052521B" w:rsidRDefault="0052521B" w:rsidP="0052521B">
      <w:r>
        <w:t>Vlada je sprejela Sklep o ustanovitvi Delovne skupine vlade za usmerjanje Celovitega strateškega projekta razogljičenja Slovenije preko prehoda v krožno gospodarstvo.</w:t>
      </w:r>
    </w:p>
    <w:p w14:paraId="17E84C1C" w14:textId="77777777" w:rsidR="0052521B" w:rsidRDefault="0052521B" w:rsidP="0052521B"/>
    <w:p w14:paraId="45BC8D30" w14:textId="5DBB25CD" w:rsidR="0052521B" w:rsidRDefault="0052521B" w:rsidP="0052521B">
      <w:r>
        <w:t xml:space="preserve">Vlada je 13. oktobra 2022 sprejela sklep, s katerim je opredelila način izvajanja 2. faze Celovitega strateškega projekta razogljičenja Slovenije preko prehoda na krožno gospodarstvo (CSP-KG) in potrdila načrt izvedbe 2. faze projekta. Z omenjenim sklepom je vlada tudi določila, </w:t>
      </w:r>
      <w:r>
        <w:lastRenderedPageBreak/>
        <w:t>da se za izvajanje načrta 2. faze projekta imenuje delovna skupina, ki jo sestavljajo državni sekretarji sodelujočih ministrstev ter njihovi namestniki.</w:t>
      </w:r>
    </w:p>
    <w:p w14:paraId="6D813B0F" w14:textId="77777777" w:rsidR="0052521B" w:rsidRDefault="0052521B" w:rsidP="0052521B"/>
    <w:p w14:paraId="11C39960" w14:textId="77777777" w:rsidR="0052521B" w:rsidRDefault="0052521B" w:rsidP="0052521B">
      <w:r>
        <w:t xml:space="preserve">Delovno skupino vodi državni sekretar na Ministrstvu za javno upravo Urban Kodrič. Ne glede na to, da so v vladno skupino imenovani le predstavniki nekaterih ministrstev, se bodo v delo delovne skupine redno lahko vključevali tudi drugi resorji, saj je njihovo sodelovanje prav tako pomembno za horizontalno uskladitev vsebin, doseganje predvidenih </w:t>
      </w:r>
      <w:proofErr w:type="spellStart"/>
      <w:r>
        <w:t>sinergijskih</w:t>
      </w:r>
      <w:proofErr w:type="spellEnd"/>
      <w:r>
        <w:t xml:space="preserve"> učinkov projekta in usklajenosti različnih politik in programov bodisi v fazi njihovega načrtovanja bodisi v fazi njihove izvedbe.</w:t>
      </w:r>
    </w:p>
    <w:p w14:paraId="17DFB325" w14:textId="77777777" w:rsidR="0052521B" w:rsidRDefault="0052521B" w:rsidP="0052521B"/>
    <w:p w14:paraId="7BE85FEA" w14:textId="77777777" w:rsidR="0052521B" w:rsidRDefault="0052521B" w:rsidP="0052521B">
      <w:r>
        <w:t>Delovna skupina bo med drugim spremljala in usmerjala izvajanje projekta na ravni vlade, zagotavljala učinkovito vključevanje rezultatov projekta in podnebnih ter krožnih vsebin v pripravo in izvajanje strateških in sektorskih politik, programov in predpisov ter pripadajočih ukrepov v okviru pristojnosti posameznega resorja in nenazadnje predlagala tudi organizacijske ali vsebinske spremembe pri izvajanju projekta.</w:t>
      </w:r>
    </w:p>
    <w:p w14:paraId="3FE787F9" w14:textId="18FC3A9F" w:rsidR="008A099D" w:rsidRDefault="0052521B" w:rsidP="0052521B">
      <w:pPr>
        <w:pStyle w:val="Vir"/>
      </w:pPr>
      <w:r w:rsidRPr="0052521B">
        <w:t>Vir: Ministrstvo za javno upravo</w:t>
      </w:r>
    </w:p>
    <w:p w14:paraId="1E62494E" w14:textId="0ECE7B5B" w:rsidR="00C74608" w:rsidRDefault="00C74608" w:rsidP="00C74608">
      <w:pPr>
        <w:pStyle w:val="Naslov2"/>
      </w:pPr>
      <w:r>
        <w:t>Oblikovana Delovna skupina vlade za preobrazbo slovenske avtomobilske industrije</w:t>
      </w:r>
    </w:p>
    <w:p w14:paraId="23C3FD1A" w14:textId="0512E0EB" w:rsidR="00C74608" w:rsidRDefault="00C74608" w:rsidP="00C74608">
      <w:r>
        <w:t xml:space="preserve">Vlada je ustanovila Delovno skupino vlade za preobrazbo slovenske avtomobilske industrije. Skupina bo povezovala in usklajevala medresorske in medsektorske aktivnosti potrebne za preobrazbo slovenske avtomobilske industrije za priložnosti, ki jih zastavljajo tehnološki </w:t>
      </w:r>
      <w:proofErr w:type="spellStart"/>
      <w:r>
        <w:t>megatrendi</w:t>
      </w:r>
      <w:proofErr w:type="spellEnd"/>
      <w:r>
        <w:t xml:space="preserve">, zeleni prehod in elektrifikacija mobilnosti. </w:t>
      </w:r>
    </w:p>
    <w:p w14:paraId="24A86B51" w14:textId="77777777" w:rsidR="00C74608" w:rsidRDefault="00C74608" w:rsidP="00C74608"/>
    <w:p w14:paraId="30D183B8" w14:textId="404B527D" w:rsidR="00C74608" w:rsidRDefault="00C74608" w:rsidP="00C74608">
      <w:r>
        <w:t xml:space="preserve">Potrebe in zahteve po preobrazbi avtomobilske industrije so v tem trenutku na najvišji ravni in so predvsem posledica evropskih zahtev po zniževanju škodljivih emisij, ki izhajajo iz evropskega Zelenega dogovora. Ta od avtomobilske industrije zahteva znižanje emisij CO2 do leta 2030 za 55 % v primerjavi z letom 1990, do leta 2050 pa celo za 90 %. Potrebna preobrazba avtomobilske industrije v Sloveniji brez sistemskih sprememb ne bo mogoča. Ker slovenska avtomobilska industrija prispeva več kot desetino slovenskega bruto domačega proizvoda in več kot petino slovenskega izvoza, je pomembno, da Slovenija sledi zeleni in digitalni transformaciji in s tem omogoči nadaljnji razvoj in napredek tega področja. </w:t>
      </w:r>
    </w:p>
    <w:p w14:paraId="17622E86" w14:textId="77777777" w:rsidR="00C74608" w:rsidRDefault="00C74608" w:rsidP="00C74608"/>
    <w:p w14:paraId="70B7094D" w14:textId="6C29B719" w:rsidR="00C74608" w:rsidRDefault="00C74608" w:rsidP="00C74608">
      <w:r>
        <w:t xml:space="preserve">Predstavniki Slovenskega avtomobilskega grozda ACS so oblikovali vsebino misije GREMO, </w:t>
      </w:r>
      <w:proofErr w:type="spellStart"/>
      <w:r>
        <w:t>GREen</w:t>
      </w:r>
      <w:proofErr w:type="spellEnd"/>
      <w:r>
        <w:t xml:space="preserve"> </w:t>
      </w:r>
      <w:proofErr w:type="spellStart"/>
      <w:r>
        <w:t>MObility</w:t>
      </w:r>
      <w:proofErr w:type="spellEnd"/>
      <w:r>
        <w:t xml:space="preserve">; zelena in digitalna transformacija slovenske avtomobilske industrije. V okviru misije GREMO bodo razvijali in izdelovali nove inovativne izdelke za elektrificirano mobilnost, razvijali vrhunske proizvodne tehnologije, pospešeno uvajali napredno robotiko, avtomatizacijo in digitalizacijo proizvodnje po načelu Industrije 4.0, zagotavljali rešitve krožnega gospodarstva v proizvodnih procesih ter na ta način pomembno pripomogli k zniževanju </w:t>
      </w:r>
      <w:proofErr w:type="spellStart"/>
      <w:r>
        <w:t>okoljskega</w:t>
      </w:r>
      <w:proofErr w:type="spellEnd"/>
      <w:r>
        <w:t xml:space="preserve"> odtisa.</w:t>
      </w:r>
    </w:p>
    <w:p w14:paraId="38ECB88C" w14:textId="77777777" w:rsidR="00C74608" w:rsidRDefault="00C74608" w:rsidP="00C74608">
      <w:r>
        <w:t>Vlada pa je ustanovila delovno skupino, ki bo oblikovala pobude in vsebinska izhodišča za pripravo strateških dokumentov in akcijskih načrtov, podajala predloge za pripravo ukrepov in skrbela za prenos informacij, pobud in predlogov med pristojnimi ministrstvi, slovensko avtomobilsko industrijo in inovacijskim ekosistemom.</w:t>
      </w:r>
    </w:p>
    <w:p w14:paraId="7F4A0418" w14:textId="77777777" w:rsidR="00C74608" w:rsidRDefault="00C74608" w:rsidP="00C74608"/>
    <w:p w14:paraId="6C70AA26" w14:textId="2C9F88A6" w:rsidR="00C74608" w:rsidRDefault="00C74608" w:rsidP="00C74608">
      <w:r>
        <w:t xml:space="preserve">Člani delovne skupine, ki bodo opravljali naloge v okviru svojih rednih delovnih obveznosti, so: </w:t>
      </w:r>
    </w:p>
    <w:p w14:paraId="393C6519" w14:textId="7589761B" w:rsidR="00C74608" w:rsidRDefault="00C74608" w:rsidP="00422822">
      <w:pPr>
        <w:pStyle w:val="Odstavekseznama"/>
        <w:numPr>
          <w:ilvl w:val="0"/>
          <w:numId w:val="3"/>
        </w:numPr>
      </w:pPr>
      <w:r>
        <w:t xml:space="preserve">Matevž Frangež, državni sekretar, Ministrstvo za gospodarstvo, turizem in šport, vodja; </w:t>
      </w:r>
    </w:p>
    <w:p w14:paraId="5CFF3C22" w14:textId="5AFC65CB" w:rsidR="00C74608" w:rsidRDefault="00C74608" w:rsidP="00422822">
      <w:pPr>
        <w:pStyle w:val="Odstavekseznama"/>
        <w:numPr>
          <w:ilvl w:val="0"/>
          <w:numId w:val="3"/>
        </w:numPr>
      </w:pPr>
      <w:r>
        <w:t>mag. Saša Leban, sekretarka, Kabinet predsednika Vlade Republike Slovenije, namestnica vodje;</w:t>
      </w:r>
    </w:p>
    <w:p w14:paraId="46B2CC34" w14:textId="09795749" w:rsidR="00C74608" w:rsidRDefault="00C74608" w:rsidP="00422822">
      <w:pPr>
        <w:pStyle w:val="Odstavekseznama"/>
        <w:numPr>
          <w:ilvl w:val="0"/>
          <w:numId w:val="3"/>
        </w:numPr>
      </w:pPr>
      <w:r>
        <w:t xml:space="preserve">Jernej </w:t>
      </w:r>
      <w:proofErr w:type="spellStart"/>
      <w:r>
        <w:t>Salecl</w:t>
      </w:r>
      <w:proofErr w:type="spellEnd"/>
      <w:r>
        <w:t>, generalni direktor, Direktorat za industrijo, podjetništvo in internacionalizacijo, Ministrstvo za gospodarstvo, turizem in šport, član,</w:t>
      </w:r>
    </w:p>
    <w:p w14:paraId="5450B74A" w14:textId="641AD2D8" w:rsidR="00C74608" w:rsidRDefault="00C74608" w:rsidP="00422822">
      <w:pPr>
        <w:pStyle w:val="Odstavekseznama"/>
        <w:numPr>
          <w:ilvl w:val="0"/>
          <w:numId w:val="3"/>
        </w:numPr>
      </w:pPr>
      <w:proofErr w:type="spellStart"/>
      <w:r>
        <w:t>Nikolina</w:t>
      </w:r>
      <w:proofErr w:type="spellEnd"/>
      <w:r>
        <w:t xml:space="preserve"> Prah, državna sekretarka, Ministrstvo za finance, članica,</w:t>
      </w:r>
    </w:p>
    <w:p w14:paraId="379467E7" w14:textId="23D66DCC" w:rsidR="00C74608" w:rsidRDefault="00C74608" w:rsidP="00422822">
      <w:pPr>
        <w:pStyle w:val="Odstavekseznama"/>
        <w:numPr>
          <w:ilvl w:val="0"/>
          <w:numId w:val="3"/>
        </w:numPr>
      </w:pPr>
      <w:r>
        <w:t>Monika Grom, podsekretarka, Direktorat za javno premoženje, Ministrstvo za finance, namestnica članice,</w:t>
      </w:r>
    </w:p>
    <w:p w14:paraId="5362D079" w14:textId="4D922BD3" w:rsidR="00C74608" w:rsidRDefault="00C74608" w:rsidP="00422822">
      <w:pPr>
        <w:pStyle w:val="Odstavekseznama"/>
        <w:numPr>
          <w:ilvl w:val="0"/>
          <w:numId w:val="3"/>
        </w:numPr>
      </w:pPr>
      <w:r>
        <w:lastRenderedPageBreak/>
        <w:t>Dan Juvan, državni sekretar, Ministrstvo za delo, družino, socialne zadeve in enake možnosti, član,</w:t>
      </w:r>
    </w:p>
    <w:p w14:paraId="10E49DB5" w14:textId="56701415" w:rsidR="00C74608" w:rsidRDefault="00C74608" w:rsidP="00422822">
      <w:pPr>
        <w:pStyle w:val="Odstavekseznama"/>
        <w:numPr>
          <w:ilvl w:val="0"/>
          <w:numId w:val="3"/>
        </w:numPr>
      </w:pPr>
      <w:r>
        <w:t xml:space="preserve">Mojca </w:t>
      </w:r>
      <w:proofErr w:type="spellStart"/>
      <w:r>
        <w:t>Pršina</w:t>
      </w:r>
      <w:proofErr w:type="spellEnd"/>
      <w:r>
        <w:t>, generalna direktorica, Direktorata za trg dela in zaposlovanje, Ministrstvo za delo, družino, socialne zadeve in enake možnosti, namestnica člana,</w:t>
      </w:r>
    </w:p>
    <w:p w14:paraId="2D82E3E0" w14:textId="53674218" w:rsidR="00C74608" w:rsidRDefault="00C74608" w:rsidP="00422822">
      <w:pPr>
        <w:pStyle w:val="Odstavekseznama"/>
        <w:numPr>
          <w:ilvl w:val="0"/>
          <w:numId w:val="3"/>
        </w:numPr>
      </w:pPr>
      <w:r>
        <w:t>mag. Tina Seršen, državna sekretarka, Ministrstvo za okolje, podnebje in energijo, članica,</w:t>
      </w:r>
    </w:p>
    <w:p w14:paraId="116CC7EB" w14:textId="580B0D14" w:rsidR="00C74608" w:rsidRDefault="00C74608" w:rsidP="00422822">
      <w:pPr>
        <w:pStyle w:val="Odstavekseznama"/>
        <w:numPr>
          <w:ilvl w:val="0"/>
          <w:numId w:val="3"/>
        </w:numPr>
      </w:pPr>
      <w:r>
        <w:t>Marija Lesjak, podsekretarka, Direktorat za trajnostno mobilnost in prometno politiko, Ministrstvo za okolje, podnebje in energijo, namestnica članice,</w:t>
      </w:r>
    </w:p>
    <w:p w14:paraId="153E370C" w14:textId="1F8BB0E5" w:rsidR="00C74608" w:rsidRDefault="00C74608" w:rsidP="00422822">
      <w:pPr>
        <w:pStyle w:val="Odstavekseznama"/>
        <w:numPr>
          <w:ilvl w:val="0"/>
          <w:numId w:val="3"/>
        </w:numPr>
      </w:pPr>
      <w:r>
        <w:t xml:space="preserve">dr. </w:t>
      </w:r>
      <w:proofErr w:type="spellStart"/>
      <w:r>
        <w:t>Aida</w:t>
      </w:r>
      <w:proofErr w:type="spellEnd"/>
      <w:r>
        <w:t xml:space="preserve"> </w:t>
      </w:r>
      <w:proofErr w:type="spellStart"/>
      <w:r>
        <w:t>Kamišalić</w:t>
      </w:r>
      <w:proofErr w:type="spellEnd"/>
      <w:r>
        <w:t xml:space="preserve"> </w:t>
      </w:r>
      <w:proofErr w:type="spellStart"/>
      <w:r>
        <w:t>Latifić</w:t>
      </w:r>
      <w:proofErr w:type="spellEnd"/>
      <w:r>
        <w:t>, državna sekretarka, Ministrstvo za digitalno preobrazbo, članica,</w:t>
      </w:r>
    </w:p>
    <w:p w14:paraId="0ED29570" w14:textId="471BBD5C" w:rsidR="00C74608" w:rsidRDefault="00C74608" w:rsidP="00422822">
      <w:pPr>
        <w:pStyle w:val="Odstavekseznama"/>
        <w:numPr>
          <w:ilvl w:val="0"/>
          <w:numId w:val="3"/>
        </w:numPr>
      </w:pPr>
      <w:r>
        <w:t>dr. Til Rozman, vršilec dolžnosti generalnega direktorja, Direktorat za digitalno družbo, Ministrstvo za digitalno preobrazbo, namestnik člana,</w:t>
      </w:r>
    </w:p>
    <w:p w14:paraId="3FBBA781" w14:textId="63510A19" w:rsidR="00C74608" w:rsidRDefault="00C74608" w:rsidP="00422822">
      <w:pPr>
        <w:pStyle w:val="Odstavekseznama"/>
        <w:numPr>
          <w:ilvl w:val="0"/>
          <w:numId w:val="3"/>
        </w:numPr>
      </w:pPr>
      <w:r>
        <w:t>mag. Marko Koprivc, državni sekretar, Ministrstvo za kohezijo in regionalni razvoj, član,</w:t>
      </w:r>
    </w:p>
    <w:p w14:paraId="1D15D416" w14:textId="68C1AAD0" w:rsidR="00C74608" w:rsidRDefault="00C74608" w:rsidP="00422822">
      <w:pPr>
        <w:pStyle w:val="Odstavekseznama"/>
        <w:numPr>
          <w:ilvl w:val="0"/>
          <w:numId w:val="3"/>
        </w:numPr>
      </w:pPr>
      <w:r>
        <w:t>Jože Petkovšek, podsekretar, Sektor za koordinacijo pametne specializacije, Ministrstvo za kohezijo in regionalni razvoj, namestnik člana,</w:t>
      </w:r>
    </w:p>
    <w:p w14:paraId="697609C2" w14:textId="10D06FBA" w:rsidR="00C74608" w:rsidRDefault="00C74608" w:rsidP="00422822">
      <w:pPr>
        <w:pStyle w:val="Odstavekseznama"/>
        <w:numPr>
          <w:ilvl w:val="0"/>
          <w:numId w:val="3"/>
        </w:numPr>
      </w:pPr>
      <w:r>
        <w:t>dr. Jurij Gašparič, državni sekretar, Ministrstvo za visoko šolstvo, znanost in inovacije, član,</w:t>
      </w:r>
    </w:p>
    <w:p w14:paraId="70615966" w14:textId="12417D83" w:rsidR="00C74608" w:rsidRDefault="00C74608" w:rsidP="00422822">
      <w:pPr>
        <w:pStyle w:val="Odstavekseznama"/>
        <w:numPr>
          <w:ilvl w:val="0"/>
          <w:numId w:val="3"/>
        </w:numPr>
      </w:pPr>
      <w:r>
        <w:t>dr. Tomaž Boh, direktor Direktorata za znanost, Ministrstvo za visoko šolstvo, znanost in inovacije, namestnik člana,</w:t>
      </w:r>
    </w:p>
    <w:p w14:paraId="61AF9CE8" w14:textId="21573B54" w:rsidR="00C74608" w:rsidRDefault="00C74608" w:rsidP="00422822">
      <w:pPr>
        <w:pStyle w:val="Odstavekseznama"/>
        <w:numPr>
          <w:ilvl w:val="0"/>
          <w:numId w:val="3"/>
        </w:numPr>
      </w:pPr>
      <w:r>
        <w:t>mag. Matej Skočir, državni sekretar, Ministrstvo za naravne vire in prostor, član,</w:t>
      </w:r>
    </w:p>
    <w:p w14:paraId="29235E0E" w14:textId="1680BB05" w:rsidR="00C74608" w:rsidRDefault="00C74608" w:rsidP="00422822">
      <w:pPr>
        <w:pStyle w:val="Odstavekseznama"/>
        <w:numPr>
          <w:ilvl w:val="0"/>
          <w:numId w:val="3"/>
        </w:numPr>
      </w:pPr>
      <w:r>
        <w:t>Marko Maver, sekretar v Kabinetu ministra, Ministrstvo za naravne vire in prostor, namestnik člana,</w:t>
      </w:r>
    </w:p>
    <w:p w14:paraId="4CDBF688" w14:textId="1454924E" w:rsidR="00C74608" w:rsidRDefault="00C74608" w:rsidP="00E71201">
      <w:pPr>
        <w:pStyle w:val="Odstavekseznama"/>
        <w:numPr>
          <w:ilvl w:val="0"/>
          <w:numId w:val="3"/>
        </w:numPr>
      </w:pPr>
      <w:r>
        <w:t xml:space="preserve">Jernej Pavlič, sekretar v Kabinetu ministrice, Ministrstvo za infrastrukturo, član, </w:t>
      </w:r>
    </w:p>
    <w:p w14:paraId="2D8DA922" w14:textId="2653B219" w:rsidR="00C74608" w:rsidRDefault="00C74608" w:rsidP="00422822">
      <w:pPr>
        <w:pStyle w:val="Odstavekseznama"/>
        <w:numPr>
          <w:ilvl w:val="0"/>
          <w:numId w:val="4"/>
        </w:numPr>
      </w:pPr>
      <w:r>
        <w:t xml:space="preserve">dr. Matej Vovk, sekretar - vodja Nacionalnega centra za upravljanje prometa, Ministrstvo za infrastrukturo, namestnik člana, </w:t>
      </w:r>
    </w:p>
    <w:p w14:paraId="2E9E3C25" w14:textId="173A1DD6" w:rsidR="00C74608" w:rsidRDefault="00C74608" w:rsidP="00422822">
      <w:pPr>
        <w:pStyle w:val="Odstavekseznama"/>
        <w:numPr>
          <w:ilvl w:val="0"/>
          <w:numId w:val="4"/>
        </w:numPr>
      </w:pPr>
      <w:r>
        <w:t xml:space="preserve">dr. Damir </w:t>
      </w:r>
      <w:proofErr w:type="spellStart"/>
      <w:r>
        <w:t>Črnčec</w:t>
      </w:r>
      <w:proofErr w:type="spellEnd"/>
      <w:r>
        <w:t>, državni sekretar, Ministrstvo za obrambo, član,</w:t>
      </w:r>
    </w:p>
    <w:p w14:paraId="0776132A" w14:textId="07274E13" w:rsidR="00C74608" w:rsidRDefault="00C74608" w:rsidP="00422822">
      <w:pPr>
        <w:pStyle w:val="Odstavekseznama"/>
        <w:numPr>
          <w:ilvl w:val="0"/>
          <w:numId w:val="4"/>
        </w:numPr>
      </w:pPr>
      <w:r>
        <w:t xml:space="preserve">polkovnik Robert </w:t>
      </w:r>
      <w:proofErr w:type="spellStart"/>
      <w:r>
        <w:t>Šipec</w:t>
      </w:r>
      <w:proofErr w:type="spellEnd"/>
      <w:r>
        <w:t>, Ministrstvo za obrambo, namestnik člana.</w:t>
      </w:r>
    </w:p>
    <w:p w14:paraId="57C9DCD1" w14:textId="77777777" w:rsidR="00C74608" w:rsidRDefault="00C74608" w:rsidP="00C74608"/>
    <w:p w14:paraId="76291E5B" w14:textId="77777777" w:rsidR="00C74608" w:rsidRDefault="00C74608" w:rsidP="00C74608">
      <w:r>
        <w:t xml:space="preserve">Delovna skupina preneha delovati po izpolnitvi nalog, določenih s tem sklepom in o tem poroča vladi z zaključnim poročilom. </w:t>
      </w:r>
    </w:p>
    <w:p w14:paraId="6A14504A" w14:textId="77777777" w:rsidR="00C74608" w:rsidRDefault="00C74608" w:rsidP="00C74608">
      <w:pPr>
        <w:pStyle w:val="Vir"/>
      </w:pPr>
      <w:r>
        <w:t>Vir: Ministrstvo za gospodarstvo, turizem in šport</w:t>
      </w:r>
    </w:p>
    <w:p w14:paraId="223D9DBE" w14:textId="61BD4745" w:rsidR="00091AD2" w:rsidRDefault="00091AD2" w:rsidP="00091AD2">
      <w:pPr>
        <w:pStyle w:val="Naslov2"/>
      </w:pPr>
      <w:r>
        <w:t>Vlada sprejela sklep o ustanovitvi Medresorske delovne skupine za implementacijo priporočil Evropske komisije o zaščiti novinarjev in zagovornikov človekovih pravic</w:t>
      </w:r>
    </w:p>
    <w:p w14:paraId="1D0AC5F1" w14:textId="77777777" w:rsidR="00091AD2" w:rsidRDefault="00091AD2" w:rsidP="00091AD2">
      <w:r>
        <w:t>Vlada je sprejela sklep o ustanovitvi Medresorske delovne skupine za implementacijo Priporočil Evropske komisije o zaščiti novinarjev in zagovornikov človekovih pravic, ki se udejstvujejo pri udeležbi javnosti, pred neutemeljenimi in zlorabljenimi sodnimi postopki.</w:t>
      </w:r>
    </w:p>
    <w:p w14:paraId="4158804C" w14:textId="77777777" w:rsidR="00091AD2" w:rsidRDefault="00091AD2" w:rsidP="00091AD2"/>
    <w:p w14:paraId="7B3EC3F7" w14:textId="77777777" w:rsidR="00091AD2" w:rsidRDefault="00091AD2" w:rsidP="00091AD2">
      <w:r>
        <w:t>Na podlagi dogovora med Ministrstvom za kulturo in Ministrstvom za pravosodje se imenuje Medresorska delovna skupina za implementacijo Priporočil Evropske komisije o zaščiti novinarjev in zagovornikov človekovih pravic, ki se udejstvujejo pri udeležbi javnosti, pred neutemeljenimi in zlorabljenimi sodnimi postopki. Člani delovne skupine so: dr. Blaž Mazi, Vršilec dolžnosti generalnega direktorja Direktorata za medije, Ministrstvo za kulturo, vodja delovne skupine, Lenart J. Kučič, svetovalec ministrice, Ministrstvo za kulturo, član, Branko Jezovšek, sekretar, Ministrstvo za kulturo, član, Jana Lovšin, vodja Sektorja za evropske zadeve in mednarodno sodelovanje, Ministrstvo za pravosodje, članica, Maja Velič, sekretarka v Uradu za mednarodno sodelovanje in mednarodno pravno pomoč, Ministrstvo za pravosodje, članica in Jurij Mesec, sekretar v Sektorju za evropske zadeve in mednarodno sodelovanje, Ministrstvo za pravosodje, član.</w:t>
      </w:r>
    </w:p>
    <w:p w14:paraId="6B23E85B" w14:textId="77777777" w:rsidR="00091AD2" w:rsidRDefault="00091AD2" w:rsidP="00091AD2"/>
    <w:p w14:paraId="5B95D994" w14:textId="77777777" w:rsidR="00091AD2" w:rsidRDefault="00091AD2" w:rsidP="00091AD2">
      <w:r>
        <w:t xml:space="preserve">Delovna skupina skrbi za medsebojno informiranje o poteku implementacije priporočil, skrbi za usklajeno medresorsko promocijo priporočil, za usklajeno sodelovanje resorjev glede na </w:t>
      </w:r>
      <w:r>
        <w:lastRenderedPageBreak/>
        <w:t>tematske sklope projekta, izvede javni razpis za vzpostavitev informacijske točke ter opravlja druge naloge povezane z implementacijo priporočil v širši nacionalni in mednarodni kontekst.</w:t>
      </w:r>
    </w:p>
    <w:p w14:paraId="3BEAF6F4" w14:textId="6B704A3C" w:rsidR="0081753F" w:rsidRDefault="0081753F" w:rsidP="00091AD2">
      <w:pPr>
        <w:pStyle w:val="Vir"/>
      </w:pPr>
      <w:r w:rsidRPr="0081753F">
        <w:t>Vir: Ministrstvo za kulturo</w:t>
      </w:r>
    </w:p>
    <w:p w14:paraId="04263D3E" w14:textId="25089B69" w:rsidR="00ED6004" w:rsidRDefault="00ED6004" w:rsidP="00ED6004">
      <w:pPr>
        <w:pStyle w:val="Naslov2"/>
      </w:pPr>
      <w:r>
        <w:t>Sklep o spremembi Sklepa o ustanovitvi Sveta Vlade RS za vprašanja narodnih skupnosti pripadnikov narodov nekdanje SFRJ v Republiki Sloveniji</w:t>
      </w:r>
    </w:p>
    <w:p w14:paraId="72C1891F" w14:textId="77777777" w:rsidR="00ED6004" w:rsidRDefault="00ED6004" w:rsidP="00ED6004">
      <w:r>
        <w:t>Vlada je sprejela Sklep o spremembi Sklepa o ustanovitvi Sveta Vlade RS za vprašanja narodnih skupnosti pripadnikov narodov nekdanje SFRJ v Republiki Sloveniji.</w:t>
      </w:r>
    </w:p>
    <w:p w14:paraId="3C67DCD6" w14:textId="77777777" w:rsidR="00ED6004" w:rsidRDefault="00ED6004" w:rsidP="00ED6004"/>
    <w:p w14:paraId="778FDD93" w14:textId="77777777" w:rsidR="00ED6004" w:rsidRDefault="00ED6004" w:rsidP="00ED6004">
      <w:r>
        <w:t>Vlada je sprejela Sklep o spremembi Sklepa o ustanovitvi Sveta Vlade RS za vprašanja narodnih skupnosti pripadnikov narodov nekdanje SFRJ v Republiki Sloveniji, in sicer se namesto predstavnika nekdanjega Ministrstva za izobraževanje, znanost in šport imenuje predstavnik Ministrstva za vzgojo in izobraževanje ter namesto predstavnika nekdanjega Ministrstva za zunanje zadeve predstavnik Ministrstva za zunanje in evropske zadeve.</w:t>
      </w:r>
    </w:p>
    <w:p w14:paraId="4016A979" w14:textId="77777777" w:rsidR="00ED6004" w:rsidRDefault="00ED6004" w:rsidP="00ED6004"/>
    <w:p w14:paraId="407063A5" w14:textId="77777777" w:rsidR="00ED6004" w:rsidRDefault="00ED6004" w:rsidP="00ED6004">
      <w:r>
        <w:t>Sprememba Sklepa o ustanovitvi Sveta Vlade Republike Slovenije za vprašanja narodnih skupnosti pripadnikov narodov nekdanje SFRJ v Republiki Sloveniji se predlaga zaradi spremembe Zakona o Vladi Republike Slovenije.</w:t>
      </w:r>
    </w:p>
    <w:p w14:paraId="6E470FD1" w14:textId="532233DC" w:rsidR="008A099D" w:rsidRDefault="0081753F" w:rsidP="00ED6004">
      <w:pPr>
        <w:pStyle w:val="Vir"/>
      </w:pPr>
      <w:r w:rsidRPr="0081753F">
        <w:t>Vir: Ministrstvo za kulturo</w:t>
      </w:r>
    </w:p>
    <w:p w14:paraId="3736C32E" w14:textId="61F63181" w:rsidR="008A099D" w:rsidRDefault="00357D44" w:rsidP="00357D44">
      <w:pPr>
        <w:pStyle w:val="Naslov2"/>
      </w:pPr>
      <w:r>
        <w:t>S</w:t>
      </w:r>
      <w:r w:rsidR="008A099D">
        <w:t>prememb</w:t>
      </w:r>
      <w:r>
        <w:t>a</w:t>
      </w:r>
      <w:r w:rsidR="008A099D">
        <w:t xml:space="preserve"> </w:t>
      </w:r>
      <w:r>
        <w:t>s</w:t>
      </w:r>
      <w:r w:rsidR="008A099D">
        <w:t>klepa o imenovanju članov Sveta Vlade Republike Slovenije za vprašanja narodnih skupnosti pripadnikov narodov nekdanje SFRJ v Republiki Sloveniji</w:t>
      </w:r>
    </w:p>
    <w:p w14:paraId="2B6DDF39" w14:textId="77777777" w:rsidR="00357D44" w:rsidRDefault="00357D44" w:rsidP="00357D44">
      <w:r>
        <w:t xml:space="preserve">Vlada je z mesta članov Sveta Vlade RS za vprašanja narodnih skupnosti pripadnikov narodov nekdanje SFRJ v Republiki Sloveniji razrešila dr. Simono Zavratnik, </w:t>
      </w:r>
      <w:proofErr w:type="spellStart"/>
      <w:r>
        <w:t>Bronko</w:t>
      </w:r>
      <w:proofErr w:type="spellEnd"/>
      <w:r>
        <w:t xml:space="preserve"> </w:t>
      </w:r>
      <w:proofErr w:type="spellStart"/>
      <w:r>
        <w:t>Straus</w:t>
      </w:r>
      <w:proofErr w:type="spellEnd"/>
      <w:r>
        <w:t xml:space="preserve"> in Kristino Radej in namesto njih za čas do poteka mandatov članov sveta imenovala: Uršo Židan, </w:t>
      </w:r>
      <w:proofErr w:type="spellStart"/>
      <w:r>
        <w:t>Bronko</w:t>
      </w:r>
      <w:proofErr w:type="spellEnd"/>
      <w:r>
        <w:t xml:space="preserve"> </w:t>
      </w:r>
      <w:proofErr w:type="spellStart"/>
      <w:r>
        <w:t>Straus</w:t>
      </w:r>
      <w:proofErr w:type="spellEnd"/>
      <w:r>
        <w:t xml:space="preserve"> in Milana Predana prav tako pa je sprejela Sklep o spremembi Sklepa o imenovanju članov Sveta.</w:t>
      </w:r>
    </w:p>
    <w:p w14:paraId="311955F0" w14:textId="77777777" w:rsidR="00357D44" w:rsidRDefault="00357D44" w:rsidP="00357D44"/>
    <w:p w14:paraId="05E801B0" w14:textId="77777777" w:rsidR="00357D44" w:rsidRDefault="00357D44" w:rsidP="00357D44">
      <w:r>
        <w:t xml:space="preserve">Sprememba Sklepa o imenovanju članov Sveta Vlade RS za vprašanja narodnih skupnosti pripadnikov narodov nekdanje SFRJ v Republiki Sloveniji se predlaga zaradi spremembe Zakona o Vladi Republike Slovenij in zaradi spremembe v vodstveni ekipi Ministrstva za notranje zadeve. </w:t>
      </w:r>
    </w:p>
    <w:p w14:paraId="7B1F809E" w14:textId="77777777" w:rsidR="00357D44" w:rsidRDefault="00357D44" w:rsidP="00357D44"/>
    <w:p w14:paraId="0296231D" w14:textId="77777777" w:rsidR="00357D44" w:rsidRDefault="00357D44" w:rsidP="00357D44">
      <w:r>
        <w:t>Predlaga se, da se iz Sveta razreši dosedanja predstavnica Ministrstva za notranje zadeve in vanj imenuje nova predstavnica tega ministrstva. Obenem se v Svet namesto predstavnice nekdanjega Ministrstva za izobraževanje, znanost in šport imenuje predstavnica Ministrstva za vzgojo in izobraževanje ter namesto predstavnice nekdanjega Ministrstva za zunanje zadeve nov predstavnik Ministrstva za zunanje in evropske zadeve.</w:t>
      </w:r>
    </w:p>
    <w:p w14:paraId="2535141E" w14:textId="77777777" w:rsidR="00357D44" w:rsidRDefault="00357D44" w:rsidP="00357D44"/>
    <w:p w14:paraId="00518045" w14:textId="77777777" w:rsidR="00357D44" w:rsidRDefault="00357D44" w:rsidP="00357D44">
      <w:r>
        <w:t xml:space="preserve">Vlada je v Svet Vlade RS za vprašanja narodnih skupnosti pripadnikov narodov nekdanje SFRJ v Republiki Sloveniji  imenovala: dr. </w:t>
      </w:r>
      <w:proofErr w:type="spellStart"/>
      <w:r>
        <w:t>Asto</w:t>
      </w:r>
      <w:proofErr w:type="spellEnd"/>
      <w:r>
        <w:t xml:space="preserve"> Vrečko, predstavnica Ministrstva za kulturo, predsednica; Uršo Židan, predstavnica Ministrstva za notranje zadeve, članica; Milana Predana, predstavnik Ministrstva za zunanje in evropske zadeve, član; mag. Tatjano Strojan, predstavnica Ministrstva za delo, družino, socialne zadeve in enake možnosti, članica; mag. Stanka Baluha, predstavnik Urada Vlade Republike Slovenije za narodnosti, član; </w:t>
      </w:r>
      <w:proofErr w:type="spellStart"/>
      <w:r>
        <w:t>Bronko</w:t>
      </w:r>
      <w:proofErr w:type="spellEnd"/>
      <w:r>
        <w:t xml:space="preserve"> </w:t>
      </w:r>
      <w:proofErr w:type="spellStart"/>
      <w:r>
        <w:t>Straus</w:t>
      </w:r>
      <w:proofErr w:type="spellEnd"/>
      <w:r>
        <w:t xml:space="preserve">, predstavnica Ministrstva za vzgojo in  izobraževanje, članica; mag. Almo </w:t>
      </w:r>
      <w:proofErr w:type="spellStart"/>
      <w:r>
        <w:t>Bejtullahu</w:t>
      </w:r>
      <w:proofErr w:type="spellEnd"/>
      <w:r>
        <w:t xml:space="preserve">, predstavnica albanske narodne skupnosti v Sloveniji, članica; </w:t>
      </w:r>
      <w:proofErr w:type="spellStart"/>
      <w:r>
        <w:t>Fahirja</w:t>
      </w:r>
      <w:proofErr w:type="spellEnd"/>
      <w:r>
        <w:t xml:space="preserve"> </w:t>
      </w:r>
      <w:proofErr w:type="spellStart"/>
      <w:r>
        <w:t>Gutića</w:t>
      </w:r>
      <w:proofErr w:type="spellEnd"/>
      <w:r>
        <w:t xml:space="preserve">, predstavnik bošnjaške narodne skupnosti v Sloveniji, član; Veselina Lakića, predstavnik črnogorske narodne skupnosti v Sloveniji, član; </w:t>
      </w:r>
      <w:proofErr w:type="spellStart"/>
      <w:r>
        <w:t>Đanina</w:t>
      </w:r>
      <w:proofErr w:type="spellEnd"/>
      <w:r>
        <w:t xml:space="preserve"> Kutnjaka, predstavnik hrvaške narodne skupnosti v </w:t>
      </w:r>
      <w:r>
        <w:lastRenderedPageBreak/>
        <w:t xml:space="preserve">Sloveniji, član; dr. Ilijo </w:t>
      </w:r>
      <w:proofErr w:type="spellStart"/>
      <w:r>
        <w:t>Dimitrievskega</w:t>
      </w:r>
      <w:proofErr w:type="spellEnd"/>
      <w:r>
        <w:t xml:space="preserve">, predstavnik makedonske narodne skupnosti v Sloveniji, član; </w:t>
      </w:r>
      <w:proofErr w:type="spellStart"/>
      <w:r>
        <w:t>Krstana</w:t>
      </w:r>
      <w:proofErr w:type="spellEnd"/>
      <w:r>
        <w:t xml:space="preserve"> </w:t>
      </w:r>
      <w:proofErr w:type="spellStart"/>
      <w:r>
        <w:t>Šućurja</w:t>
      </w:r>
      <w:proofErr w:type="spellEnd"/>
      <w:r>
        <w:t>, predstavnik srbske narodne skupnosti v Sloveniji, član.</w:t>
      </w:r>
    </w:p>
    <w:p w14:paraId="4C1C7493" w14:textId="5B7DAD33" w:rsidR="008A099D" w:rsidRDefault="0081753F" w:rsidP="00357D44">
      <w:pPr>
        <w:pStyle w:val="Vir"/>
      </w:pPr>
      <w:r w:rsidRPr="0081753F">
        <w:t>Vir: Ministrstvo za kulturo</w:t>
      </w:r>
      <w:r w:rsidR="008A099D">
        <w:tab/>
      </w:r>
    </w:p>
    <w:sectPr w:rsidR="008A099D"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4BDB8" w14:textId="77777777" w:rsidR="00B64536" w:rsidRDefault="00B64536" w:rsidP="00750D01">
      <w:pPr>
        <w:spacing w:line="240" w:lineRule="auto"/>
      </w:pPr>
      <w:r>
        <w:separator/>
      </w:r>
    </w:p>
  </w:endnote>
  <w:endnote w:type="continuationSeparator" w:id="0">
    <w:p w14:paraId="07594F19" w14:textId="77777777" w:rsidR="00B64536" w:rsidRDefault="00B64536"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D8F4D" w14:textId="77777777" w:rsidR="00B64536" w:rsidRDefault="00B64536" w:rsidP="00750D01">
      <w:pPr>
        <w:spacing w:line="240" w:lineRule="auto"/>
      </w:pPr>
      <w:r>
        <w:separator/>
      </w:r>
    </w:p>
  </w:footnote>
  <w:footnote w:type="continuationSeparator" w:id="0">
    <w:p w14:paraId="4E97BF10" w14:textId="77777777" w:rsidR="00B64536" w:rsidRDefault="00B64536"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A9FF" w14:textId="77777777" w:rsidR="00396FF3" w:rsidRPr="00110CBD" w:rsidRDefault="00000000"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60D"/>
    <w:multiLevelType w:val="hybridMultilevel"/>
    <w:tmpl w:val="73DC395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9C6679"/>
    <w:multiLevelType w:val="hybridMultilevel"/>
    <w:tmpl w:val="582297A6"/>
    <w:lvl w:ilvl="0" w:tplc="196EEF9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5B600E0"/>
    <w:multiLevelType w:val="hybridMultilevel"/>
    <w:tmpl w:val="2B20BC7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7A4051C"/>
    <w:multiLevelType w:val="hybridMultilevel"/>
    <w:tmpl w:val="AC1C3FA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BE6519D"/>
    <w:multiLevelType w:val="hybridMultilevel"/>
    <w:tmpl w:val="BE963A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9A474B1"/>
    <w:multiLevelType w:val="hybridMultilevel"/>
    <w:tmpl w:val="302A0A1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67B2F12"/>
    <w:multiLevelType w:val="hybridMultilevel"/>
    <w:tmpl w:val="C49AD7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6650363">
    <w:abstractNumId w:val="6"/>
  </w:num>
  <w:num w:numId="2" w16cid:durableId="238563668">
    <w:abstractNumId w:val="5"/>
  </w:num>
  <w:num w:numId="3" w16cid:durableId="16778832">
    <w:abstractNumId w:val="3"/>
  </w:num>
  <w:num w:numId="4" w16cid:durableId="1138766497">
    <w:abstractNumId w:val="2"/>
  </w:num>
  <w:num w:numId="5" w16cid:durableId="250045513">
    <w:abstractNumId w:val="0"/>
  </w:num>
  <w:num w:numId="6" w16cid:durableId="605773949">
    <w:abstractNumId w:val="7"/>
  </w:num>
  <w:num w:numId="7" w16cid:durableId="1704094657">
    <w:abstractNumId w:val="4"/>
  </w:num>
  <w:num w:numId="8" w16cid:durableId="25316993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31D"/>
    <w:rsid w:val="00001B64"/>
    <w:rsid w:val="00011E7B"/>
    <w:rsid w:val="000318E4"/>
    <w:rsid w:val="00032878"/>
    <w:rsid w:val="000340AD"/>
    <w:rsid w:val="0003413F"/>
    <w:rsid w:val="0004553F"/>
    <w:rsid w:val="00046964"/>
    <w:rsid w:val="00052E76"/>
    <w:rsid w:val="00053C97"/>
    <w:rsid w:val="00065798"/>
    <w:rsid w:val="00065F56"/>
    <w:rsid w:val="000665AC"/>
    <w:rsid w:val="000701C7"/>
    <w:rsid w:val="00080006"/>
    <w:rsid w:val="000824F1"/>
    <w:rsid w:val="00082787"/>
    <w:rsid w:val="00082D51"/>
    <w:rsid w:val="00082EC2"/>
    <w:rsid w:val="00084601"/>
    <w:rsid w:val="00091AD2"/>
    <w:rsid w:val="00093815"/>
    <w:rsid w:val="00095976"/>
    <w:rsid w:val="00095A23"/>
    <w:rsid w:val="00097B85"/>
    <w:rsid w:val="000A0B95"/>
    <w:rsid w:val="000B19DF"/>
    <w:rsid w:val="000B5324"/>
    <w:rsid w:val="000C68BD"/>
    <w:rsid w:val="000E1D01"/>
    <w:rsid w:val="000E4615"/>
    <w:rsid w:val="000E4AB4"/>
    <w:rsid w:val="000E6410"/>
    <w:rsid w:val="0010457D"/>
    <w:rsid w:val="001063F6"/>
    <w:rsid w:val="00107012"/>
    <w:rsid w:val="00110B8F"/>
    <w:rsid w:val="00112DA3"/>
    <w:rsid w:val="00116C17"/>
    <w:rsid w:val="00140117"/>
    <w:rsid w:val="001434C2"/>
    <w:rsid w:val="00153F1A"/>
    <w:rsid w:val="00156D49"/>
    <w:rsid w:val="001602C9"/>
    <w:rsid w:val="00162807"/>
    <w:rsid w:val="001654B7"/>
    <w:rsid w:val="00166220"/>
    <w:rsid w:val="001677E5"/>
    <w:rsid w:val="00172201"/>
    <w:rsid w:val="001770E1"/>
    <w:rsid w:val="0018431D"/>
    <w:rsid w:val="0019114B"/>
    <w:rsid w:val="00191175"/>
    <w:rsid w:val="0019274C"/>
    <w:rsid w:val="001B01DD"/>
    <w:rsid w:val="001B130B"/>
    <w:rsid w:val="001B1B45"/>
    <w:rsid w:val="001B29B3"/>
    <w:rsid w:val="001B3B65"/>
    <w:rsid w:val="001B6E73"/>
    <w:rsid w:val="001C4A7A"/>
    <w:rsid w:val="001C50D8"/>
    <w:rsid w:val="001D302C"/>
    <w:rsid w:val="001E33AB"/>
    <w:rsid w:val="001E666E"/>
    <w:rsid w:val="001F4010"/>
    <w:rsid w:val="001F487A"/>
    <w:rsid w:val="001F5507"/>
    <w:rsid w:val="00203F5F"/>
    <w:rsid w:val="00205A21"/>
    <w:rsid w:val="0021029B"/>
    <w:rsid w:val="002137F5"/>
    <w:rsid w:val="00215140"/>
    <w:rsid w:val="002262F8"/>
    <w:rsid w:val="00226B50"/>
    <w:rsid w:val="00227CDC"/>
    <w:rsid w:val="002342C4"/>
    <w:rsid w:val="00235777"/>
    <w:rsid w:val="00237092"/>
    <w:rsid w:val="00245CB6"/>
    <w:rsid w:val="00250F29"/>
    <w:rsid w:val="00254D85"/>
    <w:rsid w:val="00257D2A"/>
    <w:rsid w:val="0027023E"/>
    <w:rsid w:val="00277F46"/>
    <w:rsid w:val="002808F2"/>
    <w:rsid w:val="00283D0F"/>
    <w:rsid w:val="0028791D"/>
    <w:rsid w:val="00297E1E"/>
    <w:rsid w:val="002A1FB2"/>
    <w:rsid w:val="002A5853"/>
    <w:rsid w:val="002B09F8"/>
    <w:rsid w:val="002C5B79"/>
    <w:rsid w:val="002D1733"/>
    <w:rsid w:val="002D40C7"/>
    <w:rsid w:val="002D6AF3"/>
    <w:rsid w:val="002E16B4"/>
    <w:rsid w:val="002E3CAA"/>
    <w:rsid w:val="002E41E1"/>
    <w:rsid w:val="002E5698"/>
    <w:rsid w:val="0032378E"/>
    <w:rsid w:val="00324C4C"/>
    <w:rsid w:val="00326192"/>
    <w:rsid w:val="003370FC"/>
    <w:rsid w:val="00351F1A"/>
    <w:rsid w:val="0035220F"/>
    <w:rsid w:val="00352926"/>
    <w:rsid w:val="0035778C"/>
    <w:rsid w:val="00357D44"/>
    <w:rsid w:val="00361255"/>
    <w:rsid w:val="00362383"/>
    <w:rsid w:val="0036240F"/>
    <w:rsid w:val="003638EA"/>
    <w:rsid w:val="0036619C"/>
    <w:rsid w:val="00367593"/>
    <w:rsid w:val="00371B2D"/>
    <w:rsid w:val="003728D5"/>
    <w:rsid w:val="00373142"/>
    <w:rsid w:val="00373F9E"/>
    <w:rsid w:val="00374349"/>
    <w:rsid w:val="00376CED"/>
    <w:rsid w:val="00382790"/>
    <w:rsid w:val="003847C8"/>
    <w:rsid w:val="003877EB"/>
    <w:rsid w:val="0039662C"/>
    <w:rsid w:val="003A478B"/>
    <w:rsid w:val="003A5B29"/>
    <w:rsid w:val="003D0D27"/>
    <w:rsid w:val="003D75C2"/>
    <w:rsid w:val="003E17B6"/>
    <w:rsid w:val="003E6170"/>
    <w:rsid w:val="003E6681"/>
    <w:rsid w:val="003F0942"/>
    <w:rsid w:val="003F1B38"/>
    <w:rsid w:val="004077C2"/>
    <w:rsid w:val="0041355D"/>
    <w:rsid w:val="00415527"/>
    <w:rsid w:val="00416C42"/>
    <w:rsid w:val="00422822"/>
    <w:rsid w:val="00432960"/>
    <w:rsid w:val="00434885"/>
    <w:rsid w:val="0043622F"/>
    <w:rsid w:val="00445081"/>
    <w:rsid w:val="0044587F"/>
    <w:rsid w:val="00457DE0"/>
    <w:rsid w:val="004704E3"/>
    <w:rsid w:val="00471907"/>
    <w:rsid w:val="00471E24"/>
    <w:rsid w:val="00472103"/>
    <w:rsid w:val="00473A24"/>
    <w:rsid w:val="00497F4A"/>
    <w:rsid w:val="004A2507"/>
    <w:rsid w:val="004A65D0"/>
    <w:rsid w:val="004B079F"/>
    <w:rsid w:val="004B12AC"/>
    <w:rsid w:val="004B1C99"/>
    <w:rsid w:val="004B54F7"/>
    <w:rsid w:val="004B7346"/>
    <w:rsid w:val="004C17CA"/>
    <w:rsid w:val="004C1909"/>
    <w:rsid w:val="004C475D"/>
    <w:rsid w:val="004C5EA8"/>
    <w:rsid w:val="004D0794"/>
    <w:rsid w:val="004D13DC"/>
    <w:rsid w:val="004E1FEC"/>
    <w:rsid w:val="004E79FC"/>
    <w:rsid w:val="004F1117"/>
    <w:rsid w:val="004F40B6"/>
    <w:rsid w:val="005153F9"/>
    <w:rsid w:val="005215FC"/>
    <w:rsid w:val="00522637"/>
    <w:rsid w:val="0052521B"/>
    <w:rsid w:val="00527C36"/>
    <w:rsid w:val="00536B56"/>
    <w:rsid w:val="00542791"/>
    <w:rsid w:val="00543FC5"/>
    <w:rsid w:val="0054576E"/>
    <w:rsid w:val="005515BD"/>
    <w:rsid w:val="005549F4"/>
    <w:rsid w:val="00571DB2"/>
    <w:rsid w:val="00577ACB"/>
    <w:rsid w:val="00581E9E"/>
    <w:rsid w:val="00583886"/>
    <w:rsid w:val="00583AF8"/>
    <w:rsid w:val="0059479F"/>
    <w:rsid w:val="005B3DA9"/>
    <w:rsid w:val="005C1523"/>
    <w:rsid w:val="005C2F5A"/>
    <w:rsid w:val="005C3A1C"/>
    <w:rsid w:val="005C4C86"/>
    <w:rsid w:val="005C5331"/>
    <w:rsid w:val="005D2823"/>
    <w:rsid w:val="005E1ABB"/>
    <w:rsid w:val="005E1CDC"/>
    <w:rsid w:val="005E39EE"/>
    <w:rsid w:val="005E3E65"/>
    <w:rsid w:val="005E4CF5"/>
    <w:rsid w:val="005E51D0"/>
    <w:rsid w:val="005F0A79"/>
    <w:rsid w:val="005F494A"/>
    <w:rsid w:val="005F6361"/>
    <w:rsid w:val="00603EC9"/>
    <w:rsid w:val="0061373A"/>
    <w:rsid w:val="00622FB3"/>
    <w:rsid w:val="006325A1"/>
    <w:rsid w:val="006343DD"/>
    <w:rsid w:val="00635131"/>
    <w:rsid w:val="00636E28"/>
    <w:rsid w:val="006435A3"/>
    <w:rsid w:val="00651AF5"/>
    <w:rsid w:val="006607F7"/>
    <w:rsid w:val="00663844"/>
    <w:rsid w:val="00663EB9"/>
    <w:rsid w:val="00664911"/>
    <w:rsid w:val="00676E87"/>
    <w:rsid w:val="00682B0B"/>
    <w:rsid w:val="00684F77"/>
    <w:rsid w:val="00685046"/>
    <w:rsid w:val="00686D95"/>
    <w:rsid w:val="006A558E"/>
    <w:rsid w:val="006B41B3"/>
    <w:rsid w:val="006B56D4"/>
    <w:rsid w:val="006C3070"/>
    <w:rsid w:val="006D03BA"/>
    <w:rsid w:val="006D58A7"/>
    <w:rsid w:val="006E4C7A"/>
    <w:rsid w:val="006F0689"/>
    <w:rsid w:val="006F09D8"/>
    <w:rsid w:val="007036CE"/>
    <w:rsid w:val="007130E1"/>
    <w:rsid w:val="0073796B"/>
    <w:rsid w:val="00743391"/>
    <w:rsid w:val="00750D01"/>
    <w:rsid w:val="007566AE"/>
    <w:rsid w:val="00761282"/>
    <w:rsid w:val="00763C8C"/>
    <w:rsid w:val="00767B7A"/>
    <w:rsid w:val="0077614B"/>
    <w:rsid w:val="007813F2"/>
    <w:rsid w:val="00784EBA"/>
    <w:rsid w:val="00785A0A"/>
    <w:rsid w:val="00792682"/>
    <w:rsid w:val="007959F6"/>
    <w:rsid w:val="007B20D7"/>
    <w:rsid w:val="007B4DCB"/>
    <w:rsid w:val="007B5262"/>
    <w:rsid w:val="007B5DBE"/>
    <w:rsid w:val="007B604B"/>
    <w:rsid w:val="007C0402"/>
    <w:rsid w:val="007C4EBA"/>
    <w:rsid w:val="007C5004"/>
    <w:rsid w:val="007D46F7"/>
    <w:rsid w:val="007E73F0"/>
    <w:rsid w:val="007F29A0"/>
    <w:rsid w:val="00813B9D"/>
    <w:rsid w:val="0081753F"/>
    <w:rsid w:val="00817CFF"/>
    <w:rsid w:val="008241C0"/>
    <w:rsid w:val="0082734C"/>
    <w:rsid w:val="008336E7"/>
    <w:rsid w:val="00833812"/>
    <w:rsid w:val="008432CD"/>
    <w:rsid w:val="008437D5"/>
    <w:rsid w:val="00851567"/>
    <w:rsid w:val="00852AD3"/>
    <w:rsid w:val="00857ADA"/>
    <w:rsid w:val="008624E8"/>
    <w:rsid w:val="00862DE2"/>
    <w:rsid w:val="00867F1D"/>
    <w:rsid w:val="00870EA9"/>
    <w:rsid w:val="0087647E"/>
    <w:rsid w:val="008776D4"/>
    <w:rsid w:val="00881570"/>
    <w:rsid w:val="008905CF"/>
    <w:rsid w:val="00891A71"/>
    <w:rsid w:val="0089405A"/>
    <w:rsid w:val="00895D91"/>
    <w:rsid w:val="008A099D"/>
    <w:rsid w:val="008A7849"/>
    <w:rsid w:val="008B5A09"/>
    <w:rsid w:val="008B7639"/>
    <w:rsid w:val="008B7AF2"/>
    <w:rsid w:val="008C3164"/>
    <w:rsid w:val="008C5EF0"/>
    <w:rsid w:val="008D4EFC"/>
    <w:rsid w:val="008E0F22"/>
    <w:rsid w:val="008E30E6"/>
    <w:rsid w:val="008F1A5B"/>
    <w:rsid w:val="00905C96"/>
    <w:rsid w:val="009108B0"/>
    <w:rsid w:val="009174DA"/>
    <w:rsid w:val="0092414D"/>
    <w:rsid w:val="009278A6"/>
    <w:rsid w:val="0094458F"/>
    <w:rsid w:val="009511AC"/>
    <w:rsid w:val="00952F9F"/>
    <w:rsid w:val="009545F4"/>
    <w:rsid w:val="00961E3E"/>
    <w:rsid w:val="009802FE"/>
    <w:rsid w:val="009965CF"/>
    <w:rsid w:val="009A7470"/>
    <w:rsid w:val="009B4F6B"/>
    <w:rsid w:val="009B6BF4"/>
    <w:rsid w:val="009B79A0"/>
    <w:rsid w:val="009B7C72"/>
    <w:rsid w:val="009C18CF"/>
    <w:rsid w:val="009C288D"/>
    <w:rsid w:val="009C2C98"/>
    <w:rsid w:val="009C2D77"/>
    <w:rsid w:val="009D10D1"/>
    <w:rsid w:val="009D4B6C"/>
    <w:rsid w:val="009E7ED6"/>
    <w:rsid w:val="009F62EE"/>
    <w:rsid w:val="009F7539"/>
    <w:rsid w:val="00A004AA"/>
    <w:rsid w:val="00A03D78"/>
    <w:rsid w:val="00A06971"/>
    <w:rsid w:val="00A17071"/>
    <w:rsid w:val="00A2039C"/>
    <w:rsid w:val="00A23350"/>
    <w:rsid w:val="00A30052"/>
    <w:rsid w:val="00A30E93"/>
    <w:rsid w:val="00A32391"/>
    <w:rsid w:val="00A452CA"/>
    <w:rsid w:val="00A46FE7"/>
    <w:rsid w:val="00A53FB7"/>
    <w:rsid w:val="00A57F59"/>
    <w:rsid w:val="00A61B1E"/>
    <w:rsid w:val="00A62060"/>
    <w:rsid w:val="00A649F0"/>
    <w:rsid w:val="00A70B7C"/>
    <w:rsid w:val="00A7412B"/>
    <w:rsid w:val="00A775BB"/>
    <w:rsid w:val="00A80333"/>
    <w:rsid w:val="00A81EBD"/>
    <w:rsid w:val="00A844C5"/>
    <w:rsid w:val="00A937C4"/>
    <w:rsid w:val="00AA0345"/>
    <w:rsid w:val="00AA1836"/>
    <w:rsid w:val="00AA1F74"/>
    <w:rsid w:val="00AB4F5A"/>
    <w:rsid w:val="00AB68CF"/>
    <w:rsid w:val="00AC09BE"/>
    <w:rsid w:val="00AC7435"/>
    <w:rsid w:val="00AD1AFD"/>
    <w:rsid w:val="00AD4780"/>
    <w:rsid w:val="00AD4D3D"/>
    <w:rsid w:val="00AD5A76"/>
    <w:rsid w:val="00AE6CD6"/>
    <w:rsid w:val="00AE6E69"/>
    <w:rsid w:val="00AE7455"/>
    <w:rsid w:val="00B00D9A"/>
    <w:rsid w:val="00B0354F"/>
    <w:rsid w:val="00B0773D"/>
    <w:rsid w:val="00B07C5D"/>
    <w:rsid w:val="00B10E45"/>
    <w:rsid w:val="00B311A1"/>
    <w:rsid w:val="00B3213B"/>
    <w:rsid w:val="00B3278C"/>
    <w:rsid w:val="00B32905"/>
    <w:rsid w:val="00B3613F"/>
    <w:rsid w:val="00B50DC7"/>
    <w:rsid w:val="00B555CB"/>
    <w:rsid w:val="00B60F58"/>
    <w:rsid w:val="00B64536"/>
    <w:rsid w:val="00B64928"/>
    <w:rsid w:val="00B65385"/>
    <w:rsid w:val="00B753A8"/>
    <w:rsid w:val="00B768EB"/>
    <w:rsid w:val="00B77A5E"/>
    <w:rsid w:val="00B84C36"/>
    <w:rsid w:val="00B90ABC"/>
    <w:rsid w:val="00B93479"/>
    <w:rsid w:val="00B961A7"/>
    <w:rsid w:val="00B961EF"/>
    <w:rsid w:val="00B97699"/>
    <w:rsid w:val="00BA743D"/>
    <w:rsid w:val="00BB0FF8"/>
    <w:rsid w:val="00BB4F45"/>
    <w:rsid w:val="00BC0C7C"/>
    <w:rsid w:val="00BC4903"/>
    <w:rsid w:val="00BD1B84"/>
    <w:rsid w:val="00BE02F6"/>
    <w:rsid w:val="00BE0DB3"/>
    <w:rsid w:val="00BF016A"/>
    <w:rsid w:val="00BF4FE7"/>
    <w:rsid w:val="00BF5025"/>
    <w:rsid w:val="00C002A9"/>
    <w:rsid w:val="00C00A49"/>
    <w:rsid w:val="00C0433C"/>
    <w:rsid w:val="00C0692E"/>
    <w:rsid w:val="00C11BD3"/>
    <w:rsid w:val="00C2093B"/>
    <w:rsid w:val="00C25504"/>
    <w:rsid w:val="00C25BB8"/>
    <w:rsid w:val="00C3134C"/>
    <w:rsid w:val="00C35D12"/>
    <w:rsid w:val="00C4320F"/>
    <w:rsid w:val="00C458C2"/>
    <w:rsid w:val="00C47494"/>
    <w:rsid w:val="00C51681"/>
    <w:rsid w:val="00C5333F"/>
    <w:rsid w:val="00C56F5C"/>
    <w:rsid w:val="00C62692"/>
    <w:rsid w:val="00C65309"/>
    <w:rsid w:val="00C670FA"/>
    <w:rsid w:val="00C73C42"/>
    <w:rsid w:val="00C74608"/>
    <w:rsid w:val="00C8712D"/>
    <w:rsid w:val="00C9141B"/>
    <w:rsid w:val="00C92714"/>
    <w:rsid w:val="00CA03BF"/>
    <w:rsid w:val="00CA105C"/>
    <w:rsid w:val="00CA423B"/>
    <w:rsid w:val="00CB064B"/>
    <w:rsid w:val="00CB2212"/>
    <w:rsid w:val="00CC61A4"/>
    <w:rsid w:val="00CD0479"/>
    <w:rsid w:val="00CD3CDB"/>
    <w:rsid w:val="00CE0B65"/>
    <w:rsid w:val="00CE5534"/>
    <w:rsid w:val="00CF021D"/>
    <w:rsid w:val="00CF4366"/>
    <w:rsid w:val="00CF46C6"/>
    <w:rsid w:val="00CF532D"/>
    <w:rsid w:val="00CF6C23"/>
    <w:rsid w:val="00CF71C9"/>
    <w:rsid w:val="00D03025"/>
    <w:rsid w:val="00D058F0"/>
    <w:rsid w:val="00D11A31"/>
    <w:rsid w:val="00D128DB"/>
    <w:rsid w:val="00D1323C"/>
    <w:rsid w:val="00D13944"/>
    <w:rsid w:val="00D13BC3"/>
    <w:rsid w:val="00D15037"/>
    <w:rsid w:val="00D150AE"/>
    <w:rsid w:val="00D150EF"/>
    <w:rsid w:val="00D17505"/>
    <w:rsid w:val="00D22E19"/>
    <w:rsid w:val="00D259C5"/>
    <w:rsid w:val="00D26289"/>
    <w:rsid w:val="00D27A36"/>
    <w:rsid w:val="00D32978"/>
    <w:rsid w:val="00D3645C"/>
    <w:rsid w:val="00D3716B"/>
    <w:rsid w:val="00D42F56"/>
    <w:rsid w:val="00D478AF"/>
    <w:rsid w:val="00D51E82"/>
    <w:rsid w:val="00D56CBC"/>
    <w:rsid w:val="00D72C60"/>
    <w:rsid w:val="00D7373E"/>
    <w:rsid w:val="00D85797"/>
    <w:rsid w:val="00D8731F"/>
    <w:rsid w:val="00D9114E"/>
    <w:rsid w:val="00D96530"/>
    <w:rsid w:val="00D97F30"/>
    <w:rsid w:val="00DA67ED"/>
    <w:rsid w:val="00DC1A24"/>
    <w:rsid w:val="00DC1C8F"/>
    <w:rsid w:val="00DC562B"/>
    <w:rsid w:val="00DD3EEC"/>
    <w:rsid w:val="00DD5CC6"/>
    <w:rsid w:val="00DE565E"/>
    <w:rsid w:val="00DE56D8"/>
    <w:rsid w:val="00DE7FB6"/>
    <w:rsid w:val="00DF1D61"/>
    <w:rsid w:val="00DF47D0"/>
    <w:rsid w:val="00DF71B3"/>
    <w:rsid w:val="00E02AB3"/>
    <w:rsid w:val="00E02F8B"/>
    <w:rsid w:val="00E07987"/>
    <w:rsid w:val="00E10C41"/>
    <w:rsid w:val="00E14AAE"/>
    <w:rsid w:val="00E2036F"/>
    <w:rsid w:val="00E24FF7"/>
    <w:rsid w:val="00E26BCD"/>
    <w:rsid w:val="00E33C7F"/>
    <w:rsid w:val="00E3507E"/>
    <w:rsid w:val="00E353C3"/>
    <w:rsid w:val="00E4094B"/>
    <w:rsid w:val="00E4257E"/>
    <w:rsid w:val="00E4261D"/>
    <w:rsid w:val="00E43D69"/>
    <w:rsid w:val="00E5380B"/>
    <w:rsid w:val="00E55178"/>
    <w:rsid w:val="00E565BC"/>
    <w:rsid w:val="00E6028E"/>
    <w:rsid w:val="00E71201"/>
    <w:rsid w:val="00E7132A"/>
    <w:rsid w:val="00E7252B"/>
    <w:rsid w:val="00E74B96"/>
    <w:rsid w:val="00E76698"/>
    <w:rsid w:val="00E948BD"/>
    <w:rsid w:val="00E9709F"/>
    <w:rsid w:val="00EA1663"/>
    <w:rsid w:val="00EA1EBC"/>
    <w:rsid w:val="00EA2CC3"/>
    <w:rsid w:val="00EA5390"/>
    <w:rsid w:val="00EB5779"/>
    <w:rsid w:val="00EB5F86"/>
    <w:rsid w:val="00EB695C"/>
    <w:rsid w:val="00EC493F"/>
    <w:rsid w:val="00EC4D48"/>
    <w:rsid w:val="00ED51EA"/>
    <w:rsid w:val="00ED6004"/>
    <w:rsid w:val="00EE2281"/>
    <w:rsid w:val="00EE34BB"/>
    <w:rsid w:val="00EF4D48"/>
    <w:rsid w:val="00EF730E"/>
    <w:rsid w:val="00F02C76"/>
    <w:rsid w:val="00F0346A"/>
    <w:rsid w:val="00F05197"/>
    <w:rsid w:val="00F051EC"/>
    <w:rsid w:val="00F05717"/>
    <w:rsid w:val="00F07A2B"/>
    <w:rsid w:val="00F1320C"/>
    <w:rsid w:val="00F14A4C"/>
    <w:rsid w:val="00F323AD"/>
    <w:rsid w:val="00F428DD"/>
    <w:rsid w:val="00F50628"/>
    <w:rsid w:val="00F544C6"/>
    <w:rsid w:val="00F54D22"/>
    <w:rsid w:val="00F60E25"/>
    <w:rsid w:val="00F64AFC"/>
    <w:rsid w:val="00F65EF3"/>
    <w:rsid w:val="00F73C7A"/>
    <w:rsid w:val="00F82390"/>
    <w:rsid w:val="00F854AD"/>
    <w:rsid w:val="00F93A56"/>
    <w:rsid w:val="00F95317"/>
    <w:rsid w:val="00FA45CF"/>
    <w:rsid w:val="00FA4E79"/>
    <w:rsid w:val="00FA7CF3"/>
    <w:rsid w:val="00FB30EF"/>
    <w:rsid w:val="00FB53D0"/>
    <w:rsid w:val="00FB79AE"/>
    <w:rsid w:val="00FC13CB"/>
    <w:rsid w:val="00FC2D38"/>
    <w:rsid w:val="00FD1480"/>
    <w:rsid w:val="00FD16FD"/>
    <w:rsid w:val="00FD41A6"/>
    <w:rsid w:val="00FD6F8B"/>
    <w:rsid w:val="00FE3231"/>
    <w:rsid w:val="00FE5C2C"/>
    <w:rsid w:val="00FF2720"/>
    <w:rsid w:val="00FF4E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FB4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aliases w:val="numbered list,3,Bullet 1,Bullet Points,Colorful List - Accent 11,Dot pt,F5 List Paragraph,Indicator Text,Issue Action POC,List Paragraph Char Char Char,List Paragraph2,MAIN CONTENT,Normal numbered,Numbered Para 1,POCG Table Text,Bulle"/>
    <w:basedOn w:val="Navaden"/>
    <w:link w:val="OdstavekseznamaZnak"/>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customStyle="1" w:styleId="podpisi">
    <w:name w:val="podpisi"/>
    <w:basedOn w:val="Navaden"/>
    <w:qFormat/>
    <w:rsid w:val="00852AD3"/>
    <w:pPr>
      <w:tabs>
        <w:tab w:val="left" w:pos="3402"/>
      </w:tabs>
      <w:spacing w:line="260" w:lineRule="atLeast"/>
    </w:pPr>
    <w:rPr>
      <w:rFonts w:cs="Arial"/>
      <w:lang w:val="it-IT"/>
    </w:rPr>
  </w:style>
  <w:style w:type="paragraph" w:customStyle="1" w:styleId="Neotevilenodstavek">
    <w:name w:val="Neoštevilčen odstavek"/>
    <w:basedOn w:val="Navaden"/>
    <w:link w:val="NeotevilenodstavekZnak"/>
    <w:qFormat/>
    <w:rsid w:val="00DF71B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DF71B3"/>
    <w:rPr>
      <w:rFonts w:ascii="Arial" w:eastAsia="Times New Roman" w:hAnsi="Arial" w:cs="Arial"/>
      <w:lang w:eastAsia="sl-SI"/>
    </w:rPr>
  </w:style>
  <w:style w:type="character" w:styleId="Hiperpovezava">
    <w:name w:val="Hyperlink"/>
    <w:rsid w:val="00DF71B3"/>
    <w:rPr>
      <w:color w:val="0000FF"/>
      <w:u w:val="single"/>
    </w:rPr>
  </w:style>
  <w:style w:type="character" w:customStyle="1" w:styleId="OdstavekseznamaZnak">
    <w:name w:val="Odstavek seznama Znak"/>
    <w:aliases w:val="numbered list Znak,3 Znak,Bullet 1 Znak,Bullet Points Znak,Colorful List - Accent 11 Znak,Dot pt Znak,F5 List Paragraph Znak,Indicator Text Znak,Issue Action POC Znak,List Paragraph Char Char Char Znak,List Paragraph2 Znak"/>
    <w:link w:val="Odstavekseznama"/>
    <w:uiPriority w:val="34"/>
    <w:qFormat/>
    <w:locked/>
    <w:rsid w:val="001D302C"/>
    <w:rPr>
      <w:rFonts w:ascii="Arial" w:eastAsia="Times New Roman" w:hAnsi="Arial" w:cs="Times New Roman"/>
      <w:sz w:val="20"/>
      <w:szCs w:val="24"/>
    </w:rPr>
  </w:style>
  <w:style w:type="paragraph" w:styleId="Navadensplet">
    <w:name w:val="Normal (Web)"/>
    <w:basedOn w:val="Navaden"/>
    <w:rsid w:val="001D302C"/>
    <w:pPr>
      <w:spacing w:before="100" w:beforeAutospacing="1" w:after="100" w:afterAutospacing="1" w:line="240" w:lineRule="auto"/>
    </w:pPr>
    <w:rPr>
      <w:rFonts w:ascii="Times New Roman" w:eastAsia="Calibri" w:hAnsi="Times New Roman"/>
      <w:sz w:val="24"/>
      <w:lang w:eastAsia="sl-SI"/>
    </w:rPr>
  </w:style>
  <w:style w:type="paragraph" w:styleId="Revizija">
    <w:name w:val="Revision"/>
    <w:hidden/>
    <w:uiPriority w:val="99"/>
    <w:semiHidden/>
    <w:rsid w:val="00663EB9"/>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7513">
      <w:bodyDiv w:val="1"/>
      <w:marLeft w:val="0"/>
      <w:marRight w:val="0"/>
      <w:marTop w:val="0"/>
      <w:marBottom w:val="0"/>
      <w:divBdr>
        <w:top w:val="none" w:sz="0" w:space="0" w:color="auto"/>
        <w:left w:val="none" w:sz="0" w:space="0" w:color="auto"/>
        <w:bottom w:val="none" w:sz="0" w:space="0" w:color="auto"/>
        <w:right w:val="none" w:sz="0" w:space="0" w:color="auto"/>
      </w:divBdr>
    </w:div>
    <w:div w:id="76893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A7F610-F5D3-48A1-BFE7-89FBD6EBE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15328</Words>
  <Characters>87371</Characters>
  <Application>Microsoft Office Word</Application>
  <DocSecurity>0</DocSecurity>
  <Lines>728</Lines>
  <Paragraphs>204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2023-04-13T12:45:00Z</dcterms:created>
  <dcterms:modified xsi:type="dcterms:W3CDTF">2023-04-13T12:45:00Z</dcterms:modified>
</cp:coreProperties>
</file>