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101F" w14:textId="011E3332" w:rsidR="00A075C0" w:rsidRPr="00333C05" w:rsidRDefault="00A075C0" w:rsidP="00333C05">
      <w:pPr>
        <w:autoSpaceDE w:val="0"/>
        <w:autoSpaceDN w:val="0"/>
        <w:adjustRightInd w:val="0"/>
        <w:spacing w:line="240" w:lineRule="auto"/>
        <w:jc w:val="both"/>
        <w:rPr>
          <w:rFonts w:cs="Arial"/>
          <w:color w:val="000000"/>
          <w:sz w:val="18"/>
          <w:szCs w:val="18"/>
        </w:rPr>
      </w:pPr>
      <w:r w:rsidRPr="00333C05">
        <w:rPr>
          <w:rFonts w:cs="Arial"/>
          <w:color w:val="000000"/>
          <w:sz w:val="18"/>
          <w:szCs w:val="18"/>
        </w:rPr>
        <w:t>SPOROČILO ZA JAVNOST</w:t>
      </w:r>
    </w:p>
    <w:p w14:paraId="7E9EA6CE" w14:textId="27721C08" w:rsidR="00BD6EA7" w:rsidRPr="00333C05" w:rsidRDefault="00BD6EA7" w:rsidP="00333C05">
      <w:pPr>
        <w:autoSpaceDE w:val="0"/>
        <w:autoSpaceDN w:val="0"/>
        <w:adjustRightInd w:val="0"/>
        <w:spacing w:line="240" w:lineRule="auto"/>
        <w:jc w:val="both"/>
        <w:rPr>
          <w:rFonts w:cs="Arial"/>
          <w:color w:val="000000"/>
          <w:szCs w:val="20"/>
        </w:rPr>
      </w:pPr>
    </w:p>
    <w:p w14:paraId="7C474AA7" w14:textId="77777777" w:rsidR="00226EC5" w:rsidRPr="0077040C" w:rsidRDefault="00226EC5" w:rsidP="00226EC5">
      <w:pPr>
        <w:pStyle w:val="Neotevilenodstavek"/>
        <w:spacing w:before="0" w:after="0" w:line="240" w:lineRule="auto"/>
        <w:rPr>
          <w:b/>
          <w:sz w:val="20"/>
          <w:szCs w:val="20"/>
        </w:rPr>
      </w:pPr>
      <w:r w:rsidRPr="0077040C">
        <w:rPr>
          <w:b/>
          <w:sz w:val="20"/>
          <w:szCs w:val="20"/>
        </w:rPr>
        <w:t>112. redna seja Vlade Republike Slovenije</w:t>
      </w:r>
    </w:p>
    <w:p w14:paraId="501C02EF" w14:textId="07C58D0A" w:rsidR="00A075C0" w:rsidRPr="00333C05" w:rsidRDefault="004B098E" w:rsidP="00333C05">
      <w:pPr>
        <w:autoSpaceDE w:val="0"/>
        <w:autoSpaceDN w:val="0"/>
        <w:adjustRightInd w:val="0"/>
        <w:spacing w:line="240" w:lineRule="auto"/>
        <w:jc w:val="both"/>
        <w:rPr>
          <w:rFonts w:cs="Arial"/>
          <w:color w:val="000000"/>
          <w:sz w:val="18"/>
          <w:szCs w:val="18"/>
        </w:rPr>
      </w:pPr>
      <w:r w:rsidRPr="00333C05">
        <w:rPr>
          <w:rFonts w:cs="Arial"/>
          <w:color w:val="000000"/>
          <w:sz w:val="18"/>
          <w:szCs w:val="18"/>
        </w:rPr>
        <w:t>2</w:t>
      </w:r>
      <w:r w:rsidR="00226EC5">
        <w:rPr>
          <w:rFonts w:cs="Arial"/>
          <w:color w:val="000000"/>
          <w:sz w:val="18"/>
          <w:szCs w:val="18"/>
        </w:rPr>
        <w:t>9</w:t>
      </w:r>
      <w:r w:rsidR="00FC07EF" w:rsidRPr="00333C05">
        <w:rPr>
          <w:rFonts w:cs="Arial"/>
          <w:color w:val="000000"/>
          <w:sz w:val="18"/>
          <w:szCs w:val="18"/>
        </w:rPr>
        <w:t>.</w:t>
      </w:r>
      <w:r w:rsidR="00C6261D" w:rsidRPr="00333C05">
        <w:rPr>
          <w:rFonts w:cs="Arial"/>
          <w:color w:val="000000"/>
          <w:sz w:val="18"/>
          <w:szCs w:val="18"/>
        </w:rPr>
        <w:t xml:space="preserve"> </w:t>
      </w:r>
      <w:r w:rsidR="005A4D41" w:rsidRPr="00333C05">
        <w:rPr>
          <w:rFonts w:cs="Arial"/>
          <w:color w:val="000000"/>
          <w:sz w:val="18"/>
          <w:szCs w:val="18"/>
        </w:rPr>
        <w:t>janua</w:t>
      </w:r>
      <w:r w:rsidR="008E5CFA" w:rsidRPr="00333C05">
        <w:rPr>
          <w:rFonts w:cs="Arial"/>
          <w:color w:val="000000"/>
          <w:sz w:val="18"/>
          <w:szCs w:val="18"/>
        </w:rPr>
        <w:t>r</w:t>
      </w:r>
      <w:r w:rsidR="004C597B" w:rsidRPr="00333C05">
        <w:rPr>
          <w:rFonts w:cs="Arial"/>
          <w:color w:val="000000"/>
          <w:sz w:val="18"/>
          <w:szCs w:val="18"/>
        </w:rPr>
        <w:t xml:space="preserve"> </w:t>
      </w:r>
      <w:r w:rsidR="00A45B9B" w:rsidRPr="00333C05">
        <w:rPr>
          <w:rFonts w:cs="Arial"/>
          <w:color w:val="000000"/>
          <w:sz w:val="18"/>
          <w:szCs w:val="18"/>
        </w:rPr>
        <w:t>202</w:t>
      </w:r>
      <w:r w:rsidR="005A4D41" w:rsidRPr="00333C05">
        <w:rPr>
          <w:rFonts w:cs="Arial"/>
          <w:color w:val="000000"/>
          <w:sz w:val="18"/>
          <w:szCs w:val="18"/>
        </w:rPr>
        <w:t>2</w:t>
      </w:r>
    </w:p>
    <w:p w14:paraId="6EAC112A" w14:textId="3B865F2B" w:rsidR="00A83EE9" w:rsidRPr="00333C05" w:rsidRDefault="00A83EE9" w:rsidP="00333C05">
      <w:pPr>
        <w:autoSpaceDE w:val="0"/>
        <w:autoSpaceDN w:val="0"/>
        <w:adjustRightInd w:val="0"/>
        <w:spacing w:line="240" w:lineRule="auto"/>
        <w:jc w:val="both"/>
        <w:rPr>
          <w:rFonts w:cs="Arial"/>
          <w:b/>
          <w:bCs/>
          <w:color w:val="000000"/>
          <w:szCs w:val="20"/>
        </w:rPr>
      </w:pPr>
    </w:p>
    <w:p w14:paraId="0E20A3AC" w14:textId="39FA8E55" w:rsidR="00CE7C48" w:rsidRPr="00333C05" w:rsidRDefault="00CE7C48" w:rsidP="00333C05">
      <w:pPr>
        <w:autoSpaceDE w:val="0"/>
        <w:autoSpaceDN w:val="0"/>
        <w:adjustRightInd w:val="0"/>
        <w:spacing w:line="240" w:lineRule="auto"/>
        <w:jc w:val="both"/>
        <w:rPr>
          <w:rFonts w:cs="Arial"/>
          <w:b/>
          <w:bCs/>
          <w:color w:val="000000"/>
          <w:szCs w:val="20"/>
        </w:rPr>
      </w:pPr>
    </w:p>
    <w:p w14:paraId="15E7B7D6" w14:textId="77777777" w:rsidR="00226EC5" w:rsidRPr="0077040C" w:rsidRDefault="00226EC5" w:rsidP="00226EC5">
      <w:pPr>
        <w:pStyle w:val="Neotevilenodstavek"/>
        <w:spacing w:before="0" w:after="0" w:line="240" w:lineRule="auto"/>
        <w:rPr>
          <w:b/>
          <w:sz w:val="20"/>
          <w:szCs w:val="20"/>
        </w:rPr>
      </w:pPr>
      <w:r w:rsidRPr="0077040C">
        <w:rPr>
          <w:b/>
          <w:sz w:val="20"/>
          <w:szCs w:val="20"/>
        </w:rPr>
        <w:t>Vlada sprejela predlog Zakona o nujnih ukrepih za omilitev posledic zaradi vpliva visokih cen energentov</w:t>
      </w:r>
    </w:p>
    <w:p w14:paraId="75845798" w14:textId="77777777" w:rsidR="00226EC5" w:rsidRPr="0077040C" w:rsidRDefault="00226EC5" w:rsidP="00226EC5">
      <w:pPr>
        <w:overflowPunct w:val="0"/>
        <w:autoSpaceDE w:val="0"/>
        <w:autoSpaceDN w:val="0"/>
        <w:adjustRightInd w:val="0"/>
        <w:spacing w:line="240" w:lineRule="auto"/>
        <w:jc w:val="both"/>
        <w:textAlignment w:val="baseline"/>
        <w:rPr>
          <w:rFonts w:cs="Arial"/>
          <w:b/>
          <w:szCs w:val="20"/>
        </w:rPr>
      </w:pPr>
    </w:p>
    <w:p w14:paraId="71214DAA" w14:textId="77777777" w:rsidR="00226EC5" w:rsidRPr="0077040C" w:rsidRDefault="00226EC5" w:rsidP="00226EC5">
      <w:pPr>
        <w:spacing w:line="240" w:lineRule="auto"/>
        <w:jc w:val="both"/>
        <w:rPr>
          <w:rFonts w:cs="Arial"/>
          <w:bCs/>
          <w:iCs/>
          <w:szCs w:val="20"/>
        </w:rPr>
      </w:pPr>
      <w:bookmarkStart w:id="0" w:name="_Hlk94373365"/>
      <w:r w:rsidRPr="0077040C">
        <w:rPr>
          <w:rFonts w:cs="Arial"/>
          <w:bCs/>
          <w:iCs/>
          <w:szCs w:val="20"/>
        </w:rPr>
        <w:t>Zaradi naraščanja socialnih stisk prebivalstva zaradi vpliva visokih cen energentov je vlada sprejela nov zakon z nujnimi ukrepi, ki bodo omilili posledice na področju socialnega varstva, pravic iz javnih sredstev in davkov.</w:t>
      </w:r>
    </w:p>
    <w:bookmarkEnd w:id="0"/>
    <w:p w14:paraId="25AD5EE2" w14:textId="77777777" w:rsidR="00226EC5" w:rsidRDefault="00226EC5" w:rsidP="00226EC5">
      <w:pPr>
        <w:spacing w:line="240" w:lineRule="auto"/>
        <w:jc w:val="both"/>
        <w:rPr>
          <w:rFonts w:cs="Arial"/>
          <w:bCs/>
          <w:iCs/>
          <w:szCs w:val="20"/>
        </w:rPr>
      </w:pPr>
    </w:p>
    <w:p w14:paraId="071DBBC7" w14:textId="77777777" w:rsidR="00226EC5" w:rsidRDefault="00226EC5" w:rsidP="00226EC5">
      <w:pPr>
        <w:spacing w:line="240" w:lineRule="auto"/>
        <w:jc w:val="both"/>
        <w:rPr>
          <w:rFonts w:cs="Arial"/>
          <w:bCs/>
          <w:iCs/>
          <w:szCs w:val="20"/>
        </w:rPr>
      </w:pPr>
      <w:r w:rsidRPr="0077040C">
        <w:rPr>
          <w:rFonts w:cs="Arial"/>
          <w:bCs/>
          <w:iCs/>
          <w:szCs w:val="20"/>
        </w:rPr>
        <w:t>S predlogom zakona se sprejemajo ukrepi, ki bodo omilili posledice in vpliv zaradi visokih cen energentov na področju energetike, socialnega varstva in pravic iz javnih sredstev.</w:t>
      </w:r>
    </w:p>
    <w:p w14:paraId="1AB97333" w14:textId="77777777" w:rsidR="00226EC5" w:rsidRPr="0077040C" w:rsidRDefault="00226EC5" w:rsidP="00226EC5">
      <w:pPr>
        <w:spacing w:line="240" w:lineRule="auto"/>
        <w:jc w:val="both"/>
        <w:rPr>
          <w:rFonts w:cs="Arial"/>
          <w:bCs/>
          <w:iCs/>
          <w:szCs w:val="20"/>
        </w:rPr>
      </w:pPr>
    </w:p>
    <w:p w14:paraId="57851DF4" w14:textId="77777777" w:rsidR="00226EC5" w:rsidRPr="0077040C" w:rsidRDefault="00226EC5" w:rsidP="00226EC5">
      <w:pPr>
        <w:pStyle w:val="Odstavekseznama"/>
        <w:numPr>
          <w:ilvl w:val="0"/>
          <w:numId w:val="30"/>
        </w:numPr>
        <w:spacing w:line="240" w:lineRule="auto"/>
        <w:jc w:val="both"/>
        <w:rPr>
          <w:rFonts w:cs="Arial"/>
          <w:b/>
          <w:bCs/>
          <w:iCs/>
          <w:szCs w:val="20"/>
        </w:rPr>
      </w:pPr>
      <w:r w:rsidRPr="0077040C">
        <w:rPr>
          <w:rFonts w:cs="Arial"/>
          <w:b/>
          <w:bCs/>
          <w:iCs/>
          <w:szCs w:val="20"/>
        </w:rPr>
        <w:t>zaradi izboljšanja socialne varnosti ranljivih skupin se določi izplačilo enkratnega solidarnostnega dodatka v višini 150 evrov za namen odprave posledic povečanja cen energentov</w:t>
      </w:r>
    </w:p>
    <w:p w14:paraId="28DAFCD9" w14:textId="77777777" w:rsidR="00226EC5" w:rsidRPr="0077040C" w:rsidRDefault="00226EC5" w:rsidP="00226EC5">
      <w:pPr>
        <w:spacing w:line="240" w:lineRule="auto"/>
        <w:jc w:val="both"/>
        <w:rPr>
          <w:rFonts w:cs="Arial"/>
          <w:bCs/>
          <w:iCs/>
          <w:szCs w:val="20"/>
        </w:rPr>
      </w:pPr>
      <w:r w:rsidRPr="0077040C">
        <w:rPr>
          <w:rFonts w:cs="Arial"/>
          <w:bCs/>
          <w:iCs/>
          <w:szCs w:val="20"/>
        </w:rPr>
        <w:t>Upravičenci:</w:t>
      </w:r>
    </w:p>
    <w:p w14:paraId="7422D730" w14:textId="77777777" w:rsidR="00226EC5" w:rsidRPr="0077040C" w:rsidRDefault="00226EC5" w:rsidP="00226EC5">
      <w:pPr>
        <w:spacing w:line="240" w:lineRule="auto"/>
        <w:jc w:val="both"/>
        <w:rPr>
          <w:rFonts w:cs="Arial"/>
          <w:bCs/>
          <w:iCs/>
          <w:szCs w:val="20"/>
        </w:rPr>
      </w:pPr>
      <w:r w:rsidRPr="0077040C">
        <w:rPr>
          <w:rFonts w:cs="Arial"/>
          <w:bCs/>
          <w:iCs/>
          <w:szCs w:val="20"/>
        </w:rPr>
        <w:t>-</w:t>
      </w:r>
      <w:r w:rsidRPr="0077040C">
        <w:rPr>
          <w:rFonts w:cs="Arial"/>
          <w:bCs/>
          <w:iCs/>
          <w:szCs w:val="20"/>
        </w:rPr>
        <w:tab/>
        <w:t>upokojenci, katerih prejemek je za mesec december 2021 znašal 1000 evrov ali manj</w:t>
      </w:r>
      <w:r>
        <w:rPr>
          <w:rFonts w:cs="Arial"/>
          <w:bCs/>
          <w:iCs/>
          <w:szCs w:val="20"/>
        </w:rPr>
        <w:t>,</w:t>
      </w:r>
    </w:p>
    <w:p w14:paraId="77A63BC7" w14:textId="77777777" w:rsidR="00226EC5" w:rsidRPr="0077040C" w:rsidRDefault="00226EC5" w:rsidP="00226EC5">
      <w:pPr>
        <w:spacing w:line="240" w:lineRule="auto"/>
        <w:jc w:val="both"/>
        <w:rPr>
          <w:rFonts w:cs="Arial"/>
          <w:bCs/>
          <w:iCs/>
          <w:szCs w:val="20"/>
        </w:rPr>
      </w:pPr>
      <w:r w:rsidRPr="0077040C">
        <w:rPr>
          <w:rFonts w:cs="Arial"/>
          <w:bCs/>
          <w:iCs/>
          <w:szCs w:val="20"/>
        </w:rPr>
        <w:t>-        upravičenci do nadomestila za invalidnost za mesec december 2021 po zakonu, ki ureja socialno vključevanje invalidov</w:t>
      </w:r>
      <w:r>
        <w:rPr>
          <w:rFonts w:cs="Arial"/>
          <w:bCs/>
          <w:iCs/>
          <w:szCs w:val="20"/>
        </w:rPr>
        <w:t>,</w:t>
      </w:r>
    </w:p>
    <w:p w14:paraId="3F503E80" w14:textId="77777777" w:rsidR="00226EC5" w:rsidRPr="0077040C" w:rsidRDefault="00226EC5" w:rsidP="00226EC5">
      <w:pPr>
        <w:spacing w:line="240" w:lineRule="auto"/>
        <w:jc w:val="both"/>
        <w:rPr>
          <w:rFonts w:cs="Arial"/>
          <w:bCs/>
          <w:iCs/>
          <w:szCs w:val="20"/>
        </w:rPr>
      </w:pPr>
      <w:r w:rsidRPr="0077040C">
        <w:rPr>
          <w:rFonts w:cs="Arial"/>
          <w:bCs/>
          <w:iCs/>
          <w:szCs w:val="20"/>
        </w:rPr>
        <w:t>-</w:t>
      </w:r>
      <w:r w:rsidRPr="0077040C">
        <w:rPr>
          <w:rFonts w:cs="Arial"/>
          <w:bCs/>
          <w:iCs/>
          <w:szCs w:val="20"/>
        </w:rPr>
        <w:tab/>
        <w:t>prejemniki denarne socialne pomoči ali varstvenega dodatka za mesec december 2021</w:t>
      </w:r>
      <w:r>
        <w:rPr>
          <w:rFonts w:cs="Arial"/>
          <w:bCs/>
          <w:iCs/>
          <w:szCs w:val="20"/>
        </w:rPr>
        <w:t>,</w:t>
      </w:r>
    </w:p>
    <w:p w14:paraId="047A7C0F" w14:textId="77777777" w:rsidR="00226EC5" w:rsidRPr="0077040C" w:rsidRDefault="00226EC5" w:rsidP="00226EC5">
      <w:pPr>
        <w:spacing w:line="240" w:lineRule="auto"/>
        <w:jc w:val="both"/>
        <w:rPr>
          <w:rFonts w:cs="Arial"/>
          <w:bCs/>
          <w:iCs/>
          <w:szCs w:val="20"/>
        </w:rPr>
      </w:pPr>
      <w:r w:rsidRPr="0077040C">
        <w:rPr>
          <w:rFonts w:cs="Arial"/>
          <w:bCs/>
          <w:iCs/>
          <w:szCs w:val="20"/>
        </w:rPr>
        <w:t>-</w:t>
      </w:r>
      <w:r w:rsidRPr="0077040C">
        <w:rPr>
          <w:rFonts w:cs="Arial"/>
          <w:bCs/>
          <w:iCs/>
          <w:szCs w:val="20"/>
        </w:rPr>
        <w:tab/>
        <w:t>upravičenci do otroškega dodatka od prvega do vključno šestega dohodkovnega razreda za mesec december 2021</w:t>
      </w:r>
      <w:r>
        <w:rPr>
          <w:rFonts w:cs="Arial"/>
          <w:bCs/>
          <w:iCs/>
          <w:szCs w:val="20"/>
        </w:rPr>
        <w:t>,</w:t>
      </w:r>
    </w:p>
    <w:p w14:paraId="69F610D5" w14:textId="77777777" w:rsidR="00226EC5" w:rsidRPr="0077040C" w:rsidRDefault="00226EC5" w:rsidP="00226EC5">
      <w:pPr>
        <w:spacing w:line="240" w:lineRule="auto"/>
        <w:jc w:val="both"/>
        <w:rPr>
          <w:rFonts w:cs="Arial"/>
          <w:bCs/>
          <w:iCs/>
          <w:szCs w:val="20"/>
        </w:rPr>
      </w:pPr>
      <w:r w:rsidRPr="0077040C">
        <w:rPr>
          <w:rFonts w:cs="Arial"/>
          <w:bCs/>
          <w:iCs/>
          <w:szCs w:val="20"/>
        </w:rPr>
        <w:t>-</w:t>
      </w:r>
      <w:r w:rsidRPr="0077040C">
        <w:rPr>
          <w:rFonts w:cs="Arial"/>
          <w:bCs/>
          <w:iCs/>
          <w:szCs w:val="20"/>
        </w:rPr>
        <w:tab/>
        <w:t>upravičenci do dodatka za veliko družino za leto 2021,</w:t>
      </w:r>
    </w:p>
    <w:p w14:paraId="1FF09CDD" w14:textId="77777777" w:rsidR="00226EC5" w:rsidRPr="0077040C" w:rsidRDefault="00226EC5" w:rsidP="00226EC5">
      <w:pPr>
        <w:spacing w:line="240" w:lineRule="auto"/>
        <w:jc w:val="both"/>
        <w:rPr>
          <w:rFonts w:cs="Arial"/>
          <w:bCs/>
          <w:iCs/>
          <w:szCs w:val="20"/>
        </w:rPr>
      </w:pPr>
      <w:r w:rsidRPr="0077040C">
        <w:rPr>
          <w:rFonts w:cs="Arial"/>
          <w:bCs/>
          <w:iCs/>
          <w:szCs w:val="20"/>
        </w:rPr>
        <w:t>-</w:t>
      </w:r>
      <w:r w:rsidRPr="0077040C">
        <w:rPr>
          <w:rFonts w:cs="Arial"/>
          <w:bCs/>
          <w:iCs/>
          <w:szCs w:val="20"/>
        </w:rPr>
        <w:tab/>
        <w:t xml:space="preserve">rejniki, ki so imeli v decembru 2021 sklenjeno vsaj eno rejniško pogodbo v skladu z določbami zakona, ki ureja izvajanje rejniške dejavnosti. </w:t>
      </w:r>
    </w:p>
    <w:p w14:paraId="6CBE89D2" w14:textId="77777777" w:rsidR="00226EC5" w:rsidRDefault="00226EC5" w:rsidP="00226EC5">
      <w:pPr>
        <w:spacing w:line="240" w:lineRule="auto"/>
        <w:jc w:val="both"/>
        <w:rPr>
          <w:rFonts w:cs="Arial"/>
          <w:bCs/>
          <w:iCs/>
          <w:szCs w:val="20"/>
        </w:rPr>
      </w:pPr>
    </w:p>
    <w:p w14:paraId="64BA3EB0" w14:textId="77777777" w:rsidR="00226EC5" w:rsidRDefault="00226EC5" w:rsidP="00226EC5">
      <w:pPr>
        <w:spacing w:line="240" w:lineRule="auto"/>
        <w:jc w:val="both"/>
        <w:rPr>
          <w:rFonts w:cs="Arial"/>
          <w:bCs/>
          <w:iCs/>
          <w:szCs w:val="20"/>
        </w:rPr>
      </w:pPr>
      <w:r w:rsidRPr="0077040C">
        <w:rPr>
          <w:rFonts w:cs="Arial"/>
          <w:bCs/>
          <w:iCs/>
          <w:szCs w:val="20"/>
        </w:rPr>
        <w:t>Do  solidarnostnega dodatka so upravičenci upravičeni le enkrat. Upravičenci, ki so upravičeni do dodatka za veliko družino za štiri ali več otrok za leto 2021, so poleg dodatka v višini 150 evrov, upravičeni do dodatnega dodatka v višini 50 e</w:t>
      </w:r>
      <w:r>
        <w:rPr>
          <w:rFonts w:cs="Arial"/>
          <w:bCs/>
          <w:iCs/>
          <w:szCs w:val="20"/>
        </w:rPr>
        <w:t>v</w:t>
      </w:r>
      <w:r w:rsidRPr="0077040C">
        <w:rPr>
          <w:rFonts w:cs="Arial"/>
          <w:bCs/>
          <w:iCs/>
          <w:szCs w:val="20"/>
        </w:rPr>
        <w:t xml:space="preserve">rov.  </w:t>
      </w:r>
    </w:p>
    <w:p w14:paraId="5803DA73" w14:textId="77777777" w:rsidR="00226EC5" w:rsidRPr="0077040C" w:rsidRDefault="00226EC5" w:rsidP="00226EC5">
      <w:pPr>
        <w:spacing w:line="240" w:lineRule="auto"/>
        <w:jc w:val="both"/>
        <w:rPr>
          <w:rFonts w:cs="Arial"/>
          <w:bCs/>
          <w:iCs/>
          <w:szCs w:val="20"/>
        </w:rPr>
      </w:pPr>
    </w:p>
    <w:p w14:paraId="26E058ED" w14:textId="77777777" w:rsidR="00226EC5" w:rsidRDefault="00226EC5" w:rsidP="00226EC5">
      <w:pPr>
        <w:spacing w:line="240" w:lineRule="auto"/>
        <w:jc w:val="both"/>
        <w:rPr>
          <w:rFonts w:cs="Arial"/>
          <w:bCs/>
          <w:iCs/>
          <w:szCs w:val="20"/>
        </w:rPr>
      </w:pPr>
      <w:r w:rsidRPr="0077040C">
        <w:rPr>
          <w:rFonts w:cs="Arial"/>
          <w:bCs/>
          <w:iCs/>
          <w:szCs w:val="20"/>
        </w:rPr>
        <w:t>Enkraten solidarnostni dodatek se izplača najkasneje do 15. aprila 2022, sredstva pa se zagotovijo iz Sklada za podnebne spremembe.</w:t>
      </w:r>
    </w:p>
    <w:p w14:paraId="07C04C33" w14:textId="77777777" w:rsidR="00226EC5" w:rsidRPr="0077040C" w:rsidRDefault="00226EC5" w:rsidP="00226EC5">
      <w:pPr>
        <w:spacing w:line="240" w:lineRule="auto"/>
        <w:jc w:val="both"/>
        <w:rPr>
          <w:rFonts w:cs="Arial"/>
          <w:bCs/>
          <w:iCs/>
          <w:szCs w:val="20"/>
        </w:rPr>
      </w:pPr>
    </w:p>
    <w:p w14:paraId="7737FAAB" w14:textId="77777777" w:rsidR="00226EC5" w:rsidRPr="0077040C" w:rsidRDefault="00226EC5" w:rsidP="00226EC5">
      <w:pPr>
        <w:spacing w:line="240" w:lineRule="auto"/>
        <w:jc w:val="both"/>
        <w:rPr>
          <w:rFonts w:cs="Arial"/>
          <w:bCs/>
          <w:iCs/>
          <w:szCs w:val="20"/>
        </w:rPr>
      </w:pPr>
      <w:r w:rsidRPr="0077040C">
        <w:rPr>
          <w:rFonts w:cs="Arial"/>
          <w:bCs/>
          <w:iCs/>
          <w:szCs w:val="20"/>
        </w:rPr>
        <w:t>Skupaj: cca. 710.000 upravičencev (brez upoštevanja podvajanj)</w:t>
      </w:r>
    </w:p>
    <w:p w14:paraId="39987087" w14:textId="77777777" w:rsidR="00226EC5" w:rsidRPr="0077040C" w:rsidRDefault="00226EC5" w:rsidP="00226EC5">
      <w:pPr>
        <w:spacing w:line="240" w:lineRule="auto"/>
        <w:jc w:val="both"/>
        <w:rPr>
          <w:rFonts w:cs="Arial"/>
          <w:bCs/>
          <w:iCs/>
          <w:szCs w:val="20"/>
        </w:rPr>
      </w:pPr>
    </w:p>
    <w:p w14:paraId="2821AF01" w14:textId="77777777" w:rsidR="00226EC5" w:rsidRPr="0077040C" w:rsidRDefault="00226EC5" w:rsidP="00226EC5">
      <w:pPr>
        <w:pStyle w:val="Odstavekseznama"/>
        <w:numPr>
          <w:ilvl w:val="0"/>
          <w:numId w:val="30"/>
        </w:numPr>
        <w:spacing w:line="240" w:lineRule="auto"/>
        <w:jc w:val="both"/>
        <w:rPr>
          <w:rFonts w:cs="Arial"/>
          <w:b/>
          <w:bCs/>
          <w:iCs/>
          <w:szCs w:val="20"/>
        </w:rPr>
      </w:pPr>
      <w:r w:rsidRPr="0077040C">
        <w:rPr>
          <w:rFonts w:cs="Arial"/>
          <w:b/>
          <w:bCs/>
          <w:iCs/>
          <w:szCs w:val="20"/>
        </w:rPr>
        <w:t>Začasna oprostitev plačila prispevka za zagotavljanje podpor proizvodnji električne energije v soproizvodnji z visokim izkoristkom in iz obnovljivih virov energije za gospodinjske odjemalce in za odjemalce na NN brez merjenja moči</w:t>
      </w:r>
    </w:p>
    <w:p w14:paraId="2F43898A" w14:textId="77777777" w:rsidR="00226EC5" w:rsidRPr="0077040C" w:rsidRDefault="00226EC5" w:rsidP="00226EC5">
      <w:pPr>
        <w:spacing w:line="240" w:lineRule="auto"/>
        <w:jc w:val="both"/>
        <w:rPr>
          <w:rFonts w:cs="Arial"/>
          <w:bCs/>
          <w:iCs/>
          <w:szCs w:val="20"/>
        </w:rPr>
      </w:pPr>
      <w:r w:rsidRPr="0077040C">
        <w:rPr>
          <w:rFonts w:cs="Arial"/>
          <w:bCs/>
          <w:iCs/>
          <w:szCs w:val="20"/>
        </w:rPr>
        <w:t>S tem zakonom se začasno določi oprostitev plačila prispevka za zagotavljanje podpor proizvodnji energije v soproizvodnji z visokim izkoristkom in iz obnovljivih virov energije za končne odjemalce odjemne skupine na nizki napetosti brez merjenja moči in gospodinjske odjemalce električne energije. Ukrep velja od 1. februarja 2022 do 30. aprila 2022.</w:t>
      </w:r>
    </w:p>
    <w:p w14:paraId="4D00343F" w14:textId="77777777" w:rsidR="00226EC5" w:rsidRPr="0077040C" w:rsidRDefault="00226EC5" w:rsidP="00226EC5">
      <w:pPr>
        <w:spacing w:line="240" w:lineRule="auto"/>
        <w:jc w:val="both"/>
        <w:rPr>
          <w:rFonts w:cs="Arial"/>
          <w:bCs/>
          <w:iCs/>
          <w:szCs w:val="20"/>
        </w:rPr>
      </w:pPr>
    </w:p>
    <w:p w14:paraId="1BE128CF" w14:textId="77777777" w:rsidR="00226EC5" w:rsidRPr="0077040C" w:rsidRDefault="00226EC5" w:rsidP="00226EC5">
      <w:pPr>
        <w:spacing w:line="240" w:lineRule="auto"/>
        <w:jc w:val="both"/>
        <w:rPr>
          <w:rFonts w:cs="Arial"/>
          <w:szCs w:val="20"/>
        </w:rPr>
      </w:pPr>
      <w:r w:rsidRPr="0077040C">
        <w:rPr>
          <w:rFonts w:cs="Arial"/>
          <w:szCs w:val="20"/>
        </w:rPr>
        <w:t>Ocena učinka na gospodinjstva</w:t>
      </w:r>
      <w:r>
        <w:rPr>
          <w:rFonts w:cs="Arial"/>
          <w:szCs w:val="20"/>
        </w:rPr>
        <w:t>:</w:t>
      </w:r>
    </w:p>
    <w:p w14:paraId="27E75176" w14:textId="77777777" w:rsidR="00226EC5" w:rsidRPr="0077040C" w:rsidRDefault="00226EC5" w:rsidP="00226EC5">
      <w:pPr>
        <w:spacing w:line="240" w:lineRule="auto"/>
        <w:jc w:val="both"/>
        <w:rPr>
          <w:rFonts w:cs="Arial"/>
          <w:szCs w:val="20"/>
        </w:rPr>
      </w:pPr>
    </w:p>
    <w:tbl>
      <w:tblPr>
        <w:tblStyle w:val="Tabelamrea"/>
        <w:tblW w:w="0" w:type="auto"/>
        <w:tblLook w:val="04A0" w:firstRow="1" w:lastRow="0" w:firstColumn="1" w:lastColumn="0" w:noHBand="0" w:noVBand="1"/>
      </w:tblPr>
      <w:tblGrid>
        <w:gridCol w:w="2874"/>
        <w:gridCol w:w="2807"/>
        <w:gridCol w:w="2807"/>
      </w:tblGrid>
      <w:tr w:rsidR="00226EC5" w:rsidRPr="0077040C" w14:paraId="30050977" w14:textId="77777777" w:rsidTr="004459D9">
        <w:tc>
          <w:tcPr>
            <w:tcW w:w="3259" w:type="dxa"/>
          </w:tcPr>
          <w:p w14:paraId="702CE18C" w14:textId="77777777" w:rsidR="00226EC5" w:rsidRPr="0077040C" w:rsidRDefault="00226EC5" w:rsidP="004459D9">
            <w:pPr>
              <w:spacing w:line="240" w:lineRule="auto"/>
              <w:jc w:val="both"/>
              <w:rPr>
                <w:rFonts w:eastAsia="Calibri" w:cs="Arial"/>
                <w:szCs w:val="20"/>
              </w:rPr>
            </w:pPr>
            <w:r w:rsidRPr="0077040C">
              <w:rPr>
                <w:rFonts w:eastAsia="Calibri" w:cs="Arial"/>
                <w:szCs w:val="20"/>
              </w:rPr>
              <w:t>Obračunska moč / kW</w:t>
            </w:r>
          </w:p>
        </w:tc>
        <w:tc>
          <w:tcPr>
            <w:tcW w:w="3259" w:type="dxa"/>
          </w:tcPr>
          <w:p w14:paraId="04D5B538" w14:textId="77777777" w:rsidR="00226EC5" w:rsidRPr="0077040C" w:rsidRDefault="00226EC5" w:rsidP="004459D9">
            <w:pPr>
              <w:spacing w:line="240" w:lineRule="auto"/>
              <w:jc w:val="both"/>
              <w:rPr>
                <w:rFonts w:eastAsia="Calibri" w:cs="Arial"/>
                <w:szCs w:val="20"/>
              </w:rPr>
            </w:pPr>
            <w:r w:rsidRPr="0077040C">
              <w:rPr>
                <w:rFonts w:eastAsia="Calibri" w:cs="Arial"/>
                <w:szCs w:val="20"/>
              </w:rPr>
              <w:t>mesečni znesek brez DDV /€</w:t>
            </w:r>
          </w:p>
        </w:tc>
        <w:tc>
          <w:tcPr>
            <w:tcW w:w="3259" w:type="dxa"/>
          </w:tcPr>
          <w:p w14:paraId="1595D47A" w14:textId="77777777" w:rsidR="00226EC5" w:rsidRPr="0077040C" w:rsidRDefault="00226EC5" w:rsidP="004459D9">
            <w:pPr>
              <w:spacing w:line="240" w:lineRule="auto"/>
              <w:jc w:val="both"/>
              <w:rPr>
                <w:rFonts w:eastAsia="Calibri" w:cs="Arial"/>
                <w:szCs w:val="20"/>
              </w:rPr>
            </w:pPr>
            <w:r w:rsidRPr="0077040C">
              <w:rPr>
                <w:rFonts w:eastAsia="Calibri" w:cs="Arial"/>
                <w:szCs w:val="20"/>
              </w:rPr>
              <w:t>mesečni znesek z DDV / €</w:t>
            </w:r>
          </w:p>
        </w:tc>
      </w:tr>
      <w:tr w:rsidR="00226EC5" w:rsidRPr="0077040C" w14:paraId="2DE0BED9" w14:textId="77777777" w:rsidTr="004459D9">
        <w:tc>
          <w:tcPr>
            <w:tcW w:w="3259" w:type="dxa"/>
          </w:tcPr>
          <w:p w14:paraId="4C48D619" w14:textId="77777777" w:rsidR="00226EC5" w:rsidRPr="0077040C" w:rsidRDefault="00226EC5" w:rsidP="004459D9">
            <w:pPr>
              <w:spacing w:line="240" w:lineRule="auto"/>
              <w:jc w:val="both"/>
              <w:rPr>
                <w:rFonts w:eastAsia="Calibri" w:cs="Arial"/>
                <w:szCs w:val="20"/>
              </w:rPr>
            </w:pPr>
            <w:r w:rsidRPr="0077040C">
              <w:rPr>
                <w:rFonts w:eastAsia="Calibri" w:cs="Arial"/>
                <w:szCs w:val="20"/>
              </w:rPr>
              <w:t>3</w:t>
            </w:r>
          </w:p>
        </w:tc>
        <w:tc>
          <w:tcPr>
            <w:tcW w:w="3259" w:type="dxa"/>
          </w:tcPr>
          <w:p w14:paraId="214A5BF2" w14:textId="77777777" w:rsidR="00226EC5" w:rsidRPr="0077040C" w:rsidRDefault="00226EC5" w:rsidP="004459D9">
            <w:pPr>
              <w:spacing w:line="240" w:lineRule="auto"/>
              <w:jc w:val="both"/>
              <w:rPr>
                <w:rFonts w:eastAsia="Calibri" w:cs="Arial"/>
                <w:szCs w:val="20"/>
              </w:rPr>
            </w:pPr>
            <w:r w:rsidRPr="0077040C">
              <w:rPr>
                <w:rFonts w:eastAsia="Calibri" w:cs="Arial"/>
                <w:szCs w:val="20"/>
              </w:rPr>
              <w:t>2,22</w:t>
            </w:r>
          </w:p>
        </w:tc>
        <w:tc>
          <w:tcPr>
            <w:tcW w:w="3259" w:type="dxa"/>
          </w:tcPr>
          <w:p w14:paraId="3CB604BE" w14:textId="77777777" w:rsidR="00226EC5" w:rsidRPr="0077040C" w:rsidRDefault="00226EC5" w:rsidP="004459D9">
            <w:pPr>
              <w:spacing w:line="240" w:lineRule="auto"/>
              <w:jc w:val="both"/>
              <w:rPr>
                <w:rFonts w:eastAsia="Calibri" w:cs="Arial"/>
                <w:szCs w:val="20"/>
              </w:rPr>
            </w:pPr>
            <w:r w:rsidRPr="0077040C">
              <w:rPr>
                <w:rFonts w:eastAsia="Calibri" w:cs="Arial"/>
                <w:szCs w:val="20"/>
              </w:rPr>
              <w:t>2,7</w:t>
            </w:r>
          </w:p>
        </w:tc>
      </w:tr>
      <w:tr w:rsidR="00226EC5" w:rsidRPr="0077040C" w14:paraId="41BF8FA4" w14:textId="77777777" w:rsidTr="004459D9">
        <w:tc>
          <w:tcPr>
            <w:tcW w:w="3259" w:type="dxa"/>
          </w:tcPr>
          <w:p w14:paraId="22064BCC" w14:textId="77777777" w:rsidR="00226EC5" w:rsidRPr="0077040C" w:rsidRDefault="00226EC5" w:rsidP="004459D9">
            <w:pPr>
              <w:spacing w:line="240" w:lineRule="auto"/>
              <w:jc w:val="both"/>
              <w:rPr>
                <w:rFonts w:eastAsia="Calibri" w:cs="Arial"/>
                <w:szCs w:val="20"/>
              </w:rPr>
            </w:pPr>
            <w:r w:rsidRPr="0077040C">
              <w:rPr>
                <w:rFonts w:eastAsia="Calibri" w:cs="Arial"/>
                <w:szCs w:val="20"/>
              </w:rPr>
              <w:t>7</w:t>
            </w:r>
          </w:p>
        </w:tc>
        <w:tc>
          <w:tcPr>
            <w:tcW w:w="3259" w:type="dxa"/>
          </w:tcPr>
          <w:p w14:paraId="66969717" w14:textId="77777777" w:rsidR="00226EC5" w:rsidRPr="0077040C" w:rsidRDefault="00226EC5" w:rsidP="004459D9">
            <w:pPr>
              <w:spacing w:line="240" w:lineRule="auto"/>
              <w:jc w:val="both"/>
              <w:rPr>
                <w:rFonts w:eastAsia="Calibri" w:cs="Arial"/>
                <w:szCs w:val="20"/>
              </w:rPr>
            </w:pPr>
            <w:r w:rsidRPr="0077040C">
              <w:rPr>
                <w:rFonts w:eastAsia="Calibri" w:cs="Arial"/>
                <w:szCs w:val="20"/>
              </w:rPr>
              <w:t>5,17</w:t>
            </w:r>
          </w:p>
        </w:tc>
        <w:tc>
          <w:tcPr>
            <w:tcW w:w="3259" w:type="dxa"/>
          </w:tcPr>
          <w:p w14:paraId="3A2F4039" w14:textId="77777777" w:rsidR="00226EC5" w:rsidRPr="0077040C" w:rsidRDefault="00226EC5" w:rsidP="004459D9">
            <w:pPr>
              <w:spacing w:line="240" w:lineRule="auto"/>
              <w:jc w:val="both"/>
              <w:rPr>
                <w:rFonts w:eastAsia="Calibri" w:cs="Arial"/>
                <w:szCs w:val="20"/>
              </w:rPr>
            </w:pPr>
            <w:r w:rsidRPr="0077040C">
              <w:rPr>
                <w:rFonts w:eastAsia="Calibri" w:cs="Arial"/>
                <w:szCs w:val="20"/>
              </w:rPr>
              <w:t>6,31</w:t>
            </w:r>
          </w:p>
        </w:tc>
      </w:tr>
      <w:tr w:rsidR="00226EC5" w:rsidRPr="0077040C" w14:paraId="273900CA" w14:textId="77777777" w:rsidTr="004459D9">
        <w:tc>
          <w:tcPr>
            <w:tcW w:w="3259" w:type="dxa"/>
          </w:tcPr>
          <w:p w14:paraId="6CF6649C" w14:textId="77777777" w:rsidR="00226EC5" w:rsidRPr="0077040C" w:rsidRDefault="00226EC5" w:rsidP="004459D9">
            <w:pPr>
              <w:spacing w:line="240" w:lineRule="auto"/>
              <w:jc w:val="both"/>
              <w:rPr>
                <w:rFonts w:eastAsia="Calibri" w:cs="Arial"/>
                <w:szCs w:val="20"/>
              </w:rPr>
            </w:pPr>
            <w:r w:rsidRPr="0077040C">
              <w:rPr>
                <w:rFonts w:eastAsia="Calibri" w:cs="Arial"/>
                <w:szCs w:val="20"/>
              </w:rPr>
              <w:t>10</w:t>
            </w:r>
          </w:p>
        </w:tc>
        <w:tc>
          <w:tcPr>
            <w:tcW w:w="3259" w:type="dxa"/>
          </w:tcPr>
          <w:p w14:paraId="437EB34D" w14:textId="77777777" w:rsidR="00226EC5" w:rsidRPr="0077040C" w:rsidRDefault="00226EC5" w:rsidP="004459D9">
            <w:pPr>
              <w:spacing w:line="240" w:lineRule="auto"/>
              <w:jc w:val="both"/>
              <w:rPr>
                <w:rFonts w:eastAsia="Calibri" w:cs="Arial"/>
                <w:szCs w:val="20"/>
              </w:rPr>
            </w:pPr>
            <w:r w:rsidRPr="0077040C">
              <w:rPr>
                <w:rFonts w:eastAsia="Calibri" w:cs="Arial"/>
                <w:szCs w:val="20"/>
              </w:rPr>
              <w:t>7,39</w:t>
            </w:r>
          </w:p>
        </w:tc>
        <w:tc>
          <w:tcPr>
            <w:tcW w:w="3259" w:type="dxa"/>
          </w:tcPr>
          <w:p w14:paraId="6EB169E9" w14:textId="77777777" w:rsidR="00226EC5" w:rsidRPr="0077040C" w:rsidRDefault="00226EC5" w:rsidP="004459D9">
            <w:pPr>
              <w:spacing w:line="240" w:lineRule="auto"/>
              <w:jc w:val="both"/>
              <w:rPr>
                <w:rFonts w:eastAsia="Calibri" w:cs="Arial"/>
                <w:szCs w:val="20"/>
              </w:rPr>
            </w:pPr>
            <w:r w:rsidRPr="0077040C">
              <w:rPr>
                <w:rFonts w:eastAsia="Calibri" w:cs="Arial"/>
                <w:szCs w:val="20"/>
              </w:rPr>
              <w:t>9,02</w:t>
            </w:r>
          </w:p>
        </w:tc>
      </w:tr>
    </w:tbl>
    <w:p w14:paraId="50E003A6" w14:textId="77777777" w:rsidR="00226EC5" w:rsidRPr="0077040C" w:rsidRDefault="00226EC5" w:rsidP="00226EC5">
      <w:pPr>
        <w:spacing w:line="240" w:lineRule="auto"/>
        <w:jc w:val="both"/>
        <w:rPr>
          <w:rFonts w:cs="Arial"/>
          <w:szCs w:val="20"/>
        </w:rPr>
      </w:pPr>
    </w:p>
    <w:p w14:paraId="3CF8CEF9" w14:textId="77777777" w:rsidR="00226EC5" w:rsidRPr="0077040C" w:rsidRDefault="00226EC5" w:rsidP="00226EC5">
      <w:pPr>
        <w:spacing w:line="240" w:lineRule="auto"/>
        <w:jc w:val="both"/>
        <w:rPr>
          <w:rFonts w:cs="Arial"/>
          <w:szCs w:val="20"/>
        </w:rPr>
      </w:pPr>
      <w:r w:rsidRPr="0077040C">
        <w:rPr>
          <w:rFonts w:cs="Arial"/>
          <w:szCs w:val="20"/>
        </w:rPr>
        <w:t>Ocena mesečnega učinka na odjemalce odjemne skupine NN brez merjenja moči: do 40.7 EUR brez DDV oz. 49,67 EUR z DDV za obračunsko moč 41 kW.</w:t>
      </w:r>
    </w:p>
    <w:p w14:paraId="3028EDDD" w14:textId="77777777" w:rsidR="00226EC5" w:rsidRPr="0077040C" w:rsidRDefault="00226EC5" w:rsidP="00226EC5">
      <w:pPr>
        <w:spacing w:line="240" w:lineRule="auto"/>
        <w:jc w:val="both"/>
        <w:rPr>
          <w:rFonts w:cs="Arial"/>
          <w:bCs/>
          <w:iCs/>
          <w:szCs w:val="20"/>
        </w:rPr>
      </w:pPr>
    </w:p>
    <w:p w14:paraId="2D3A1519" w14:textId="77777777" w:rsidR="00226EC5" w:rsidRPr="0077040C" w:rsidRDefault="00226EC5" w:rsidP="00226EC5">
      <w:pPr>
        <w:spacing w:line="240" w:lineRule="auto"/>
        <w:jc w:val="both"/>
        <w:rPr>
          <w:rFonts w:cs="Arial"/>
          <w:b/>
          <w:bCs/>
          <w:iCs/>
          <w:szCs w:val="20"/>
        </w:rPr>
      </w:pPr>
    </w:p>
    <w:p w14:paraId="28482372" w14:textId="77777777" w:rsidR="00226EC5" w:rsidRPr="0077040C" w:rsidRDefault="00226EC5" w:rsidP="00226EC5">
      <w:pPr>
        <w:pStyle w:val="Odstavekseznama"/>
        <w:numPr>
          <w:ilvl w:val="0"/>
          <w:numId w:val="30"/>
        </w:numPr>
        <w:spacing w:line="240" w:lineRule="auto"/>
        <w:rPr>
          <w:rFonts w:cs="Arial"/>
          <w:b/>
          <w:bCs/>
          <w:iCs/>
          <w:szCs w:val="20"/>
        </w:rPr>
      </w:pPr>
      <w:r w:rsidRPr="0077040C">
        <w:rPr>
          <w:rFonts w:cs="Arial"/>
          <w:b/>
          <w:bCs/>
          <w:iCs/>
          <w:szCs w:val="20"/>
        </w:rPr>
        <w:lastRenderedPageBreak/>
        <w:t>Znižanje omrežnine za obračunsko moč in prevzeto delovno energijo ter donosnost distribucijskega</w:t>
      </w:r>
      <w:r>
        <w:rPr>
          <w:rFonts w:cs="Arial"/>
          <w:b/>
          <w:bCs/>
          <w:iCs/>
          <w:szCs w:val="20"/>
        </w:rPr>
        <w:t xml:space="preserve"> </w:t>
      </w:r>
      <w:r w:rsidRPr="0077040C">
        <w:rPr>
          <w:rFonts w:cs="Arial"/>
          <w:b/>
          <w:bCs/>
          <w:iCs/>
          <w:szCs w:val="20"/>
        </w:rPr>
        <w:t>operaterja</w:t>
      </w:r>
      <w:r w:rsidRPr="0077040C">
        <w:rPr>
          <w:rFonts w:cs="Arial"/>
          <w:b/>
          <w:bCs/>
          <w:iCs/>
          <w:szCs w:val="20"/>
        </w:rPr>
        <w:br/>
      </w:r>
    </w:p>
    <w:p w14:paraId="72848B34" w14:textId="77777777" w:rsidR="00226EC5" w:rsidRPr="0077040C" w:rsidRDefault="00226EC5" w:rsidP="00226EC5">
      <w:pPr>
        <w:spacing w:line="240" w:lineRule="auto"/>
        <w:jc w:val="both"/>
        <w:rPr>
          <w:rFonts w:cs="Arial"/>
          <w:bCs/>
          <w:iCs/>
          <w:szCs w:val="20"/>
        </w:rPr>
      </w:pPr>
      <w:r w:rsidRPr="0077040C">
        <w:rPr>
          <w:rFonts w:cs="Arial"/>
          <w:bCs/>
          <w:iCs/>
          <w:szCs w:val="20"/>
        </w:rPr>
        <w:t>Tarifne postavke za distribucijskega operaterja za obračunsko moč in prevzeto delovno energijo za vse odjemne skupine se znižajo na nič. Ukrep velja od 1. februarja 2022 do 30. aprila 2022.</w:t>
      </w:r>
    </w:p>
    <w:p w14:paraId="61DD2BF8" w14:textId="77777777" w:rsidR="00226EC5" w:rsidRPr="0077040C" w:rsidRDefault="00226EC5" w:rsidP="00226EC5">
      <w:pPr>
        <w:spacing w:line="240" w:lineRule="auto"/>
        <w:jc w:val="both"/>
        <w:rPr>
          <w:rFonts w:cs="Arial"/>
          <w:bCs/>
          <w:iCs/>
          <w:szCs w:val="20"/>
        </w:rPr>
      </w:pPr>
    </w:p>
    <w:p w14:paraId="7CECC073" w14:textId="77777777" w:rsidR="00226EC5" w:rsidRPr="0077040C" w:rsidRDefault="00226EC5" w:rsidP="00226EC5">
      <w:pPr>
        <w:pStyle w:val="Odstavekseznama"/>
        <w:numPr>
          <w:ilvl w:val="0"/>
          <w:numId w:val="30"/>
        </w:numPr>
        <w:spacing w:line="240" w:lineRule="auto"/>
        <w:jc w:val="both"/>
        <w:rPr>
          <w:rFonts w:cs="Arial"/>
          <w:bCs/>
          <w:iCs/>
          <w:szCs w:val="20"/>
        </w:rPr>
      </w:pPr>
      <w:r w:rsidRPr="0077040C">
        <w:rPr>
          <w:rFonts w:cs="Arial"/>
          <w:b/>
          <w:bCs/>
          <w:iCs/>
          <w:szCs w:val="20"/>
        </w:rPr>
        <w:t>Izenačitev pravic vseh gospodinjskih odjemalcev zemeljskega plina</w:t>
      </w:r>
    </w:p>
    <w:p w14:paraId="21A0098B" w14:textId="77777777" w:rsidR="00226EC5" w:rsidRPr="0077040C" w:rsidRDefault="00226EC5" w:rsidP="00226EC5">
      <w:pPr>
        <w:spacing w:line="240" w:lineRule="auto"/>
        <w:ind w:left="360"/>
        <w:jc w:val="both"/>
        <w:rPr>
          <w:rFonts w:cs="Arial"/>
          <w:bCs/>
          <w:iCs/>
          <w:szCs w:val="20"/>
        </w:rPr>
      </w:pPr>
    </w:p>
    <w:p w14:paraId="139AE673" w14:textId="77777777" w:rsidR="00226EC5" w:rsidRPr="0077040C" w:rsidRDefault="00226EC5" w:rsidP="00226EC5">
      <w:pPr>
        <w:spacing w:line="240" w:lineRule="auto"/>
        <w:jc w:val="both"/>
        <w:rPr>
          <w:rFonts w:cs="Arial"/>
          <w:bCs/>
          <w:iCs/>
          <w:szCs w:val="20"/>
        </w:rPr>
      </w:pPr>
      <w:r w:rsidRPr="0077040C">
        <w:rPr>
          <w:rFonts w:cs="Arial"/>
          <w:bCs/>
          <w:iCs/>
          <w:szCs w:val="20"/>
        </w:rPr>
        <w:t>Etažni lastniki posameznih stanovanj v večstanovanjskih stavbah, ki svoja stanovanja ogrevajo s toploto iz skupnih kurilnic na zemeljski plin za eno ali več večstanovanjskih stavb, pri čemer so gospodinjski odjemalci solastniki skupnih kotlovnic za eno ali več večstanovanjskih stavb, imajo pri nakupu plina za te skupne kurilnice vse pravice v zvezi z nakupnimi pogoji zemeljskega plina, kot jih imajo gospodinjski odjemalci zemeljskega plina, ki kupujejo zemeljski plin za svojo lastno rabo. Etažni lastniki pravic ne morejo uveljavljati individualno, temveč skupaj na skupnem odjemnem mestu.</w:t>
      </w:r>
    </w:p>
    <w:p w14:paraId="38879229" w14:textId="77777777" w:rsidR="00226EC5" w:rsidRDefault="00226EC5" w:rsidP="00226EC5">
      <w:pPr>
        <w:spacing w:line="240" w:lineRule="auto"/>
        <w:jc w:val="both"/>
        <w:rPr>
          <w:rFonts w:cs="Arial"/>
          <w:bCs/>
          <w:iCs/>
          <w:szCs w:val="20"/>
        </w:rPr>
      </w:pPr>
    </w:p>
    <w:p w14:paraId="43FEF434" w14:textId="77777777" w:rsidR="00226EC5" w:rsidRPr="0077040C" w:rsidRDefault="00226EC5" w:rsidP="00226EC5">
      <w:pPr>
        <w:spacing w:line="240" w:lineRule="auto"/>
        <w:jc w:val="both"/>
        <w:rPr>
          <w:rFonts w:cs="Arial"/>
          <w:bCs/>
          <w:iCs/>
          <w:szCs w:val="20"/>
        </w:rPr>
      </w:pPr>
      <w:r w:rsidRPr="0077040C">
        <w:rPr>
          <w:rFonts w:cs="Arial"/>
          <w:bCs/>
          <w:iCs/>
          <w:szCs w:val="20"/>
        </w:rPr>
        <w:t>Ukrep velja od 1. februarja 2022 do 30. aprila 2023.</w:t>
      </w:r>
    </w:p>
    <w:p w14:paraId="26EB4968" w14:textId="77777777" w:rsidR="00226EC5" w:rsidRDefault="00226EC5" w:rsidP="00226EC5">
      <w:pPr>
        <w:spacing w:line="240" w:lineRule="auto"/>
        <w:jc w:val="both"/>
        <w:rPr>
          <w:rFonts w:cs="Arial"/>
          <w:bCs/>
          <w:iCs/>
          <w:szCs w:val="20"/>
        </w:rPr>
      </w:pPr>
    </w:p>
    <w:p w14:paraId="2B6BDE71" w14:textId="77777777" w:rsidR="00226EC5" w:rsidRPr="0077040C" w:rsidRDefault="00226EC5" w:rsidP="00226EC5">
      <w:pPr>
        <w:spacing w:line="240" w:lineRule="auto"/>
        <w:jc w:val="both"/>
        <w:rPr>
          <w:rFonts w:cs="Arial"/>
          <w:bCs/>
          <w:iCs/>
          <w:szCs w:val="20"/>
        </w:rPr>
      </w:pPr>
      <w:r w:rsidRPr="0077040C">
        <w:rPr>
          <w:rFonts w:cs="Arial"/>
          <w:bCs/>
          <w:iCs/>
          <w:szCs w:val="20"/>
        </w:rPr>
        <w:t>Vir: Ministrstvo za infrastrukturo</w:t>
      </w:r>
    </w:p>
    <w:p w14:paraId="64416FB6" w14:textId="77777777" w:rsidR="00226EC5" w:rsidRDefault="00226EC5" w:rsidP="00226EC5">
      <w:pPr>
        <w:spacing w:line="240" w:lineRule="auto"/>
        <w:jc w:val="both"/>
        <w:rPr>
          <w:rFonts w:cs="Arial"/>
          <w:szCs w:val="20"/>
        </w:rPr>
      </w:pPr>
      <w:r w:rsidRPr="0077040C">
        <w:rPr>
          <w:rFonts w:cs="Arial"/>
          <w:szCs w:val="20"/>
        </w:rPr>
        <w:t xml:space="preserve"> </w:t>
      </w:r>
    </w:p>
    <w:p w14:paraId="3D679114" w14:textId="77777777" w:rsidR="00226EC5" w:rsidRPr="001F407F" w:rsidRDefault="00226EC5" w:rsidP="00226EC5">
      <w:pPr>
        <w:spacing w:line="240" w:lineRule="auto"/>
        <w:jc w:val="both"/>
        <w:rPr>
          <w:rFonts w:cs="Arial"/>
          <w:szCs w:val="20"/>
        </w:rPr>
      </w:pPr>
    </w:p>
    <w:p w14:paraId="49357EB0" w14:textId="77777777" w:rsidR="00226EC5" w:rsidRPr="001F407F" w:rsidRDefault="00226EC5" w:rsidP="00226EC5">
      <w:pPr>
        <w:autoSpaceDE w:val="0"/>
        <w:autoSpaceDN w:val="0"/>
        <w:adjustRightInd w:val="0"/>
        <w:spacing w:line="240" w:lineRule="auto"/>
        <w:jc w:val="both"/>
        <w:rPr>
          <w:rFonts w:cs="Arial"/>
          <w:b/>
          <w:szCs w:val="20"/>
        </w:rPr>
      </w:pPr>
      <w:r w:rsidRPr="001F407F">
        <w:rPr>
          <w:rFonts w:cs="Arial"/>
          <w:b/>
          <w:szCs w:val="20"/>
        </w:rPr>
        <w:t>Vlada namenja 70 milijonov evrov za pomoč gospodarstvu in kmetijstvu zaradi višjih cen energentov</w:t>
      </w:r>
    </w:p>
    <w:p w14:paraId="2449F849" w14:textId="77777777" w:rsidR="00226EC5" w:rsidRPr="001F407F" w:rsidRDefault="00226EC5" w:rsidP="00226EC5">
      <w:pPr>
        <w:autoSpaceDE w:val="0"/>
        <w:autoSpaceDN w:val="0"/>
        <w:adjustRightInd w:val="0"/>
        <w:spacing w:line="240" w:lineRule="auto"/>
        <w:jc w:val="both"/>
        <w:rPr>
          <w:rFonts w:cs="Arial"/>
          <w:color w:val="000000"/>
          <w:szCs w:val="20"/>
        </w:rPr>
      </w:pPr>
    </w:p>
    <w:p w14:paraId="44C6D3E6" w14:textId="77777777" w:rsidR="00226EC5" w:rsidRPr="001F407F" w:rsidRDefault="00226EC5" w:rsidP="00226EC5">
      <w:pPr>
        <w:autoSpaceDE w:val="0"/>
        <w:autoSpaceDN w:val="0"/>
        <w:adjustRightInd w:val="0"/>
        <w:spacing w:line="240" w:lineRule="auto"/>
        <w:jc w:val="both"/>
        <w:rPr>
          <w:rFonts w:cs="Arial"/>
          <w:szCs w:val="20"/>
          <w:lang w:eastAsia="sl-SI"/>
        </w:rPr>
      </w:pPr>
      <w:r w:rsidRPr="001F407F">
        <w:rPr>
          <w:rFonts w:cs="Arial"/>
          <w:szCs w:val="20"/>
          <w:lang w:eastAsia="sl-SI"/>
        </w:rPr>
        <w:t xml:space="preserve">Vlada je določila besedilo predloga Zakona o ukrepih za omilitev posledic dviga cen energentov v gospodarstvu in kmetijstvu, ki ga bo v sprejetje Državnemu zboru Republike Slovenije poslala po nujnem postopku. </w:t>
      </w:r>
    </w:p>
    <w:p w14:paraId="1ABBEE0E" w14:textId="77777777" w:rsidR="00226EC5" w:rsidRPr="001F407F" w:rsidRDefault="00226EC5" w:rsidP="00226EC5">
      <w:pPr>
        <w:autoSpaceDE w:val="0"/>
        <w:autoSpaceDN w:val="0"/>
        <w:adjustRightInd w:val="0"/>
        <w:spacing w:line="240" w:lineRule="auto"/>
        <w:jc w:val="both"/>
        <w:rPr>
          <w:rFonts w:cs="Arial"/>
          <w:szCs w:val="20"/>
          <w:lang w:eastAsia="sl-SI"/>
        </w:rPr>
      </w:pPr>
    </w:p>
    <w:p w14:paraId="36A85E36" w14:textId="77777777" w:rsidR="00226EC5" w:rsidRPr="001F407F" w:rsidRDefault="00226EC5" w:rsidP="00226EC5">
      <w:pPr>
        <w:autoSpaceDE w:val="0"/>
        <w:autoSpaceDN w:val="0"/>
        <w:adjustRightInd w:val="0"/>
        <w:spacing w:line="240" w:lineRule="auto"/>
        <w:jc w:val="both"/>
        <w:rPr>
          <w:rFonts w:cs="Arial"/>
          <w:szCs w:val="20"/>
          <w:lang w:eastAsia="sl-SI"/>
        </w:rPr>
      </w:pPr>
      <w:r w:rsidRPr="001F407F">
        <w:rPr>
          <w:rFonts w:cs="Arial"/>
          <w:szCs w:val="20"/>
          <w:lang w:eastAsia="sl-SI"/>
        </w:rPr>
        <w:t xml:space="preserve">Vlada z zakonom ureja pomoč gospodarstvu in kmetijstvu, zlasti pa energetsko intenzivnim podjetjem, ki so utrpela največjo škodo zaradi povišanja cen energentov. V ta namen zagotavlja 70 milijonov evrov. </w:t>
      </w:r>
    </w:p>
    <w:p w14:paraId="74331043" w14:textId="77777777" w:rsidR="00226EC5" w:rsidRPr="001F407F" w:rsidRDefault="00226EC5" w:rsidP="00226EC5">
      <w:pPr>
        <w:autoSpaceDE w:val="0"/>
        <w:autoSpaceDN w:val="0"/>
        <w:adjustRightInd w:val="0"/>
        <w:spacing w:line="240" w:lineRule="auto"/>
        <w:jc w:val="both"/>
        <w:rPr>
          <w:rFonts w:cs="Arial"/>
          <w:szCs w:val="20"/>
          <w:lang w:eastAsia="sl-SI"/>
        </w:rPr>
      </w:pPr>
    </w:p>
    <w:p w14:paraId="6603C197" w14:textId="77777777" w:rsidR="00226EC5" w:rsidRPr="001F407F" w:rsidRDefault="00226EC5" w:rsidP="00226EC5">
      <w:pPr>
        <w:autoSpaceDE w:val="0"/>
        <w:autoSpaceDN w:val="0"/>
        <w:adjustRightInd w:val="0"/>
        <w:spacing w:line="240" w:lineRule="auto"/>
        <w:jc w:val="both"/>
        <w:rPr>
          <w:rFonts w:cs="Arial"/>
          <w:szCs w:val="20"/>
          <w:lang w:eastAsia="sl-SI"/>
        </w:rPr>
      </w:pPr>
      <w:r w:rsidRPr="001F407F">
        <w:rPr>
          <w:rFonts w:cs="Arial"/>
          <w:szCs w:val="20"/>
          <w:lang w:eastAsia="sl-SI"/>
        </w:rPr>
        <w:t>Upravičenci do pomoči so pravne ali fizične osebe, ki v Sloveniji od 1. decembra 2021 opravljajo gospodarsko dejavnost, imajo vsaj pet zaposlenih in so imele v strukturi poslovnih odhodkov v letu 2019 vsaj 5 % stroškov energije in hkrati vsaj 10.000 evrov stroškov za ta namen. V kolikor te pravne in fizične osebe niso bile v omenjenem poslovnem letu v težavah in jim bodo stroški za energijo v letu 2022 v primerjavi z lanskim letom narasli za več kot 30 %, bodo lahko preko informacijskega sistema Finančne uprave Republike Slovenije zaprosile za državno pomoč. Izjavo bo potrebno predložiti do konca marca, pomoč pa bo izplačana v enkratnem znesku do 20. aprila 2022.</w:t>
      </w:r>
    </w:p>
    <w:p w14:paraId="3926A362" w14:textId="77777777" w:rsidR="00226EC5" w:rsidRPr="001F407F" w:rsidRDefault="00226EC5" w:rsidP="00226EC5">
      <w:pPr>
        <w:autoSpaceDE w:val="0"/>
        <w:autoSpaceDN w:val="0"/>
        <w:adjustRightInd w:val="0"/>
        <w:spacing w:line="240" w:lineRule="auto"/>
        <w:jc w:val="both"/>
        <w:rPr>
          <w:rFonts w:cs="Arial"/>
          <w:szCs w:val="20"/>
          <w:lang w:eastAsia="sl-SI"/>
        </w:rPr>
      </w:pPr>
    </w:p>
    <w:p w14:paraId="1A56C52A" w14:textId="77777777" w:rsidR="00226EC5" w:rsidRPr="001F407F" w:rsidRDefault="00226EC5" w:rsidP="00226EC5">
      <w:pPr>
        <w:autoSpaceDE w:val="0"/>
        <w:autoSpaceDN w:val="0"/>
        <w:adjustRightInd w:val="0"/>
        <w:spacing w:line="240" w:lineRule="auto"/>
        <w:jc w:val="both"/>
        <w:rPr>
          <w:rFonts w:cs="Arial"/>
          <w:szCs w:val="20"/>
          <w:lang w:eastAsia="sl-SI"/>
        </w:rPr>
      </w:pPr>
      <w:r w:rsidRPr="001F407F">
        <w:rPr>
          <w:rFonts w:cs="Arial"/>
          <w:szCs w:val="20"/>
          <w:lang w:eastAsia="sl-SI"/>
        </w:rPr>
        <w:t>Če bo upravičenec naknadno ugotovil, da je zahteval previsok znesek, bo o tem obvestil Finančno upravo Republike Slovenije do 31. januarja 2023 in vrnil sredstva, nad čemer bo nadzor izvajala Finančna uprava. Višina pomoči ne bo smela presegati 60 % nastale škode zaradi povišanja cen energentov.</w:t>
      </w:r>
    </w:p>
    <w:p w14:paraId="0DD69894" w14:textId="77777777" w:rsidR="00226EC5" w:rsidRPr="001F407F" w:rsidRDefault="00226EC5" w:rsidP="00226EC5">
      <w:pPr>
        <w:autoSpaceDE w:val="0"/>
        <w:autoSpaceDN w:val="0"/>
        <w:adjustRightInd w:val="0"/>
        <w:spacing w:line="240" w:lineRule="auto"/>
        <w:jc w:val="both"/>
        <w:rPr>
          <w:rFonts w:cs="Arial"/>
          <w:szCs w:val="20"/>
          <w:lang w:eastAsia="sl-SI"/>
        </w:rPr>
      </w:pPr>
    </w:p>
    <w:p w14:paraId="7CA821B4" w14:textId="77777777" w:rsidR="00226EC5" w:rsidRPr="001F407F" w:rsidRDefault="00226EC5" w:rsidP="00226EC5">
      <w:pPr>
        <w:autoSpaceDE w:val="0"/>
        <w:autoSpaceDN w:val="0"/>
        <w:adjustRightInd w:val="0"/>
        <w:spacing w:line="240" w:lineRule="auto"/>
        <w:jc w:val="both"/>
        <w:rPr>
          <w:rFonts w:cs="Arial"/>
          <w:szCs w:val="20"/>
        </w:rPr>
      </w:pPr>
      <w:r w:rsidRPr="001F407F">
        <w:rPr>
          <w:rFonts w:cs="Arial"/>
          <w:szCs w:val="20"/>
        </w:rPr>
        <w:t>Vir: Ministrstvo za gospodarski razvoj in tehnologijo</w:t>
      </w:r>
    </w:p>
    <w:p w14:paraId="59220295" w14:textId="77777777" w:rsidR="00226EC5" w:rsidRPr="001F407F" w:rsidRDefault="00226EC5" w:rsidP="00226EC5">
      <w:pPr>
        <w:autoSpaceDE w:val="0"/>
        <w:autoSpaceDN w:val="0"/>
        <w:adjustRightInd w:val="0"/>
        <w:spacing w:line="240" w:lineRule="auto"/>
        <w:jc w:val="both"/>
        <w:rPr>
          <w:rFonts w:cs="Arial"/>
          <w:szCs w:val="20"/>
        </w:rPr>
      </w:pPr>
    </w:p>
    <w:p w14:paraId="08C9E247" w14:textId="77777777" w:rsidR="00226EC5" w:rsidRPr="0077040C" w:rsidRDefault="00226EC5" w:rsidP="00226EC5">
      <w:pPr>
        <w:spacing w:line="240" w:lineRule="auto"/>
        <w:jc w:val="both"/>
        <w:rPr>
          <w:rFonts w:cs="Arial"/>
          <w:szCs w:val="20"/>
        </w:rPr>
      </w:pPr>
      <w:r w:rsidRPr="0077040C">
        <w:rPr>
          <w:rFonts w:cs="Arial"/>
          <w:szCs w:val="20"/>
        </w:rPr>
        <w:t xml:space="preserve"> </w:t>
      </w:r>
    </w:p>
    <w:p w14:paraId="43FA7098" w14:textId="77777777" w:rsidR="00226EC5" w:rsidRPr="0077040C" w:rsidRDefault="00226EC5" w:rsidP="00226EC5">
      <w:pPr>
        <w:pStyle w:val="Neotevilenodstavek"/>
        <w:spacing w:before="0" w:after="0" w:line="240" w:lineRule="auto"/>
        <w:rPr>
          <w:b/>
          <w:bCs/>
          <w:iCs/>
          <w:sz w:val="20"/>
          <w:szCs w:val="20"/>
        </w:rPr>
      </w:pPr>
      <w:r w:rsidRPr="0077040C">
        <w:rPr>
          <w:b/>
          <w:bCs/>
          <w:iCs/>
          <w:sz w:val="20"/>
          <w:szCs w:val="20"/>
        </w:rPr>
        <w:t>Vlada višje cene energentov naslavlja tudi z nižanjem trošarine za električno energijo</w:t>
      </w:r>
    </w:p>
    <w:p w14:paraId="79BE56E6" w14:textId="77777777" w:rsidR="00226EC5" w:rsidRPr="0077040C" w:rsidRDefault="00226EC5" w:rsidP="00226EC5">
      <w:pPr>
        <w:pStyle w:val="Neotevilenodstavek"/>
        <w:spacing w:before="0" w:after="0" w:line="240" w:lineRule="auto"/>
        <w:rPr>
          <w:b/>
          <w:bCs/>
          <w:iCs/>
          <w:sz w:val="20"/>
          <w:szCs w:val="20"/>
        </w:rPr>
      </w:pPr>
    </w:p>
    <w:p w14:paraId="1618B409" w14:textId="77777777" w:rsidR="00226EC5" w:rsidRPr="000A1EE6" w:rsidRDefault="00226EC5" w:rsidP="00226EC5">
      <w:pPr>
        <w:pStyle w:val="Neotevilenodstavek"/>
        <w:spacing w:before="0" w:after="0" w:line="240" w:lineRule="auto"/>
        <w:rPr>
          <w:iCs/>
          <w:sz w:val="20"/>
          <w:szCs w:val="20"/>
        </w:rPr>
      </w:pPr>
      <w:r w:rsidRPr="000A1EE6">
        <w:rPr>
          <w:iCs/>
          <w:sz w:val="20"/>
          <w:szCs w:val="20"/>
        </w:rPr>
        <w:t xml:space="preserve">Vlada je na današnji redni seji izdala uredbo, s katero se bodo za polovico nižji zneski trošarine za električno energijo uporabljali že od 1. februarja. </w:t>
      </w:r>
    </w:p>
    <w:p w14:paraId="4CBF881F" w14:textId="77777777" w:rsidR="00226EC5" w:rsidRPr="000A1EE6" w:rsidRDefault="00226EC5" w:rsidP="00226EC5">
      <w:pPr>
        <w:pStyle w:val="Neotevilenodstavek"/>
        <w:spacing w:before="0" w:after="0" w:line="240" w:lineRule="auto"/>
        <w:rPr>
          <w:iCs/>
          <w:sz w:val="20"/>
          <w:szCs w:val="20"/>
        </w:rPr>
      </w:pPr>
    </w:p>
    <w:p w14:paraId="6AD5F8B5" w14:textId="77777777" w:rsidR="00226EC5" w:rsidRPr="0077040C" w:rsidRDefault="00226EC5" w:rsidP="00226EC5">
      <w:pPr>
        <w:pStyle w:val="Neotevilenodstavek"/>
        <w:spacing w:before="0" w:after="0" w:line="240" w:lineRule="auto"/>
        <w:rPr>
          <w:sz w:val="20"/>
          <w:szCs w:val="20"/>
        </w:rPr>
      </w:pPr>
      <w:r w:rsidRPr="0077040C">
        <w:rPr>
          <w:iCs/>
          <w:sz w:val="20"/>
          <w:szCs w:val="20"/>
        </w:rPr>
        <w:t xml:space="preserve">Vlada je izdala Uredbo o določitvi zneska trošarine za električno energijo, ki predstavlja del ukrepov za naslavljanje višjih cen energentov. </w:t>
      </w:r>
      <w:r w:rsidRPr="0077040C">
        <w:rPr>
          <w:sz w:val="20"/>
          <w:szCs w:val="20"/>
        </w:rPr>
        <w:t xml:space="preserve">V skladu z Zakonom o trošarinah se trošarina za električno energijo plačuje v absolutnem znesku, ki je določena za štiri stopnje, glede na letno količino odjema električne energije. Trošarinski zavezanec mora pri obračunu trošarine upoštevati zneske trošarine, ki veljajo na dan nastanka obveznosti za plačilo trošarine. Zakon o </w:t>
      </w:r>
      <w:r w:rsidRPr="0077040C">
        <w:rPr>
          <w:sz w:val="20"/>
          <w:szCs w:val="20"/>
        </w:rPr>
        <w:lastRenderedPageBreak/>
        <w:t xml:space="preserve">trošarinah daje vladi pooblastilo za zmanjšanje ali povečanje trošarine, v skladu z ekonomsko politiko države. </w:t>
      </w:r>
    </w:p>
    <w:p w14:paraId="2DB323BA" w14:textId="77777777" w:rsidR="00226EC5" w:rsidRPr="0077040C" w:rsidRDefault="00226EC5" w:rsidP="00226EC5">
      <w:pPr>
        <w:spacing w:line="240" w:lineRule="auto"/>
        <w:jc w:val="both"/>
        <w:rPr>
          <w:rFonts w:cs="Arial"/>
          <w:szCs w:val="20"/>
        </w:rPr>
      </w:pPr>
    </w:p>
    <w:p w14:paraId="4C6E66AB" w14:textId="77777777" w:rsidR="00226EC5" w:rsidRPr="0077040C" w:rsidRDefault="00226EC5" w:rsidP="00226EC5">
      <w:pPr>
        <w:spacing w:line="240" w:lineRule="auto"/>
        <w:jc w:val="both"/>
        <w:rPr>
          <w:rFonts w:cs="Arial"/>
          <w:szCs w:val="20"/>
        </w:rPr>
      </w:pPr>
      <w:r w:rsidRPr="0077040C">
        <w:rPr>
          <w:rFonts w:cs="Arial"/>
          <w:szCs w:val="20"/>
        </w:rPr>
        <w:t xml:space="preserve">Vlada z uredbo znižuje trošarino za električno energijo s 3,05 evra na MWh na 1,525 evra na MWh za I., II. in III. stopnjo odjema električne energije ter z 1,8 evra na MWh na 0,9 evra na MWh za IV. stopnjo odjema. Uredba določa, da se znižani znesek trošarine za električno energijo uporablja od 1. februarja do 30. aprila 2022. </w:t>
      </w:r>
    </w:p>
    <w:p w14:paraId="42658EA1" w14:textId="77777777" w:rsidR="00226EC5" w:rsidRPr="0077040C" w:rsidRDefault="00226EC5" w:rsidP="00226EC5">
      <w:pPr>
        <w:widowControl w:val="0"/>
        <w:suppressAutoHyphens/>
        <w:spacing w:line="240" w:lineRule="auto"/>
        <w:jc w:val="both"/>
        <w:rPr>
          <w:rFonts w:cs="Arial"/>
          <w:bCs/>
          <w:szCs w:val="20"/>
        </w:rPr>
      </w:pPr>
    </w:p>
    <w:p w14:paraId="4D1D8E87" w14:textId="77777777" w:rsidR="00226EC5" w:rsidRPr="0077040C" w:rsidRDefault="00226EC5" w:rsidP="00226EC5">
      <w:pPr>
        <w:pStyle w:val="Glava"/>
        <w:spacing w:line="240" w:lineRule="auto"/>
        <w:jc w:val="both"/>
        <w:rPr>
          <w:rFonts w:eastAsia="Calibri" w:cs="Arial"/>
          <w:bCs/>
          <w:szCs w:val="20"/>
        </w:rPr>
      </w:pPr>
      <w:r w:rsidRPr="0077040C">
        <w:rPr>
          <w:rFonts w:eastAsia="Calibri" w:cs="Arial"/>
          <w:bCs/>
          <w:szCs w:val="20"/>
        </w:rPr>
        <w:t>V spodnji tabeli so navedeni novi zneski trošarine glede na količino odjema električne energije.</w:t>
      </w:r>
    </w:p>
    <w:p w14:paraId="01F1BB4C" w14:textId="77777777" w:rsidR="00226EC5" w:rsidRPr="0077040C" w:rsidRDefault="00226EC5" w:rsidP="00226EC5">
      <w:pPr>
        <w:pStyle w:val="Glava"/>
        <w:spacing w:line="240" w:lineRule="auto"/>
        <w:jc w:val="both"/>
        <w:rPr>
          <w:rFonts w:eastAsia="Calibri" w:cs="Arial"/>
          <w:bCs/>
          <w:szCs w:val="20"/>
        </w:rPr>
      </w:pPr>
    </w:p>
    <w:tbl>
      <w:tblPr>
        <w:tblStyle w:val="Tabelamrea"/>
        <w:tblW w:w="0" w:type="auto"/>
        <w:tblLook w:val="04A0" w:firstRow="1" w:lastRow="0" w:firstColumn="1" w:lastColumn="0" w:noHBand="0" w:noVBand="1"/>
      </w:tblPr>
      <w:tblGrid>
        <w:gridCol w:w="4248"/>
        <w:gridCol w:w="1417"/>
      </w:tblGrid>
      <w:tr w:rsidR="00226EC5" w:rsidRPr="0077040C" w14:paraId="6FF4D56C" w14:textId="77777777" w:rsidTr="004459D9">
        <w:tc>
          <w:tcPr>
            <w:tcW w:w="5665" w:type="dxa"/>
            <w:gridSpan w:val="2"/>
          </w:tcPr>
          <w:p w14:paraId="31AAF574" w14:textId="77777777" w:rsidR="00226EC5" w:rsidRPr="0077040C" w:rsidRDefault="00226EC5" w:rsidP="004459D9">
            <w:pPr>
              <w:spacing w:line="240" w:lineRule="auto"/>
              <w:jc w:val="both"/>
              <w:rPr>
                <w:rFonts w:cs="Arial"/>
                <w:szCs w:val="20"/>
              </w:rPr>
            </w:pPr>
          </w:p>
          <w:p w14:paraId="06972861" w14:textId="77777777" w:rsidR="00226EC5" w:rsidRPr="0077040C" w:rsidRDefault="00226EC5" w:rsidP="004459D9">
            <w:pPr>
              <w:spacing w:line="240" w:lineRule="auto"/>
              <w:jc w:val="both"/>
              <w:rPr>
                <w:rFonts w:cs="Arial"/>
                <w:szCs w:val="20"/>
              </w:rPr>
            </w:pPr>
            <w:r w:rsidRPr="0077040C">
              <w:rPr>
                <w:rFonts w:cs="Arial"/>
                <w:szCs w:val="20"/>
              </w:rPr>
              <w:t>evrov</w:t>
            </w:r>
          </w:p>
        </w:tc>
      </w:tr>
      <w:tr w:rsidR="00226EC5" w:rsidRPr="0077040C" w14:paraId="55F5C843" w14:textId="77777777" w:rsidTr="004459D9">
        <w:tc>
          <w:tcPr>
            <w:tcW w:w="4248" w:type="dxa"/>
          </w:tcPr>
          <w:p w14:paraId="1EAC7551" w14:textId="77777777" w:rsidR="00226EC5" w:rsidRPr="0077040C" w:rsidRDefault="00226EC5" w:rsidP="004459D9">
            <w:pPr>
              <w:spacing w:line="240" w:lineRule="auto"/>
              <w:jc w:val="both"/>
              <w:rPr>
                <w:rFonts w:cs="Arial"/>
                <w:szCs w:val="20"/>
              </w:rPr>
            </w:pPr>
            <w:r w:rsidRPr="0077040C">
              <w:rPr>
                <w:rFonts w:cs="Arial"/>
                <w:bCs/>
                <w:szCs w:val="20"/>
              </w:rPr>
              <w:t>I. stopnja od 0 do 20 MWh/leto</w:t>
            </w:r>
          </w:p>
        </w:tc>
        <w:tc>
          <w:tcPr>
            <w:tcW w:w="1417" w:type="dxa"/>
          </w:tcPr>
          <w:p w14:paraId="591D5940" w14:textId="77777777" w:rsidR="00226EC5" w:rsidRPr="0077040C" w:rsidRDefault="00226EC5" w:rsidP="004459D9">
            <w:pPr>
              <w:spacing w:line="240" w:lineRule="auto"/>
              <w:jc w:val="both"/>
              <w:rPr>
                <w:rFonts w:cs="Arial"/>
                <w:szCs w:val="20"/>
              </w:rPr>
            </w:pPr>
            <w:r w:rsidRPr="0077040C">
              <w:rPr>
                <w:rFonts w:cs="Arial"/>
                <w:szCs w:val="20"/>
              </w:rPr>
              <w:t>1,525</w:t>
            </w:r>
          </w:p>
        </w:tc>
      </w:tr>
      <w:tr w:rsidR="00226EC5" w:rsidRPr="0077040C" w14:paraId="3F5627EE" w14:textId="77777777" w:rsidTr="004459D9">
        <w:tc>
          <w:tcPr>
            <w:tcW w:w="4248" w:type="dxa"/>
          </w:tcPr>
          <w:p w14:paraId="51108E47" w14:textId="77777777" w:rsidR="00226EC5" w:rsidRPr="0077040C" w:rsidRDefault="00226EC5" w:rsidP="004459D9">
            <w:pPr>
              <w:spacing w:line="240" w:lineRule="auto"/>
              <w:jc w:val="both"/>
              <w:rPr>
                <w:rFonts w:cs="Arial"/>
                <w:szCs w:val="20"/>
              </w:rPr>
            </w:pPr>
            <w:r w:rsidRPr="0077040C">
              <w:rPr>
                <w:rFonts w:cs="Arial"/>
                <w:bCs/>
                <w:szCs w:val="20"/>
              </w:rPr>
              <w:t>II. stopnja od 20 MWh do 160 MWh/leto  </w:t>
            </w:r>
          </w:p>
        </w:tc>
        <w:tc>
          <w:tcPr>
            <w:tcW w:w="1417" w:type="dxa"/>
          </w:tcPr>
          <w:p w14:paraId="032F0EC4" w14:textId="77777777" w:rsidR="00226EC5" w:rsidRPr="0077040C" w:rsidRDefault="00226EC5" w:rsidP="004459D9">
            <w:pPr>
              <w:spacing w:line="240" w:lineRule="auto"/>
              <w:jc w:val="both"/>
              <w:rPr>
                <w:rFonts w:cs="Arial"/>
                <w:szCs w:val="20"/>
              </w:rPr>
            </w:pPr>
            <w:r w:rsidRPr="0077040C">
              <w:rPr>
                <w:rFonts w:cs="Arial"/>
                <w:szCs w:val="20"/>
              </w:rPr>
              <w:t>1,525</w:t>
            </w:r>
          </w:p>
        </w:tc>
      </w:tr>
      <w:tr w:rsidR="00226EC5" w:rsidRPr="0077040C" w14:paraId="74854D44" w14:textId="77777777" w:rsidTr="004459D9">
        <w:tc>
          <w:tcPr>
            <w:tcW w:w="4248" w:type="dxa"/>
          </w:tcPr>
          <w:p w14:paraId="6746AE2D" w14:textId="77777777" w:rsidR="00226EC5" w:rsidRPr="0077040C" w:rsidRDefault="00226EC5" w:rsidP="004459D9">
            <w:pPr>
              <w:spacing w:line="240" w:lineRule="auto"/>
              <w:jc w:val="both"/>
              <w:rPr>
                <w:rFonts w:cs="Arial"/>
                <w:szCs w:val="20"/>
              </w:rPr>
            </w:pPr>
            <w:r w:rsidRPr="0077040C">
              <w:rPr>
                <w:rFonts w:cs="Arial"/>
                <w:bCs/>
                <w:szCs w:val="20"/>
              </w:rPr>
              <w:t>III. stopnja od 160 MWh do 10.000 MWh/leto</w:t>
            </w:r>
          </w:p>
        </w:tc>
        <w:tc>
          <w:tcPr>
            <w:tcW w:w="1417" w:type="dxa"/>
          </w:tcPr>
          <w:p w14:paraId="1D94E797" w14:textId="77777777" w:rsidR="00226EC5" w:rsidRPr="0077040C" w:rsidRDefault="00226EC5" w:rsidP="004459D9">
            <w:pPr>
              <w:spacing w:line="240" w:lineRule="auto"/>
              <w:jc w:val="both"/>
              <w:rPr>
                <w:rFonts w:cs="Arial"/>
                <w:b/>
                <w:bCs/>
                <w:szCs w:val="20"/>
              </w:rPr>
            </w:pPr>
            <w:r w:rsidRPr="0077040C">
              <w:rPr>
                <w:rFonts w:cs="Arial"/>
                <w:szCs w:val="20"/>
              </w:rPr>
              <w:t>1,525</w:t>
            </w:r>
          </w:p>
        </w:tc>
      </w:tr>
      <w:tr w:rsidR="00226EC5" w:rsidRPr="0077040C" w14:paraId="4AC325F9" w14:textId="77777777" w:rsidTr="004459D9">
        <w:tc>
          <w:tcPr>
            <w:tcW w:w="4248" w:type="dxa"/>
          </w:tcPr>
          <w:p w14:paraId="38F2197F" w14:textId="77777777" w:rsidR="00226EC5" w:rsidRPr="0077040C" w:rsidRDefault="00226EC5" w:rsidP="004459D9">
            <w:pPr>
              <w:spacing w:line="240" w:lineRule="auto"/>
              <w:jc w:val="both"/>
              <w:rPr>
                <w:rFonts w:cs="Arial"/>
                <w:szCs w:val="20"/>
              </w:rPr>
            </w:pPr>
            <w:r w:rsidRPr="0077040C">
              <w:rPr>
                <w:rFonts w:cs="Arial"/>
                <w:bCs/>
                <w:szCs w:val="20"/>
              </w:rPr>
              <w:t>IV. stopnja nad 10.000 MWh/leto   </w:t>
            </w:r>
          </w:p>
        </w:tc>
        <w:tc>
          <w:tcPr>
            <w:tcW w:w="1417" w:type="dxa"/>
          </w:tcPr>
          <w:p w14:paraId="3AC8F747" w14:textId="77777777" w:rsidR="00226EC5" w:rsidRPr="0077040C" w:rsidRDefault="00226EC5" w:rsidP="004459D9">
            <w:pPr>
              <w:spacing w:line="240" w:lineRule="auto"/>
              <w:jc w:val="both"/>
              <w:rPr>
                <w:rFonts w:cs="Arial"/>
                <w:szCs w:val="20"/>
              </w:rPr>
            </w:pPr>
            <w:r w:rsidRPr="0077040C">
              <w:rPr>
                <w:rFonts w:cs="Arial"/>
                <w:szCs w:val="20"/>
              </w:rPr>
              <w:t>0,90</w:t>
            </w:r>
          </w:p>
        </w:tc>
      </w:tr>
    </w:tbl>
    <w:p w14:paraId="3B94B0BA" w14:textId="77777777" w:rsidR="00226EC5" w:rsidRPr="0077040C" w:rsidRDefault="00226EC5" w:rsidP="00226EC5">
      <w:pPr>
        <w:pStyle w:val="Glava"/>
        <w:spacing w:line="240" w:lineRule="auto"/>
        <w:jc w:val="both"/>
        <w:rPr>
          <w:rFonts w:eastAsia="Calibri" w:cs="Arial"/>
          <w:bCs/>
          <w:szCs w:val="20"/>
        </w:rPr>
      </w:pPr>
    </w:p>
    <w:p w14:paraId="524C9F4B" w14:textId="77777777" w:rsidR="00226EC5" w:rsidRPr="0077040C" w:rsidRDefault="00226EC5" w:rsidP="00226EC5">
      <w:pPr>
        <w:pStyle w:val="Glava"/>
        <w:spacing w:line="240" w:lineRule="auto"/>
        <w:jc w:val="both"/>
        <w:rPr>
          <w:rFonts w:eastAsia="Calibri" w:cs="Arial"/>
          <w:bCs/>
          <w:szCs w:val="20"/>
        </w:rPr>
      </w:pPr>
      <w:r>
        <w:rPr>
          <w:rFonts w:eastAsia="Calibri" w:cs="Arial"/>
          <w:bCs/>
          <w:szCs w:val="20"/>
        </w:rPr>
        <w:t>Vir: Ministrstvo za finance</w:t>
      </w:r>
    </w:p>
    <w:p w14:paraId="6087E446" w14:textId="77777777" w:rsidR="00226EC5" w:rsidRPr="0077040C" w:rsidRDefault="00226EC5" w:rsidP="00226EC5">
      <w:pPr>
        <w:pStyle w:val="Glava"/>
        <w:spacing w:line="240" w:lineRule="auto"/>
        <w:jc w:val="both"/>
        <w:rPr>
          <w:rFonts w:eastAsia="Calibri" w:cs="Arial"/>
          <w:bCs/>
          <w:szCs w:val="20"/>
        </w:rPr>
      </w:pPr>
    </w:p>
    <w:p w14:paraId="584D3E13" w14:textId="77777777" w:rsidR="00226EC5" w:rsidRDefault="00226EC5" w:rsidP="00226EC5">
      <w:pPr>
        <w:spacing w:line="240" w:lineRule="auto"/>
        <w:jc w:val="both"/>
        <w:rPr>
          <w:rFonts w:cs="Arial"/>
          <w:b/>
          <w:szCs w:val="20"/>
        </w:rPr>
      </w:pPr>
    </w:p>
    <w:p w14:paraId="26534748" w14:textId="77777777" w:rsidR="00226EC5" w:rsidRPr="0077040C" w:rsidRDefault="00226EC5" w:rsidP="00226EC5">
      <w:pPr>
        <w:spacing w:line="240" w:lineRule="auto"/>
        <w:jc w:val="both"/>
        <w:rPr>
          <w:rFonts w:cs="Arial"/>
          <w:b/>
          <w:szCs w:val="20"/>
        </w:rPr>
      </w:pPr>
      <w:r w:rsidRPr="0077040C">
        <w:rPr>
          <w:rFonts w:cs="Arial"/>
          <w:b/>
          <w:szCs w:val="20"/>
        </w:rPr>
        <w:t>Vlada znižuje trošarine za energente</w:t>
      </w:r>
    </w:p>
    <w:p w14:paraId="63E2499B" w14:textId="77777777" w:rsidR="00226EC5" w:rsidRPr="0077040C" w:rsidRDefault="00226EC5" w:rsidP="00226EC5">
      <w:pPr>
        <w:spacing w:line="240" w:lineRule="auto"/>
        <w:jc w:val="both"/>
        <w:rPr>
          <w:rFonts w:cs="Arial"/>
          <w:b/>
          <w:szCs w:val="20"/>
        </w:rPr>
      </w:pPr>
    </w:p>
    <w:p w14:paraId="7B2E9ED7" w14:textId="77777777" w:rsidR="00226EC5" w:rsidRPr="000A1EE6" w:rsidRDefault="00226EC5" w:rsidP="00226EC5">
      <w:pPr>
        <w:pStyle w:val="Neotevilenodstavek"/>
        <w:spacing w:before="0" w:after="0" w:line="240" w:lineRule="auto"/>
        <w:rPr>
          <w:bCs/>
          <w:iCs/>
          <w:sz w:val="20"/>
          <w:szCs w:val="20"/>
        </w:rPr>
      </w:pPr>
      <w:r w:rsidRPr="000A1EE6">
        <w:rPr>
          <w:bCs/>
          <w:iCs/>
          <w:sz w:val="20"/>
          <w:szCs w:val="20"/>
        </w:rPr>
        <w:t>Vlada je danes izdala Uredbo o spremembah Uredbe o določitvi zneska trošarine za energente. Gre za enega od interventnih ukrepov za naslavljanje višjih cen energentov. Z uredbo znižujemo trošarine od neosvinčenega bencina, plinskega olja za gorivo za pogonski namen, plinskega olja za gorivo za ogrevanje in zemeljskega plina za gorivo za ogrevanje.</w:t>
      </w:r>
    </w:p>
    <w:p w14:paraId="46908EA6" w14:textId="77777777" w:rsidR="00226EC5" w:rsidRPr="000A1EE6" w:rsidRDefault="00226EC5" w:rsidP="00226EC5">
      <w:pPr>
        <w:pStyle w:val="Neotevilenodstavek"/>
        <w:spacing w:before="0" w:after="0" w:line="240" w:lineRule="auto"/>
        <w:rPr>
          <w:bCs/>
          <w:iCs/>
          <w:sz w:val="20"/>
          <w:szCs w:val="20"/>
        </w:rPr>
      </w:pPr>
    </w:p>
    <w:p w14:paraId="32BD498D" w14:textId="77777777" w:rsidR="00226EC5" w:rsidRPr="0077040C" w:rsidRDefault="00226EC5" w:rsidP="00226EC5">
      <w:pPr>
        <w:spacing w:line="240" w:lineRule="auto"/>
        <w:jc w:val="both"/>
        <w:rPr>
          <w:rFonts w:cs="Arial"/>
          <w:szCs w:val="20"/>
        </w:rPr>
      </w:pPr>
      <w:r w:rsidRPr="0077040C">
        <w:rPr>
          <w:rFonts w:cs="Arial"/>
          <w:szCs w:val="20"/>
        </w:rPr>
        <w:t xml:space="preserve">Trošarina od energentov se skladno z Zakonom o trošarinah plačuje v absolutnem znesku, ki je določen za posamezno vrsto izdelka, in različno glede na namen (za ogrevanje ali pogon). </w:t>
      </w:r>
    </w:p>
    <w:p w14:paraId="22BB787F" w14:textId="77777777" w:rsidR="00226EC5" w:rsidRPr="0077040C" w:rsidRDefault="00226EC5" w:rsidP="00226EC5">
      <w:pPr>
        <w:spacing w:line="240" w:lineRule="auto"/>
        <w:jc w:val="both"/>
        <w:rPr>
          <w:rFonts w:cs="Arial"/>
          <w:szCs w:val="20"/>
        </w:rPr>
      </w:pPr>
    </w:p>
    <w:p w14:paraId="0D0A648D" w14:textId="77777777" w:rsidR="00226EC5" w:rsidRPr="0077040C" w:rsidRDefault="00226EC5" w:rsidP="00226EC5">
      <w:pPr>
        <w:spacing w:line="240" w:lineRule="auto"/>
        <w:jc w:val="both"/>
        <w:rPr>
          <w:rFonts w:cs="Arial"/>
          <w:szCs w:val="20"/>
        </w:rPr>
      </w:pPr>
      <w:r w:rsidRPr="0077040C">
        <w:rPr>
          <w:rFonts w:cs="Arial"/>
          <w:szCs w:val="20"/>
        </w:rPr>
        <w:t>Z izdano uredbo se tako trošarina:</w:t>
      </w:r>
    </w:p>
    <w:p w14:paraId="62C0227A" w14:textId="77777777" w:rsidR="00226EC5" w:rsidRPr="0077040C" w:rsidRDefault="00226EC5" w:rsidP="00226EC5">
      <w:pPr>
        <w:pStyle w:val="Glava"/>
        <w:numPr>
          <w:ilvl w:val="0"/>
          <w:numId w:val="31"/>
        </w:numPr>
        <w:tabs>
          <w:tab w:val="clear" w:pos="4320"/>
          <w:tab w:val="clear" w:pos="8640"/>
          <w:tab w:val="right" w:pos="426"/>
        </w:tabs>
        <w:spacing w:line="240" w:lineRule="auto"/>
        <w:jc w:val="both"/>
        <w:rPr>
          <w:rFonts w:eastAsia="Calibri" w:cs="Arial"/>
          <w:szCs w:val="20"/>
        </w:rPr>
      </w:pPr>
      <w:r w:rsidRPr="0077040C">
        <w:rPr>
          <w:rFonts w:eastAsia="Calibri" w:cs="Arial"/>
          <w:szCs w:val="20"/>
        </w:rPr>
        <w:t>za bencine zniža s 0,37701 evra/liter na 0,35901 evra/liter oziroma za 0,018 evra/liter;</w:t>
      </w:r>
    </w:p>
    <w:p w14:paraId="7FF7976E" w14:textId="77777777" w:rsidR="00226EC5" w:rsidRPr="0077040C" w:rsidRDefault="00226EC5" w:rsidP="00226EC5">
      <w:pPr>
        <w:pStyle w:val="Glava"/>
        <w:numPr>
          <w:ilvl w:val="0"/>
          <w:numId w:val="31"/>
        </w:numPr>
        <w:tabs>
          <w:tab w:val="clear" w:pos="4320"/>
          <w:tab w:val="clear" w:pos="8640"/>
          <w:tab w:val="right" w:pos="426"/>
        </w:tabs>
        <w:spacing w:line="240" w:lineRule="auto"/>
        <w:jc w:val="both"/>
        <w:rPr>
          <w:rFonts w:eastAsia="Calibri" w:cs="Arial"/>
          <w:szCs w:val="20"/>
        </w:rPr>
      </w:pPr>
      <w:r w:rsidRPr="0077040C">
        <w:rPr>
          <w:rFonts w:eastAsia="Calibri" w:cs="Arial"/>
          <w:szCs w:val="20"/>
        </w:rPr>
        <w:t>za plinsko olje za pogon zniža z 0,38767 evra/liter na 0,330 evra/liter oziroma za 0,0576 evra/liter;</w:t>
      </w:r>
    </w:p>
    <w:p w14:paraId="5879537E" w14:textId="77777777" w:rsidR="00226EC5" w:rsidRPr="0077040C" w:rsidRDefault="00226EC5" w:rsidP="00226EC5">
      <w:pPr>
        <w:pStyle w:val="Glava"/>
        <w:numPr>
          <w:ilvl w:val="0"/>
          <w:numId w:val="31"/>
        </w:numPr>
        <w:tabs>
          <w:tab w:val="clear" w:pos="4320"/>
          <w:tab w:val="clear" w:pos="8640"/>
          <w:tab w:val="right" w:pos="426"/>
        </w:tabs>
        <w:spacing w:line="240" w:lineRule="auto"/>
        <w:jc w:val="both"/>
        <w:rPr>
          <w:rFonts w:eastAsia="Calibri" w:cs="Arial"/>
          <w:szCs w:val="20"/>
        </w:rPr>
      </w:pPr>
      <w:r w:rsidRPr="0077040C">
        <w:rPr>
          <w:rFonts w:eastAsia="Calibri" w:cs="Arial"/>
          <w:szCs w:val="20"/>
        </w:rPr>
        <w:t>za plinsko olje za gorivo za ogrevanje zniža z 0,15750 evra/liter na 0,07875 evra/liter oziroma za 0,07875 evra/liter;</w:t>
      </w:r>
    </w:p>
    <w:p w14:paraId="4184DE6B" w14:textId="77777777" w:rsidR="00226EC5" w:rsidRPr="0077040C" w:rsidRDefault="00226EC5" w:rsidP="00226EC5">
      <w:pPr>
        <w:pStyle w:val="Glava"/>
        <w:numPr>
          <w:ilvl w:val="0"/>
          <w:numId w:val="31"/>
        </w:numPr>
        <w:tabs>
          <w:tab w:val="clear" w:pos="4320"/>
          <w:tab w:val="clear" w:pos="8640"/>
          <w:tab w:val="right" w:pos="426"/>
        </w:tabs>
        <w:spacing w:line="240" w:lineRule="auto"/>
        <w:jc w:val="both"/>
        <w:rPr>
          <w:rFonts w:eastAsia="Calibri" w:cs="Arial"/>
          <w:szCs w:val="20"/>
        </w:rPr>
      </w:pPr>
      <w:r w:rsidRPr="0077040C">
        <w:rPr>
          <w:rFonts w:eastAsia="Calibri" w:cs="Arial"/>
          <w:szCs w:val="20"/>
        </w:rPr>
        <w:t xml:space="preserve">za zemeljski plin za gorivo za ogrevanje zniža z </w:t>
      </w:r>
      <w:r w:rsidRPr="0077040C">
        <w:rPr>
          <w:rFonts w:cs="Arial"/>
          <w:bCs/>
          <w:szCs w:val="20"/>
        </w:rPr>
        <w:t xml:space="preserve">0,0184 evra za kubični meter </w:t>
      </w:r>
      <w:r w:rsidRPr="0077040C">
        <w:rPr>
          <w:rFonts w:eastAsia="Calibri" w:cs="Arial"/>
          <w:szCs w:val="20"/>
        </w:rPr>
        <w:t>na 0,0092 evra  za kubični meter oziroma za 0,0092 evra za kubični meter.</w:t>
      </w:r>
    </w:p>
    <w:p w14:paraId="215579F4" w14:textId="77777777" w:rsidR="00226EC5" w:rsidRPr="0077040C" w:rsidRDefault="00226EC5" w:rsidP="00226EC5">
      <w:pPr>
        <w:pStyle w:val="Glava"/>
        <w:tabs>
          <w:tab w:val="clear" w:pos="4320"/>
          <w:tab w:val="clear" w:pos="8640"/>
          <w:tab w:val="right" w:pos="426"/>
        </w:tabs>
        <w:spacing w:line="240" w:lineRule="auto"/>
        <w:jc w:val="both"/>
        <w:rPr>
          <w:rFonts w:eastAsia="Calibri" w:cs="Arial"/>
          <w:szCs w:val="20"/>
        </w:rPr>
      </w:pPr>
    </w:p>
    <w:p w14:paraId="67343944" w14:textId="77777777" w:rsidR="00226EC5" w:rsidRPr="0077040C" w:rsidRDefault="00226EC5" w:rsidP="00226EC5">
      <w:pPr>
        <w:pStyle w:val="Glava"/>
        <w:tabs>
          <w:tab w:val="clear" w:pos="4320"/>
          <w:tab w:val="clear" w:pos="8640"/>
          <w:tab w:val="right" w:pos="426"/>
        </w:tabs>
        <w:spacing w:line="240" w:lineRule="auto"/>
        <w:jc w:val="both"/>
        <w:rPr>
          <w:rFonts w:eastAsia="Calibri" w:cs="Arial"/>
          <w:szCs w:val="20"/>
        </w:rPr>
      </w:pPr>
      <w:r w:rsidRPr="0077040C">
        <w:rPr>
          <w:rFonts w:cs="Arial"/>
          <w:bCs/>
          <w:szCs w:val="20"/>
        </w:rPr>
        <w:t>Uredba začne veljati 1. februarja 2022 in velja do 30. aprila 2022.</w:t>
      </w:r>
    </w:p>
    <w:p w14:paraId="5985C54F" w14:textId="77777777" w:rsidR="00226EC5" w:rsidRDefault="00226EC5" w:rsidP="00226EC5">
      <w:pPr>
        <w:spacing w:line="240" w:lineRule="auto"/>
        <w:jc w:val="both"/>
        <w:rPr>
          <w:rFonts w:cs="Arial"/>
          <w:szCs w:val="20"/>
        </w:rPr>
      </w:pPr>
    </w:p>
    <w:p w14:paraId="7BEF5F35" w14:textId="77777777" w:rsidR="00226EC5" w:rsidRPr="0077040C" w:rsidRDefault="00226EC5" w:rsidP="00226EC5">
      <w:pPr>
        <w:pStyle w:val="Glava"/>
        <w:spacing w:line="240" w:lineRule="auto"/>
        <w:jc w:val="both"/>
        <w:rPr>
          <w:rFonts w:eastAsia="Calibri" w:cs="Arial"/>
          <w:bCs/>
          <w:szCs w:val="20"/>
        </w:rPr>
      </w:pPr>
      <w:r>
        <w:rPr>
          <w:rFonts w:eastAsia="Calibri" w:cs="Arial"/>
          <w:bCs/>
          <w:szCs w:val="20"/>
        </w:rPr>
        <w:t>Vir: Ministrstvo za finance</w:t>
      </w:r>
    </w:p>
    <w:p w14:paraId="29246998" w14:textId="77777777" w:rsidR="00226EC5" w:rsidRPr="0077040C" w:rsidRDefault="00226EC5" w:rsidP="00226EC5">
      <w:pPr>
        <w:spacing w:line="240" w:lineRule="auto"/>
        <w:jc w:val="both"/>
        <w:rPr>
          <w:rFonts w:cs="Arial"/>
          <w:szCs w:val="20"/>
        </w:rPr>
      </w:pPr>
    </w:p>
    <w:p w14:paraId="74F3B113" w14:textId="77777777" w:rsidR="00226EC5" w:rsidRPr="0077040C" w:rsidRDefault="00226EC5" w:rsidP="00226EC5">
      <w:pPr>
        <w:spacing w:line="240" w:lineRule="auto"/>
        <w:jc w:val="both"/>
        <w:rPr>
          <w:rFonts w:cs="Arial"/>
          <w:szCs w:val="20"/>
        </w:rPr>
      </w:pPr>
      <w:r w:rsidRPr="0077040C">
        <w:rPr>
          <w:rFonts w:cs="Arial"/>
          <w:szCs w:val="20"/>
        </w:rPr>
        <w:t xml:space="preserve"> </w:t>
      </w:r>
    </w:p>
    <w:p w14:paraId="43DD2355" w14:textId="77777777" w:rsidR="00226EC5" w:rsidRDefault="00226EC5" w:rsidP="00226EC5">
      <w:pPr>
        <w:spacing w:line="240" w:lineRule="auto"/>
        <w:jc w:val="both"/>
        <w:rPr>
          <w:rFonts w:cs="Arial"/>
          <w:b/>
          <w:szCs w:val="20"/>
          <w:lang w:eastAsia="sl-SI"/>
        </w:rPr>
      </w:pPr>
      <w:r w:rsidRPr="0077040C">
        <w:rPr>
          <w:rFonts w:cs="Arial"/>
          <w:b/>
          <w:szCs w:val="20"/>
          <w:lang w:eastAsia="sl-SI"/>
        </w:rPr>
        <w:t xml:space="preserve">Sklep o soglasju k vsebini razpisa za vpis v dodiplomske in enovite magistrske študijske programe v študijskem letu 2022/2023 </w:t>
      </w:r>
    </w:p>
    <w:p w14:paraId="15A1506B" w14:textId="77777777" w:rsidR="00226EC5" w:rsidRPr="0077040C" w:rsidRDefault="00226EC5" w:rsidP="00226EC5">
      <w:pPr>
        <w:spacing w:line="240" w:lineRule="auto"/>
        <w:jc w:val="both"/>
        <w:rPr>
          <w:rFonts w:cs="Arial"/>
          <w:b/>
          <w:szCs w:val="20"/>
          <w:lang w:eastAsia="sl-SI"/>
        </w:rPr>
      </w:pPr>
    </w:p>
    <w:p w14:paraId="6896D8DC" w14:textId="77777777" w:rsidR="00226EC5" w:rsidRPr="0077040C" w:rsidRDefault="00226EC5" w:rsidP="00226EC5">
      <w:pPr>
        <w:spacing w:line="240" w:lineRule="auto"/>
        <w:jc w:val="both"/>
        <w:rPr>
          <w:rFonts w:cs="Arial"/>
          <w:iCs/>
          <w:szCs w:val="20"/>
        </w:rPr>
      </w:pPr>
      <w:r w:rsidRPr="0077040C">
        <w:rPr>
          <w:rFonts w:cs="Arial"/>
          <w:szCs w:val="20"/>
        </w:rPr>
        <w:t xml:space="preserve">Vlada je dala soglasje k vsebini razpisa za vpis v dodiplomske in enovite magistrske študijske programe za študijsko leto 2022/2023. Značilnost razpisa je, da univerze oziroma fakultete postopoma prilagajajo razpisna mesta potrebam po diplomantih. Razpisna mesta je povečala Univerza v Ljubljani na Fakulteti za elektrotehniko v dveh programih, na Filozofski fakulteti (nov univerzitetni program Portugalski jezik in književnost) in na Pravni Fakulteti. Univerza v Mariboru je razpisna mesta povečala na Fakulteti za strojništvo in Fakulteti za gradbeništvo, prometno in inženirstvo in arhitekturo, Univerza na Primorskem pa na Fakulteti za vede o zdravju. Vpisna mesta sta povečali tudi Fakulteta za zdravstvo Angele Boškin in Fakulteta za informacijske študije v Novem mestu. </w:t>
      </w:r>
    </w:p>
    <w:p w14:paraId="7E0A4E67" w14:textId="77777777" w:rsidR="00226EC5" w:rsidRPr="0077040C" w:rsidRDefault="00226EC5" w:rsidP="00226EC5">
      <w:pPr>
        <w:tabs>
          <w:tab w:val="left" w:pos="708"/>
        </w:tabs>
        <w:spacing w:line="240" w:lineRule="auto"/>
        <w:jc w:val="both"/>
        <w:rPr>
          <w:rFonts w:cs="Arial"/>
          <w:szCs w:val="20"/>
        </w:rPr>
      </w:pPr>
    </w:p>
    <w:p w14:paraId="6C6EC77E" w14:textId="77777777" w:rsidR="00226EC5" w:rsidRPr="0077040C" w:rsidRDefault="00226EC5" w:rsidP="00226EC5">
      <w:pPr>
        <w:tabs>
          <w:tab w:val="left" w:pos="708"/>
        </w:tabs>
        <w:spacing w:line="240" w:lineRule="auto"/>
        <w:jc w:val="both"/>
        <w:rPr>
          <w:rFonts w:cs="Arial"/>
          <w:szCs w:val="20"/>
        </w:rPr>
      </w:pPr>
      <w:r w:rsidRPr="0077040C">
        <w:rPr>
          <w:rFonts w:cs="Arial"/>
          <w:szCs w:val="20"/>
        </w:rPr>
        <w:t xml:space="preserve">Za študijsko leto 2022/2023 bo na voljo skupaj </w:t>
      </w:r>
      <w:r w:rsidRPr="0077040C">
        <w:rPr>
          <w:rFonts w:cs="Arial"/>
          <w:b/>
          <w:bCs/>
          <w:color w:val="000000"/>
          <w:szCs w:val="20"/>
          <w:lang w:eastAsia="sl-SI"/>
        </w:rPr>
        <w:t xml:space="preserve">19.541 </w:t>
      </w:r>
      <w:r w:rsidRPr="0077040C">
        <w:rPr>
          <w:rFonts w:cs="Arial"/>
          <w:szCs w:val="20"/>
        </w:rPr>
        <w:t xml:space="preserve">vpisnih mest za vpis v 1. letnik za redni in izredni študij, in sicer </w:t>
      </w:r>
      <w:r w:rsidRPr="0077040C">
        <w:rPr>
          <w:rFonts w:cs="Arial"/>
          <w:b/>
          <w:bCs/>
          <w:color w:val="000000"/>
          <w:szCs w:val="20"/>
          <w:lang w:eastAsia="sl-SI"/>
        </w:rPr>
        <w:t>16.377</w:t>
      </w:r>
      <w:r w:rsidRPr="0077040C">
        <w:rPr>
          <w:rFonts w:cs="Arial"/>
          <w:szCs w:val="20"/>
        </w:rPr>
        <w:t xml:space="preserve"> mest za državljane Republike Slovenije in državljane držav članic </w:t>
      </w:r>
      <w:r w:rsidRPr="0077040C">
        <w:rPr>
          <w:rFonts w:cs="Arial"/>
          <w:szCs w:val="20"/>
        </w:rPr>
        <w:lastRenderedPageBreak/>
        <w:t xml:space="preserve">Evropske unije (EU) , </w:t>
      </w:r>
      <w:r w:rsidRPr="0077040C">
        <w:rPr>
          <w:rFonts w:cs="Arial"/>
          <w:b/>
          <w:bCs/>
          <w:color w:val="000000"/>
          <w:szCs w:val="20"/>
          <w:lang w:eastAsia="sl-SI"/>
        </w:rPr>
        <w:t>1.061</w:t>
      </w:r>
      <w:r w:rsidRPr="0077040C">
        <w:rPr>
          <w:rFonts w:cs="Arial"/>
          <w:szCs w:val="20"/>
        </w:rPr>
        <w:t xml:space="preserve"> mest za Slovence brez slovenskega državljanstva in </w:t>
      </w:r>
      <w:r w:rsidRPr="0077040C">
        <w:rPr>
          <w:rFonts w:cs="Arial"/>
          <w:b/>
          <w:bCs/>
          <w:color w:val="000000"/>
          <w:szCs w:val="20"/>
          <w:lang w:eastAsia="sl-SI"/>
        </w:rPr>
        <w:t xml:space="preserve">2.053 mest za </w:t>
      </w:r>
      <w:r w:rsidRPr="0077040C">
        <w:rPr>
          <w:rFonts w:cs="Arial"/>
          <w:szCs w:val="20"/>
        </w:rPr>
        <w:t>tujce, ki prihajajo iz držav, ki niso članice EU.</w:t>
      </w:r>
    </w:p>
    <w:p w14:paraId="70E81333" w14:textId="77777777" w:rsidR="00226EC5" w:rsidRPr="0077040C" w:rsidRDefault="00226EC5" w:rsidP="00226EC5">
      <w:pPr>
        <w:tabs>
          <w:tab w:val="left" w:pos="708"/>
        </w:tabs>
        <w:spacing w:line="240" w:lineRule="auto"/>
        <w:jc w:val="both"/>
        <w:rPr>
          <w:rFonts w:cs="Arial"/>
          <w:szCs w:val="20"/>
          <w:highlight w:val="yellow"/>
        </w:rPr>
      </w:pPr>
    </w:p>
    <w:p w14:paraId="1235710F" w14:textId="77777777" w:rsidR="00226EC5" w:rsidRPr="0077040C" w:rsidRDefault="00226EC5" w:rsidP="00226EC5">
      <w:pPr>
        <w:tabs>
          <w:tab w:val="left" w:pos="708"/>
        </w:tabs>
        <w:spacing w:line="240" w:lineRule="auto"/>
        <w:jc w:val="both"/>
        <w:rPr>
          <w:rFonts w:cs="Arial"/>
          <w:szCs w:val="20"/>
        </w:rPr>
      </w:pPr>
      <w:r w:rsidRPr="0077040C">
        <w:rPr>
          <w:rFonts w:cs="Arial"/>
          <w:szCs w:val="20"/>
        </w:rPr>
        <w:t xml:space="preserve">Vpisna mesta za študijsko leto 2022/2023 razpisujejo naslednji visokošolski zavodi: 5 javnih visokošolskih zavodov – Univerza v Ljubljani, Univerza v Mariboru, Univerza na Primorskem, Fakulteta za informacijske študije v Novem mestu (FIŠ) in Visoka šola za upravljanje podeželja Grm Novo mesto (ta bo kot javni visokošolski zavod v prihodnjem študijskem letu vpisoval študente le v primeru, da bodo pravočasno speljani vsi postopki za začetek opravljanja dejavnosti), ter 10 zasebnih visokošolskih zavodov s koncesijo: Univerza v Novi Gorici, Nova Univerza, Univerza v Novem mestu, Fakulteta za dizajn, Fakulteta za tehnologijo polimerov, Fakulteta za uporabne družbene študije v Novi Gorici. Fakulteta za zdravstvo Angele Boškin, </w:t>
      </w:r>
      <w:proofErr w:type="spellStart"/>
      <w:r w:rsidRPr="0077040C">
        <w:rPr>
          <w:rFonts w:cs="Arial"/>
          <w:szCs w:val="20"/>
        </w:rPr>
        <w:t>Gea</w:t>
      </w:r>
      <w:proofErr w:type="spellEnd"/>
      <w:r w:rsidRPr="0077040C">
        <w:rPr>
          <w:rFonts w:cs="Arial"/>
          <w:szCs w:val="20"/>
        </w:rPr>
        <w:t xml:space="preserve"> </w:t>
      </w:r>
      <w:proofErr w:type="spellStart"/>
      <w:r w:rsidRPr="0077040C">
        <w:rPr>
          <w:rFonts w:cs="Arial"/>
          <w:szCs w:val="20"/>
        </w:rPr>
        <w:t>College</w:t>
      </w:r>
      <w:proofErr w:type="spellEnd"/>
      <w:r w:rsidRPr="0077040C">
        <w:rPr>
          <w:rFonts w:cs="Arial"/>
          <w:szCs w:val="20"/>
        </w:rPr>
        <w:t xml:space="preserve"> – Fakulteta za podjetništvo, Mednarodna fakulteta za družbene in poslovne študije ter Visoka šola za varstvo okolja.</w:t>
      </w:r>
    </w:p>
    <w:p w14:paraId="37A4F07E" w14:textId="77777777" w:rsidR="00226EC5" w:rsidRPr="0077040C" w:rsidRDefault="00226EC5" w:rsidP="00226EC5">
      <w:pPr>
        <w:tabs>
          <w:tab w:val="left" w:pos="708"/>
        </w:tabs>
        <w:spacing w:line="240" w:lineRule="auto"/>
        <w:jc w:val="both"/>
        <w:rPr>
          <w:rFonts w:cs="Arial"/>
          <w:szCs w:val="20"/>
        </w:rPr>
      </w:pPr>
    </w:p>
    <w:p w14:paraId="4DAAEFF5" w14:textId="77777777" w:rsidR="00226EC5" w:rsidRPr="0077040C" w:rsidRDefault="00226EC5" w:rsidP="00226EC5">
      <w:pPr>
        <w:tabs>
          <w:tab w:val="left" w:pos="708"/>
        </w:tabs>
        <w:spacing w:line="240" w:lineRule="auto"/>
        <w:jc w:val="both"/>
        <w:rPr>
          <w:rFonts w:cs="Arial"/>
          <w:szCs w:val="20"/>
        </w:rPr>
      </w:pPr>
      <w:r w:rsidRPr="0077040C">
        <w:rPr>
          <w:rFonts w:cs="Arial"/>
          <w:szCs w:val="20"/>
        </w:rPr>
        <w:t>Tabela: Zbirni pregled vpisnih mest za dodiplomski študij v študijskem letu 2022/23</w:t>
      </w:r>
    </w:p>
    <w:p w14:paraId="31C47035" w14:textId="77777777" w:rsidR="00226EC5" w:rsidRPr="0077040C" w:rsidRDefault="00226EC5" w:rsidP="00226EC5">
      <w:pPr>
        <w:tabs>
          <w:tab w:val="left" w:pos="708"/>
        </w:tabs>
        <w:spacing w:line="240" w:lineRule="auto"/>
        <w:jc w:val="both"/>
        <w:rPr>
          <w:rFonts w:cs="Arial"/>
          <w:szCs w:val="20"/>
        </w:rPr>
      </w:pPr>
    </w:p>
    <w:tbl>
      <w:tblPr>
        <w:tblW w:w="9121" w:type="dxa"/>
        <w:tblCellMar>
          <w:left w:w="70" w:type="dxa"/>
          <w:right w:w="70" w:type="dxa"/>
        </w:tblCellMar>
        <w:tblLook w:val="04A0" w:firstRow="1" w:lastRow="0" w:firstColumn="1" w:lastColumn="0" w:noHBand="0" w:noVBand="1"/>
      </w:tblPr>
      <w:tblGrid>
        <w:gridCol w:w="1630"/>
        <w:gridCol w:w="825"/>
        <w:gridCol w:w="863"/>
        <w:gridCol w:w="826"/>
        <w:gridCol w:w="825"/>
        <w:gridCol w:w="863"/>
        <w:gridCol w:w="826"/>
        <w:gridCol w:w="825"/>
        <w:gridCol w:w="863"/>
        <w:gridCol w:w="826"/>
      </w:tblGrid>
      <w:tr w:rsidR="00226EC5" w:rsidRPr="0077040C" w14:paraId="0838238A" w14:textId="77777777" w:rsidTr="004459D9">
        <w:trPr>
          <w:trHeight w:val="768"/>
        </w:trPr>
        <w:tc>
          <w:tcPr>
            <w:tcW w:w="1579" w:type="dxa"/>
            <w:vMerge w:val="restart"/>
            <w:tcBorders>
              <w:top w:val="single" w:sz="8" w:space="0" w:color="auto"/>
              <w:left w:val="single" w:sz="8" w:space="0" w:color="auto"/>
              <w:bottom w:val="single" w:sz="8" w:space="0" w:color="000000"/>
              <w:right w:val="single" w:sz="8" w:space="0" w:color="auto"/>
            </w:tcBorders>
            <w:shd w:val="clear" w:color="000000" w:fill="AEAAAA"/>
            <w:vAlign w:val="center"/>
            <w:hideMark/>
          </w:tcPr>
          <w:p w14:paraId="581171CD" w14:textId="77777777" w:rsidR="00226EC5" w:rsidRPr="0077040C" w:rsidRDefault="00226EC5" w:rsidP="004459D9">
            <w:pPr>
              <w:spacing w:line="240" w:lineRule="auto"/>
              <w:jc w:val="both"/>
              <w:rPr>
                <w:rFonts w:cs="Arial"/>
                <w:b/>
                <w:bCs/>
                <w:color w:val="000000"/>
                <w:szCs w:val="20"/>
                <w:lang w:eastAsia="sl-SI"/>
              </w:rPr>
            </w:pPr>
            <w:r w:rsidRPr="0077040C">
              <w:rPr>
                <w:rFonts w:cs="Arial"/>
                <w:b/>
                <w:bCs/>
                <w:color w:val="000000"/>
                <w:szCs w:val="20"/>
                <w:lang w:eastAsia="sl-SI"/>
              </w:rPr>
              <w:t>Visokošolski zavod</w:t>
            </w:r>
          </w:p>
        </w:tc>
        <w:tc>
          <w:tcPr>
            <w:tcW w:w="2514" w:type="dxa"/>
            <w:gridSpan w:val="3"/>
            <w:tcBorders>
              <w:top w:val="single" w:sz="8" w:space="0" w:color="auto"/>
              <w:left w:val="nil"/>
              <w:bottom w:val="single" w:sz="8" w:space="0" w:color="auto"/>
              <w:right w:val="single" w:sz="8" w:space="0" w:color="000000"/>
            </w:tcBorders>
            <w:shd w:val="clear" w:color="000000" w:fill="C6D9F1"/>
            <w:vAlign w:val="center"/>
            <w:hideMark/>
          </w:tcPr>
          <w:p w14:paraId="3047A96E" w14:textId="77777777" w:rsidR="00226EC5" w:rsidRPr="0077040C" w:rsidRDefault="00226EC5" w:rsidP="004459D9">
            <w:pPr>
              <w:spacing w:line="240" w:lineRule="auto"/>
              <w:jc w:val="both"/>
              <w:rPr>
                <w:rFonts w:cs="Arial"/>
                <w:b/>
                <w:bCs/>
                <w:color w:val="000000"/>
                <w:szCs w:val="20"/>
                <w:lang w:eastAsia="sl-SI"/>
              </w:rPr>
            </w:pPr>
            <w:r w:rsidRPr="0077040C">
              <w:rPr>
                <w:rFonts w:cs="Arial"/>
                <w:b/>
                <w:bCs/>
                <w:color w:val="000000"/>
                <w:szCs w:val="20"/>
                <w:lang w:eastAsia="sl-SI"/>
              </w:rPr>
              <w:t>Državljani Republike Slovenije in državljani članic EU</w:t>
            </w:r>
          </w:p>
        </w:tc>
        <w:tc>
          <w:tcPr>
            <w:tcW w:w="2514" w:type="dxa"/>
            <w:gridSpan w:val="3"/>
            <w:tcBorders>
              <w:top w:val="single" w:sz="8" w:space="0" w:color="auto"/>
              <w:left w:val="nil"/>
              <w:bottom w:val="single" w:sz="8" w:space="0" w:color="auto"/>
              <w:right w:val="single" w:sz="8" w:space="0" w:color="000000"/>
            </w:tcBorders>
            <w:shd w:val="clear" w:color="000000" w:fill="FCE4D6"/>
            <w:vAlign w:val="center"/>
            <w:hideMark/>
          </w:tcPr>
          <w:p w14:paraId="483BA046" w14:textId="77777777" w:rsidR="00226EC5" w:rsidRPr="0077040C" w:rsidRDefault="00226EC5" w:rsidP="004459D9">
            <w:pPr>
              <w:spacing w:line="240" w:lineRule="auto"/>
              <w:jc w:val="both"/>
              <w:rPr>
                <w:rFonts w:cs="Arial"/>
                <w:b/>
                <w:bCs/>
                <w:color w:val="000000"/>
                <w:szCs w:val="20"/>
                <w:lang w:eastAsia="sl-SI"/>
              </w:rPr>
            </w:pPr>
            <w:r w:rsidRPr="0077040C">
              <w:rPr>
                <w:rFonts w:cs="Arial"/>
                <w:b/>
                <w:bCs/>
                <w:color w:val="000000"/>
                <w:szCs w:val="20"/>
                <w:lang w:eastAsia="sl-SI"/>
              </w:rPr>
              <w:t>Slovenci brez slovenskega državljanstva</w:t>
            </w:r>
          </w:p>
        </w:tc>
        <w:tc>
          <w:tcPr>
            <w:tcW w:w="2514" w:type="dxa"/>
            <w:gridSpan w:val="3"/>
            <w:tcBorders>
              <w:top w:val="single" w:sz="8" w:space="0" w:color="auto"/>
              <w:left w:val="nil"/>
              <w:bottom w:val="single" w:sz="8" w:space="0" w:color="auto"/>
              <w:right w:val="single" w:sz="8" w:space="0" w:color="000000"/>
            </w:tcBorders>
            <w:shd w:val="clear" w:color="000000" w:fill="C6E0B4"/>
            <w:vAlign w:val="center"/>
            <w:hideMark/>
          </w:tcPr>
          <w:p w14:paraId="328089ED" w14:textId="77777777" w:rsidR="00226EC5" w:rsidRPr="0077040C" w:rsidRDefault="00226EC5" w:rsidP="004459D9">
            <w:pPr>
              <w:spacing w:line="240" w:lineRule="auto"/>
              <w:jc w:val="both"/>
              <w:rPr>
                <w:rFonts w:cs="Arial"/>
                <w:b/>
                <w:bCs/>
                <w:color w:val="000000"/>
                <w:szCs w:val="20"/>
                <w:lang w:eastAsia="sl-SI"/>
              </w:rPr>
            </w:pPr>
            <w:r w:rsidRPr="0077040C">
              <w:rPr>
                <w:rFonts w:cs="Arial"/>
                <w:b/>
                <w:bCs/>
                <w:color w:val="000000"/>
                <w:szCs w:val="20"/>
                <w:lang w:eastAsia="sl-SI"/>
              </w:rPr>
              <w:t>Tujci iz držav, ki niso članice EU</w:t>
            </w:r>
          </w:p>
        </w:tc>
      </w:tr>
      <w:tr w:rsidR="00226EC5" w:rsidRPr="0077040C" w14:paraId="1ABE0CE4" w14:textId="77777777" w:rsidTr="004459D9">
        <w:trPr>
          <w:trHeight w:val="291"/>
        </w:trPr>
        <w:tc>
          <w:tcPr>
            <w:tcW w:w="1579" w:type="dxa"/>
            <w:vMerge/>
            <w:tcBorders>
              <w:top w:val="single" w:sz="8" w:space="0" w:color="auto"/>
              <w:left w:val="single" w:sz="8" w:space="0" w:color="auto"/>
              <w:bottom w:val="single" w:sz="8" w:space="0" w:color="000000"/>
              <w:right w:val="single" w:sz="8" w:space="0" w:color="auto"/>
            </w:tcBorders>
            <w:vAlign w:val="center"/>
            <w:hideMark/>
          </w:tcPr>
          <w:p w14:paraId="6CB821D3" w14:textId="77777777" w:rsidR="00226EC5" w:rsidRPr="0077040C" w:rsidRDefault="00226EC5" w:rsidP="004459D9">
            <w:pPr>
              <w:spacing w:line="240" w:lineRule="auto"/>
              <w:jc w:val="both"/>
              <w:rPr>
                <w:rFonts w:cs="Arial"/>
                <w:b/>
                <w:bCs/>
                <w:color w:val="000000"/>
                <w:szCs w:val="20"/>
                <w:lang w:eastAsia="sl-SI"/>
              </w:rPr>
            </w:pPr>
          </w:p>
        </w:tc>
        <w:tc>
          <w:tcPr>
            <w:tcW w:w="825" w:type="dxa"/>
            <w:tcBorders>
              <w:top w:val="nil"/>
              <w:left w:val="nil"/>
              <w:bottom w:val="single" w:sz="8" w:space="0" w:color="auto"/>
              <w:right w:val="single" w:sz="8" w:space="0" w:color="auto"/>
            </w:tcBorders>
            <w:shd w:val="clear" w:color="000000" w:fill="C6D9F1"/>
            <w:vAlign w:val="center"/>
            <w:hideMark/>
          </w:tcPr>
          <w:p w14:paraId="6EF67A6F" w14:textId="77777777" w:rsidR="00226EC5" w:rsidRPr="0077040C" w:rsidRDefault="00226EC5" w:rsidP="004459D9">
            <w:pPr>
              <w:spacing w:line="240" w:lineRule="auto"/>
              <w:jc w:val="both"/>
              <w:rPr>
                <w:rFonts w:cs="Arial"/>
                <w:b/>
                <w:bCs/>
                <w:color w:val="000000"/>
                <w:szCs w:val="20"/>
                <w:lang w:eastAsia="sl-SI"/>
              </w:rPr>
            </w:pPr>
            <w:r w:rsidRPr="0077040C">
              <w:rPr>
                <w:rFonts w:cs="Arial"/>
                <w:b/>
                <w:bCs/>
                <w:color w:val="000000"/>
                <w:szCs w:val="20"/>
                <w:lang w:eastAsia="sl-SI"/>
              </w:rPr>
              <w:t>Redni</w:t>
            </w:r>
          </w:p>
        </w:tc>
        <w:tc>
          <w:tcPr>
            <w:tcW w:w="863" w:type="dxa"/>
            <w:tcBorders>
              <w:top w:val="nil"/>
              <w:left w:val="nil"/>
              <w:bottom w:val="single" w:sz="8" w:space="0" w:color="auto"/>
              <w:right w:val="single" w:sz="8" w:space="0" w:color="auto"/>
            </w:tcBorders>
            <w:shd w:val="clear" w:color="000000" w:fill="C6D9F1"/>
            <w:vAlign w:val="center"/>
            <w:hideMark/>
          </w:tcPr>
          <w:p w14:paraId="00C3EBFD" w14:textId="77777777" w:rsidR="00226EC5" w:rsidRPr="0077040C" w:rsidRDefault="00226EC5" w:rsidP="004459D9">
            <w:pPr>
              <w:spacing w:line="240" w:lineRule="auto"/>
              <w:jc w:val="both"/>
              <w:rPr>
                <w:rFonts w:cs="Arial"/>
                <w:b/>
                <w:bCs/>
                <w:color w:val="000000"/>
                <w:szCs w:val="20"/>
                <w:lang w:eastAsia="sl-SI"/>
              </w:rPr>
            </w:pPr>
            <w:r w:rsidRPr="0077040C">
              <w:rPr>
                <w:rFonts w:cs="Arial"/>
                <w:b/>
                <w:bCs/>
                <w:color w:val="000000"/>
                <w:szCs w:val="20"/>
                <w:lang w:eastAsia="sl-SI"/>
              </w:rPr>
              <w:t>Izredni</w:t>
            </w:r>
          </w:p>
        </w:tc>
        <w:tc>
          <w:tcPr>
            <w:tcW w:w="826" w:type="dxa"/>
            <w:tcBorders>
              <w:top w:val="nil"/>
              <w:left w:val="nil"/>
              <w:bottom w:val="single" w:sz="8" w:space="0" w:color="auto"/>
              <w:right w:val="single" w:sz="8" w:space="0" w:color="auto"/>
            </w:tcBorders>
            <w:shd w:val="clear" w:color="000000" w:fill="C6D9F1"/>
            <w:vAlign w:val="center"/>
            <w:hideMark/>
          </w:tcPr>
          <w:p w14:paraId="7740FF88" w14:textId="77777777" w:rsidR="00226EC5" w:rsidRPr="0077040C" w:rsidRDefault="00226EC5" w:rsidP="004459D9">
            <w:pPr>
              <w:spacing w:line="240" w:lineRule="auto"/>
              <w:jc w:val="both"/>
              <w:rPr>
                <w:rFonts w:cs="Arial"/>
                <w:b/>
                <w:bCs/>
                <w:color w:val="000000"/>
                <w:szCs w:val="20"/>
                <w:lang w:eastAsia="sl-SI"/>
              </w:rPr>
            </w:pPr>
            <w:r w:rsidRPr="0077040C">
              <w:rPr>
                <w:rFonts w:cs="Arial"/>
                <w:b/>
                <w:bCs/>
                <w:color w:val="000000"/>
                <w:szCs w:val="20"/>
                <w:lang w:eastAsia="sl-SI"/>
              </w:rPr>
              <w:t>Skupaj</w:t>
            </w:r>
          </w:p>
        </w:tc>
        <w:tc>
          <w:tcPr>
            <w:tcW w:w="825" w:type="dxa"/>
            <w:tcBorders>
              <w:top w:val="nil"/>
              <w:left w:val="nil"/>
              <w:bottom w:val="single" w:sz="8" w:space="0" w:color="auto"/>
              <w:right w:val="single" w:sz="8" w:space="0" w:color="auto"/>
            </w:tcBorders>
            <w:shd w:val="clear" w:color="000000" w:fill="FCE4D6"/>
            <w:vAlign w:val="center"/>
            <w:hideMark/>
          </w:tcPr>
          <w:p w14:paraId="1397EE36" w14:textId="77777777" w:rsidR="00226EC5" w:rsidRPr="0077040C" w:rsidRDefault="00226EC5" w:rsidP="004459D9">
            <w:pPr>
              <w:spacing w:line="240" w:lineRule="auto"/>
              <w:jc w:val="both"/>
              <w:rPr>
                <w:rFonts w:cs="Arial"/>
                <w:b/>
                <w:bCs/>
                <w:color w:val="000000"/>
                <w:szCs w:val="20"/>
                <w:lang w:eastAsia="sl-SI"/>
              </w:rPr>
            </w:pPr>
            <w:r w:rsidRPr="0077040C">
              <w:rPr>
                <w:rFonts w:cs="Arial"/>
                <w:b/>
                <w:bCs/>
                <w:color w:val="000000"/>
                <w:szCs w:val="20"/>
                <w:lang w:eastAsia="sl-SI"/>
              </w:rPr>
              <w:t>Redni</w:t>
            </w:r>
          </w:p>
        </w:tc>
        <w:tc>
          <w:tcPr>
            <w:tcW w:w="863" w:type="dxa"/>
            <w:tcBorders>
              <w:top w:val="nil"/>
              <w:left w:val="nil"/>
              <w:bottom w:val="single" w:sz="8" w:space="0" w:color="auto"/>
              <w:right w:val="single" w:sz="8" w:space="0" w:color="auto"/>
            </w:tcBorders>
            <w:shd w:val="clear" w:color="000000" w:fill="FCE4D6"/>
            <w:vAlign w:val="center"/>
            <w:hideMark/>
          </w:tcPr>
          <w:p w14:paraId="469A388D" w14:textId="77777777" w:rsidR="00226EC5" w:rsidRPr="0077040C" w:rsidRDefault="00226EC5" w:rsidP="004459D9">
            <w:pPr>
              <w:spacing w:line="240" w:lineRule="auto"/>
              <w:jc w:val="both"/>
              <w:rPr>
                <w:rFonts w:cs="Arial"/>
                <w:b/>
                <w:bCs/>
                <w:color w:val="000000"/>
                <w:szCs w:val="20"/>
                <w:lang w:eastAsia="sl-SI"/>
              </w:rPr>
            </w:pPr>
            <w:r w:rsidRPr="0077040C">
              <w:rPr>
                <w:rFonts w:cs="Arial"/>
                <w:b/>
                <w:bCs/>
                <w:color w:val="000000"/>
                <w:szCs w:val="20"/>
                <w:lang w:eastAsia="sl-SI"/>
              </w:rPr>
              <w:t>Izredni</w:t>
            </w:r>
          </w:p>
        </w:tc>
        <w:tc>
          <w:tcPr>
            <w:tcW w:w="826" w:type="dxa"/>
            <w:tcBorders>
              <w:top w:val="nil"/>
              <w:left w:val="nil"/>
              <w:bottom w:val="single" w:sz="8" w:space="0" w:color="auto"/>
              <w:right w:val="single" w:sz="8" w:space="0" w:color="auto"/>
            </w:tcBorders>
            <w:shd w:val="clear" w:color="000000" w:fill="FCE4D6"/>
            <w:vAlign w:val="center"/>
            <w:hideMark/>
          </w:tcPr>
          <w:p w14:paraId="25785623" w14:textId="77777777" w:rsidR="00226EC5" w:rsidRPr="0077040C" w:rsidRDefault="00226EC5" w:rsidP="004459D9">
            <w:pPr>
              <w:spacing w:line="240" w:lineRule="auto"/>
              <w:jc w:val="both"/>
              <w:rPr>
                <w:rFonts w:cs="Arial"/>
                <w:b/>
                <w:bCs/>
                <w:color w:val="000000"/>
                <w:szCs w:val="20"/>
                <w:lang w:eastAsia="sl-SI"/>
              </w:rPr>
            </w:pPr>
            <w:r w:rsidRPr="0077040C">
              <w:rPr>
                <w:rFonts w:cs="Arial"/>
                <w:b/>
                <w:bCs/>
                <w:color w:val="000000"/>
                <w:szCs w:val="20"/>
                <w:lang w:eastAsia="sl-SI"/>
              </w:rPr>
              <w:t>Skupaj</w:t>
            </w:r>
          </w:p>
        </w:tc>
        <w:tc>
          <w:tcPr>
            <w:tcW w:w="825" w:type="dxa"/>
            <w:tcBorders>
              <w:top w:val="nil"/>
              <w:left w:val="nil"/>
              <w:bottom w:val="single" w:sz="8" w:space="0" w:color="auto"/>
              <w:right w:val="single" w:sz="8" w:space="0" w:color="auto"/>
            </w:tcBorders>
            <w:shd w:val="clear" w:color="000000" w:fill="C6E0B4"/>
            <w:vAlign w:val="center"/>
            <w:hideMark/>
          </w:tcPr>
          <w:p w14:paraId="148D392F" w14:textId="77777777" w:rsidR="00226EC5" w:rsidRPr="0077040C" w:rsidRDefault="00226EC5" w:rsidP="004459D9">
            <w:pPr>
              <w:spacing w:line="240" w:lineRule="auto"/>
              <w:jc w:val="both"/>
              <w:rPr>
                <w:rFonts w:cs="Arial"/>
                <w:b/>
                <w:bCs/>
                <w:color w:val="000000"/>
                <w:szCs w:val="20"/>
                <w:lang w:eastAsia="sl-SI"/>
              </w:rPr>
            </w:pPr>
            <w:r w:rsidRPr="0077040C">
              <w:rPr>
                <w:rFonts w:cs="Arial"/>
                <w:b/>
                <w:bCs/>
                <w:color w:val="000000"/>
                <w:szCs w:val="20"/>
                <w:lang w:eastAsia="sl-SI"/>
              </w:rPr>
              <w:t>Redni</w:t>
            </w:r>
          </w:p>
        </w:tc>
        <w:tc>
          <w:tcPr>
            <w:tcW w:w="863" w:type="dxa"/>
            <w:tcBorders>
              <w:top w:val="nil"/>
              <w:left w:val="nil"/>
              <w:bottom w:val="single" w:sz="8" w:space="0" w:color="auto"/>
              <w:right w:val="single" w:sz="8" w:space="0" w:color="auto"/>
            </w:tcBorders>
            <w:shd w:val="clear" w:color="000000" w:fill="C6E0B4"/>
            <w:vAlign w:val="center"/>
            <w:hideMark/>
          </w:tcPr>
          <w:p w14:paraId="08D789F5" w14:textId="77777777" w:rsidR="00226EC5" w:rsidRPr="0077040C" w:rsidRDefault="00226EC5" w:rsidP="004459D9">
            <w:pPr>
              <w:spacing w:line="240" w:lineRule="auto"/>
              <w:jc w:val="both"/>
              <w:rPr>
                <w:rFonts w:cs="Arial"/>
                <w:b/>
                <w:bCs/>
                <w:color w:val="000000"/>
                <w:szCs w:val="20"/>
                <w:lang w:eastAsia="sl-SI"/>
              </w:rPr>
            </w:pPr>
            <w:r w:rsidRPr="0077040C">
              <w:rPr>
                <w:rFonts w:cs="Arial"/>
                <w:b/>
                <w:bCs/>
                <w:color w:val="000000"/>
                <w:szCs w:val="20"/>
                <w:lang w:eastAsia="sl-SI"/>
              </w:rPr>
              <w:t>Izredni</w:t>
            </w:r>
          </w:p>
        </w:tc>
        <w:tc>
          <w:tcPr>
            <w:tcW w:w="826" w:type="dxa"/>
            <w:tcBorders>
              <w:top w:val="nil"/>
              <w:left w:val="nil"/>
              <w:bottom w:val="single" w:sz="8" w:space="0" w:color="auto"/>
              <w:right w:val="single" w:sz="8" w:space="0" w:color="auto"/>
            </w:tcBorders>
            <w:shd w:val="clear" w:color="000000" w:fill="C6E0B4"/>
            <w:vAlign w:val="center"/>
            <w:hideMark/>
          </w:tcPr>
          <w:p w14:paraId="4FD4333A" w14:textId="77777777" w:rsidR="00226EC5" w:rsidRPr="0077040C" w:rsidRDefault="00226EC5" w:rsidP="004459D9">
            <w:pPr>
              <w:spacing w:line="240" w:lineRule="auto"/>
              <w:jc w:val="both"/>
              <w:rPr>
                <w:rFonts w:cs="Arial"/>
                <w:b/>
                <w:bCs/>
                <w:color w:val="000000"/>
                <w:szCs w:val="20"/>
                <w:lang w:eastAsia="sl-SI"/>
              </w:rPr>
            </w:pPr>
            <w:r w:rsidRPr="0077040C">
              <w:rPr>
                <w:rFonts w:cs="Arial"/>
                <w:b/>
                <w:bCs/>
                <w:color w:val="000000"/>
                <w:szCs w:val="20"/>
                <w:lang w:eastAsia="sl-SI"/>
              </w:rPr>
              <w:t>Skupaj</w:t>
            </w:r>
          </w:p>
        </w:tc>
      </w:tr>
      <w:tr w:rsidR="00226EC5" w:rsidRPr="0077040C" w14:paraId="167A6CFA" w14:textId="77777777" w:rsidTr="004459D9">
        <w:trPr>
          <w:trHeight w:val="291"/>
        </w:trPr>
        <w:tc>
          <w:tcPr>
            <w:tcW w:w="1579" w:type="dxa"/>
            <w:tcBorders>
              <w:top w:val="nil"/>
              <w:left w:val="single" w:sz="8" w:space="0" w:color="auto"/>
              <w:bottom w:val="single" w:sz="8" w:space="0" w:color="auto"/>
              <w:right w:val="single" w:sz="8" w:space="0" w:color="auto"/>
            </w:tcBorders>
            <w:shd w:val="clear" w:color="000000" w:fill="D9D9D9"/>
            <w:noWrap/>
            <w:vAlign w:val="center"/>
            <w:hideMark/>
          </w:tcPr>
          <w:p w14:paraId="080151FC" w14:textId="77777777" w:rsidR="00226EC5" w:rsidRPr="0077040C" w:rsidRDefault="00226EC5" w:rsidP="004459D9">
            <w:pPr>
              <w:spacing w:line="240" w:lineRule="auto"/>
              <w:jc w:val="both"/>
              <w:rPr>
                <w:rFonts w:cs="Arial"/>
                <w:color w:val="000000"/>
                <w:szCs w:val="20"/>
                <w:lang w:eastAsia="sl-SI"/>
              </w:rPr>
            </w:pPr>
            <w:r w:rsidRPr="0077040C">
              <w:rPr>
                <w:rFonts w:cs="Arial"/>
                <w:color w:val="000000"/>
                <w:szCs w:val="20"/>
                <w:lang w:eastAsia="sl-SI"/>
              </w:rPr>
              <w:t>UL</w:t>
            </w:r>
          </w:p>
        </w:tc>
        <w:tc>
          <w:tcPr>
            <w:tcW w:w="825" w:type="dxa"/>
            <w:tcBorders>
              <w:top w:val="nil"/>
              <w:left w:val="nil"/>
              <w:bottom w:val="single" w:sz="8" w:space="0" w:color="auto"/>
              <w:right w:val="single" w:sz="8" w:space="0" w:color="auto"/>
            </w:tcBorders>
            <w:shd w:val="clear" w:color="000000" w:fill="D9D9D9"/>
            <w:noWrap/>
            <w:vAlign w:val="center"/>
            <w:hideMark/>
          </w:tcPr>
          <w:p w14:paraId="35B2EB24"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8.112</w:t>
            </w:r>
          </w:p>
        </w:tc>
        <w:tc>
          <w:tcPr>
            <w:tcW w:w="863" w:type="dxa"/>
            <w:tcBorders>
              <w:top w:val="nil"/>
              <w:left w:val="nil"/>
              <w:bottom w:val="single" w:sz="8" w:space="0" w:color="auto"/>
              <w:right w:val="single" w:sz="8" w:space="0" w:color="auto"/>
            </w:tcBorders>
            <w:shd w:val="clear" w:color="000000" w:fill="D9D9D9"/>
            <w:noWrap/>
            <w:vAlign w:val="center"/>
            <w:hideMark/>
          </w:tcPr>
          <w:p w14:paraId="2BF39F91"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872</w:t>
            </w:r>
          </w:p>
        </w:tc>
        <w:tc>
          <w:tcPr>
            <w:tcW w:w="826" w:type="dxa"/>
            <w:tcBorders>
              <w:top w:val="nil"/>
              <w:left w:val="nil"/>
              <w:bottom w:val="single" w:sz="8" w:space="0" w:color="auto"/>
              <w:right w:val="single" w:sz="8" w:space="0" w:color="auto"/>
            </w:tcBorders>
            <w:shd w:val="clear" w:color="000000" w:fill="D9D9D9"/>
            <w:vAlign w:val="center"/>
            <w:hideMark/>
          </w:tcPr>
          <w:p w14:paraId="3C3D4F33"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8.984</w:t>
            </w:r>
          </w:p>
        </w:tc>
        <w:tc>
          <w:tcPr>
            <w:tcW w:w="825" w:type="dxa"/>
            <w:tcBorders>
              <w:top w:val="nil"/>
              <w:left w:val="nil"/>
              <w:bottom w:val="single" w:sz="8" w:space="0" w:color="auto"/>
              <w:right w:val="single" w:sz="8" w:space="0" w:color="auto"/>
            </w:tcBorders>
            <w:shd w:val="clear" w:color="000000" w:fill="D9D9D9"/>
            <w:noWrap/>
            <w:vAlign w:val="center"/>
            <w:hideMark/>
          </w:tcPr>
          <w:p w14:paraId="171422FC"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356</w:t>
            </w:r>
          </w:p>
        </w:tc>
        <w:tc>
          <w:tcPr>
            <w:tcW w:w="863" w:type="dxa"/>
            <w:tcBorders>
              <w:top w:val="nil"/>
              <w:left w:val="nil"/>
              <w:bottom w:val="single" w:sz="8" w:space="0" w:color="auto"/>
              <w:right w:val="single" w:sz="8" w:space="0" w:color="auto"/>
            </w:tcBorders>
            <w:shd w:val="clear" w:color="000000" w:fill="D9D9D9"/>
            <w:noWrap/>
            <w:vAlign w:val="center"/>
            <w:hideMark/>
          </w:tcPr>
          <w:p w14:paraId="7A8ECDA6"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63</w:t>
            </w:r>
          </w:p>
        </w:tc>
        <w:tc>
          <w:tcPr>
            <w:tcW w:w="826" w:type="dxa"/>
            <w:tcBorders>
              <w:top w:val="nil"/>
              <w:left w:val="nil"/>
              <w:bottom w:val="single" w:sz="8" w:space="0" w:color="auto"/>
              <w:right w:val="single" w:sz="8" w:space="0" w:color="auto"/>
            </w:tcBorders>
            <w:shd w:val="clear" w:color="000000" w:fill="D9D9D9"/>
            <w:noWrap/>
            <w:vAlign w:val="center"/>
            <w:hideMark/>
          </w:tcPr>
          <w:p w14:paraId="53744AAC"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419</w:t>
            </w:r>
          </w:p>
        </w:tc>
        <w:tc>
          <w:tcPr>
            <w:tcW w:w="825" w:type="dxa"/>
            <w:tcBorders>
              <w:top w:val="nil"/>
              <w:left w:val="nil"/>
              <w:bottom w:val="single" w:sz="8" w:space="0" w:color="auto"/>
              <w:right w:val="single" w:sz="8" w:space="0" w:color="auto"/>
            </w:tcBorders>
            <w:shd w:val="clear" w:color="000000" w:fill="D9D9D9"/>
            <w:noWrap/>
            <w:vAlign w:val="center"/>
            <w:hideMark/>
          </w:tcPr>
          <w:p w14:paraId="2F617B95"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682</w:t>
            </w:r>
          </w:p>
        </w:tc>
        <w:tc>
          <w:tcPr>
            <w:tcW w:w="863" w:type="dxa"/>
            <w:tcBorders>
              <w:top w:val="nil"/>
              <w:left w:val="nil"/>
              <w:bottom w:val="single" w:sz="8" w:space="0" w:color="auto"/>
              <w:right w:val="single" w:sz="8" w:space="0" w:color="auto"/>
            </w:tcBorders>
            <w:shd w:val="clear" w:color="000000" w:fill="D9D9D9"/>
            <w:noWrap/>
            <w:vAlign w:val="center"/>
            <w:hideMark/>
          </w:tcPr>
          <w:p w14:paraId="49CEC777"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100</w:t>
            </w:r>
          </w:p>
        </w:tc>
        <w:tc>
          <w:tcPr>
            <w:tcW w:w="826" w:type="dxa"/>
            <w:tcBorders>
              <w:top w:val="nil"/>
              <w:left w:val="nil"/>
              <w:bottom w:val="single" w:sz="8" w:space="0" w:color="auto"/>
              <w:right w:val="single" w:sz="8" w:space="0" w:color="auto"/>
            </w:tcBorders>
            <w:shd w:val="clear" w:color="000000" w:fill="D9D9D9"/>
            <w:noWrap/>
            <w:vAlign w:val="center"/>
            <w:hideMark/>
          </w:tcPr>
          <w:p w14:paraId="1CC6ECE2"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782</w:t>
            </w:r>
          </w:p>
        </w:tc>
      </w:tr>
      <w:tr w:rsidR="00226EC5" w:rsidRPr="0077040C" w14:paraId="18E9EDF5" w14:textId="77777777" w:rsidTr="004459D9">
        <w:trPr>
          <w:trHeight w:val="291"/>
        </w:trPr>
        <w:tc>
          <w:tcPr>
            <w:tcW w:w="1579" w:type="dxa"/>
            <w:tcBorders>
              <w:top w:val="nil"/>
              <w:left w:val="single" w:sz="8" w:space="0" w:color="auto"/>
              <w:bottom w:val="single" w:sz="8" w:space="0" w:color="auto"/>
              <w:right w:val="single" w:sz="8" w:space="0" w:color="auto"/>
            </w:tcBorders>
            <w:shd w:val="clear" w:color="000000" w:fill="D9D9D9"/>
            <w:noWrap/>
            <w:vAlign w:val="center"/>
            <w:hideMark/>
          </w:tcPr>
          <w:p w14:paraId="71B3623F" w14:textId="77777777" w:rsidR="00226EC5" w:rsidRPr="0077040C" w:rsidRDefault="00226EC5" w:rsidP="004459D9">
            <w:pPr>
              <w:spacing w:line="240" w:lineRule="auto"/>
              <w:jc w:val="both"/>
              <w:rPr>
                <w:rFonts w:cs="Arial"/>
                <w:color w:val="000000"/>
                <w:szCs w:val="20"/>
                <w:lang w:eastAsia="sl-SI"/>
              </w:rPr>
            </w:pPr>
            <w:r w:rsidRPr="0077040C">
              <w:rPr>
                <w:rFonts w:cs="Arial"/>
                <w:color w:val="000000"/>
                <w:szCs w:val="20"/>
                <w:lang w:eastAsia="sl-SI"/>
              </w:rPr>
              <w:t>UM</w:t>
            </w:r>
          </w:p>
        </w:tc>
        <w:tc>
          <w:tcPr>
            <w:tcW w:w="825" w:type="dxa"/>
            <w:tcBorders>
              <w:top w:val="nil"/>
              <w:left w:val="nil"/>
              <w:bottom w:val="single" w:sz="8" w:space="0" w:color="auto"/>
              <w:right w:val="single" w:sz="8" w:space="0" w:color="auto"/>
            </w:tcBorders>
            <w:shd w:val="clear" w:color="000000" w:fill="D9D9D9"/>
            <w:noWrap/>
            <w:vAlign w:val="center"/>
            <w:hideMark/>
          </w:tcPr>
          <w:p w14:paraId="09CD0A45"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3.742</w:t>
            </w:r>
          </w:p>
        </w:tc>
        <w:tc>
          <w:tcPr>
            <w:tcW w:w="863" w:type="dxa"/>
            <w:tcBorders>
              <w:top w:val="nil"/>
              <w:left w:val="nil"/>
              <w:bottom w:val="single" w:sz="8" w:space="0" w:color="auto"/>
              <w:right w:val="single" w:sz="8" w:space="0" w:color="auto"/>
            </w:tcBorders>
            <w:shd w:val="clear" w:color="000000" w:fill="D9D9D9"/>
            <w:noWrap/>
            <w:vAlign w:val="center"/>
            <w:hideMark/>
          </w:tcPr>
          <w:p w14:paraId="1A0FA474"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785</w:t>
            </w:r>
          </w:p>
        </w:tc>
        <w:tc>
          <w:tcPr>
            <w:tcW w:w="826" w:type="dxa"/>
            <w:tcBorders>
              <w:top w:val="nil"/>
              <w:left w:val="nil"/>
              <w:bottom w:val="single" w:sz="8" w:space="0" w:color="auto"/>
              <w:right w:val="single" w:sz="8" w:space="0" w:color="auto"/>
            </w:tcBorders>
            <w:shd w:val="clear" w:color="000000" w:fill="D9D9D9"/>
            <w:vAlign w:val="center"/>
            <w:hideMark/>
          </w:tcPr>
          <w:p w14:paraId="6524B022"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4.527</w:t>
            </w:r>
          </w:p>
        </w:tc>
        <w:tc>
          <w:tcPr>
            <w:tcW w:w="825" w:type="dxa"/>
            <w:tcBorders>
              <w:top w:val="nil"/>
              <w:left w:val="nil"/>
              <w:bottom w:val="single" w:sz="8" w:space="0" w:color="auto"/>
              <w:right w:val="single" w:sz="8" w:space="0" w:color="auto"/>
            </w:tcBorders>
            <w:shd w:val="clear" w:color="000000" w:fill="D9D9D9"/>
            <w:noWrap/>
            <w:vAlign w:val="center"/>
            <w:hideMark/>
          </w:tcPr>
          <w:p w14:paraId="4B85F8D2"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308</w:t>
            </w:r>
          </w:p>
        </w:tc>
        <w:tc>
          <w:tcPr>
            <w:tcW w:w="863" w:type="dxa"/>
            <w:tcBorders>
              <w:top w:val="nil"/>
              <w:left w:val="nil"/>
              <w:bottom w:val="single" w:sz="8" w:space="0" w:color="auto"/>
              <w:right w:val="single" w:sz="8" w:space="0" w:color="auto"/>
            </w:tcBorders>
            <w:shd w:val="clear" w:color="000000" w:fill="D9D9D9"/>
            <w:noWrap/>
            <w:vAlign w:val="center"/>
            <w:hideMark/>
          </w:tcPr>
          <w:p w14:paraId="6DA75C6A"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128</w:t>
            </w:r>
          </w:p>
        </w:tc>
        <w:tc>
          <w:tcPr>
            <w:tcW w:w="826" w:type="dxa"/>
            <w:tcBorders>
              <w:top w:val="nil"/>
              <w:left w:val="nil"/>
              <w:bottom w:val="single" w:sz="8" w:space="0" w:color="auto"/>
              <w:right w:val="single" w:sz="8" w:space="0" w:color="auto"/>
            </w:tcBorders>
            <w:shd w:val="clear" w:color="000000" w:fill="D9D9D9"/>
            <w:noWrap/>
            <w:vAlign w:val="center"/>
            <w:hideMark/>
          </w:tcPr>
          <w:p w14:paraId="48913D54"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436</w:t>
            </w:r>
          </w:p>
        </w:tc>
        <w:tc>
          <w:tcPr>
            <w:tcW w:w="825" w:type="dxa"/>
            <w:tcBorders>
              <w:top w:val="nil"/>
              <w:left w:val="nil"/>
              <w:bottom w:val="single" w:sz="8" w:space="0" w:color="auto"/>
              <w:right w:val="single" w:sz="8" w:space="0" w:color="auto"/>
            </w:tcBorders>
            <w:shd w:val="clear" w:color="000000" w:fill="D9D9D9"/>
            <w:noWrap/>
            <w:vAlign w:val="center"/>
            <w:hideMark/>
          </w:tcPr>
          <w:p w14:paraId="06EA8BDF"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533</w:t>
            </w:r>
          </w:p>
        </w:tc>
        <w:tc>
          <w:tcPr>
            <w:tcW w:w="863" w:type="dxa"/>
            <w:tcBorders>
              <w:top w:val="nil"/>
              <w:left w:val="nil"/>
              <w:bottom w:val="single" w:sz="8" w:space="0" w:color="auto"/>
              <w:right w:val="single" w:sz="8" w:space="0" w:color="auto"/>
            </w:tcBorders>
            <w:shd w:val="clear" w:color="000000" w:fill="D9D9D9"/>
            <w:noWrap/>
            <w:vAlign w:val="center"/>
            <w:hideMark/>
          </w:tcPr>
          <w:p w14:paraId="6F04A102"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330</w:t>
            </w:r>
          </w:p>
        </w:tc>
        <w:tc>
          <w:tcPr>
            <w:tcW w:w="826" w:type="dxa"/>
            <w:tcBorders>
              <w:top w:val="nil"/>
              <w:left w:val="nil"/>
              <w:bottom w:val="single" w:sz="8" w:space="0" w:color="auto"/>
              <w:right w:val="single" w:sz="8" w:space="0" w:color="auto"/>
            </w:tcBorders>
            <w:shd w:val="clear" w:color="000000" w:fill="D9D9D9"/>
            <w:noWrap/>
            <w:vAlign w:val="center"/>
            <w:hideMark/>
          </w:tcPr>
          <w:p w14:paraId="1FA1B002"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863</w:t>
            </w:r>
          </w:p>
        </w:tc>
      </w:tr>
      <w:tr w:rsidR="00226EC5" w:rsidRPr="0077040C" w14:paraId="37EA7F7F" w14:textId="77777777" w:rsidTr="004459D9">
        <w:trPr>
          <w:trHeight w:val="291"/>
        </w:trPr>
        <w:tc>
          <w:tcPr>
            <w:tcW w:w="1579" w:type="dxa"/>
            <w:tcBorders>
              <w:top w:val="nil"/>
              <w:left w:val="single" w:sz="8" w:space="0" w:color="auto"/>
              <w:bottom w:val="single" w:sz="8" w:space="0" w:color="auto"/>
              <w:right w:val="single" w:sz="8" w:space="0" w:color="auto"/>
            </w:tcBorders>
            <w:shd w:val="clear" w:color="000000" w:fill="D9D9D9"/>
            <w:noWrap/>
            <w:vAlign w:val="center"/>
            <w:hideMark/>
          </w:tcPr>
          <w:p w14:paraId="615A9071" w14:textId="77777777" w:rsidR="00226EC5" w:rsidRPr="0077040C" w:rsidRDefault="00226EC5" w:rsidP="004459D9">
            <w:pPr>
              <w:spacing w:line="240" w:lineRule="auto"/>
              <w:jc w:val="both"/>
              <w:rPr>
                <w:rFonts w:cs="Arial"/>
                <w:color w:val="000000"/>
                <w:szCs w:val="20"/>
                <w:lang w:eastAsia="sl-SI"/>
              </w:rPr>
            </w:pPr>
            <w:r w:rsidRPr="0077040C">
              <w:rPr>
                <w:rFonts w:cs="Arial"/>
                <w:color w:val="000000"/>
                <w:szCs w:val="20"/>
                <w:lang w:eastAsia="sl-SI"/>
              </w:rPr>
              <w:t>UP</w:t>
            </w:r>
          </w:p>
        </w:tc>
        <w:tc>
          <w:tcPr>
            <w:tcW w:w="825" w:type="dxa"/>
            <w:tcBorders>
              <w:top w:val="nil"/>
              <w:left w:val="nil"/>
              <w:bottom w:val="single" w:sz="8" w:space="0" w:color="auto"/>
              <w:right w:val="single" w:sz="8" w:space="0" w:color="auto"/>
            </w:tcBorders>
            <w:shd w:val="clear" w:color="000000" w:fill="D9D9D9"/>
            <w:noWrap/>
            <w:vAlign w:val="center"/>
            <w:hideMark/>
          </w:tcPr>
          <w:p w14:paraId="6A6420FB"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1.189</w:t>
            </w:r>
          </w:p>
        </w:tc>
        <w:tc>
          <w:tcPr>
            <w:tcW w:w="863" w:type="dxa"/>
            <w:tcBorders>
              <w:top w:val="nil"/>
              <w:left w:val="nil"/>
              <w:bottom w:val="single" w:sz="8" w:space="0" w:color="auto"/>
              <w:right w:val="single" w:sz="8" w:space="0" w:color="auto"/>
            </w:tcBorders>
            <w:shd w:val="clear" w:color="000000" w:fill="D9D9D9"/>
            <w:noWrap/>
            <w:vAlign w:val="center"/>
            <w:hideMark/>
          </w:tcPr>
          <w:p w14:paraId="1E522689"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320</w:t>
            </w:r>
          </w:p>
        </w:tc>
        <w:tc>
          <w:tcPr>
            <w:tcW w:w="826" w:type="dxa"/>
            <w:tcBorders>
              <w:top w:val="nil"/>
              <w:left w:val="nil"/>
              <w:bottom w:val="single" w:sz="8" w:space="0" w:color="auto"/>
              <w:right w:val="single" w:sz="8" w:space="0" w:color="auto"/>
            </w:tcBorders>
            <w:shd w:val="clear" w:color="000000" w:fill="D9D9D9"/>
            <w:vAlign w:val="center"/>
            <w:hideMark/>
          </w:tcPr>
          <w:p w14:paraId="509D1815"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1.509</w:t>
            </w:r>
          </w:p>
        </w:tc>
        <w:tc>
          <w:tcPr>
            <w:tcW w:w="825" w:type="dxa"/>
            <w:tcBorders>
              <w:top w:val="nil"/>
              <w:left w:val="nil"/>
              <w:bottom w:val="single" w:sz="8" w:space="0" w:color="auto"/>
              <w:right w:val="single" w:sz="8" w:space="0" w:color="auto"/>
            </w:tcBorders>
            <w:shd w:val="clear" w:color="000000" w:fill="D9D9D9"/>
            <w:noWrap/>
            <w:vAlign w:val="center"/>
            <w:hideMark/>
          </w:tcPr>
          <w:p w14:paraId="35B1ADF4"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65</w:t>
            </w:r>
          </w:p>
        </w:tc>
        <w:tc>
          <w:tcPr>
            <w:tcW w:w="863" w:type="dxa"/>
            <w:tcBorders>
              <w:top w:val="nil"/>
              <w:left w:val="nil"/>
              <w:bottom w:val="single" w:sz="8" w:space="0" w:color="auto"/>
              <w:right w:val="single" w:sz="8" w:space="0" w:color="auto"/>
            </w:tcBorders>
            <w:shd w:val="clear" w:color="000000" w:fill="D9D9D9"/>
            <w:noWrap/>
            <w:vAlign w:val="center"/>
            <w:hideMark/>
          </w:tcPr>
          <w:p w14:paraId="7C6B38B0"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14</w:t>
            </w:r>
          </w:p>
        </w:tc>
        <w:tc>
          <w:tcPr>
            <w:tcW w:w="826" w:type="dxa"/>
            <w:tcBorders>
              <w:top w:val="nil"/>
              <w:left w:val="nil"/>
              <w:bottom w:val="single" w:sz="8" w:space="0" w:color="auto"/>
              <w:right w:val="single" w:sz="8" w:space="0" w:color="auto"/>
            </w:tcBorders>
            <w:shd w:val="clear" w:color="000000" w:fill="D9D9D9"/>
            <w:noWrap/>
            <w:vAlign w:val="center"/>
            <w:hideMark/>
          </w:tcPr>
          <w:p w14:paraId="386AA9FB"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79</w:t>
            </w:r>
          </w:p>
        </w:tc>
        <w:tc>
          <w:tcPr>
            <w:tcW w:w="825" w:type="dxa"/>
            <w:tcBorders>
              <w:top w:val="nil"/>
              <w:left w:val="nil"/>
              <w:bottom w:val="single" w:sz="8" w:space="0" w:color="auto"/>
              <w:right w:val="single" w:sz="8" w:space="0" w:color="auto"/>
            </w:tcBorders>
            <w:shd w:val="clear" w:color="000000" w:fill="D9D9D9"/>
            <w:noWrap/>
            <w:vAlign w:val="center"/>
            <w:hideMark/>
          </w:tcPr>
          <w:p w14:paraId="6F07C757"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200</w:t>
            </w:r>
          </w:p>
        </w:tc>
        <w:tc>
          <w:tcPr>
            <w:tcW w:w="863" w:type="dxa"/>
            <w:tcBorders>
              <w:top w:val="nil"/>
              <w:left w:val="nil"/>
              <w:bottom w:val="single" w:sz="8" w:space="0" w:color="auto"/>
              <w:right w:val="single" w:sz="8" w:space="0" w:color="auto"/>
            </w:tcBorders>
            <w:shd w:val="clear" w:color="000000" w:fill="D9D9D9"/>
            <w:noWrap/>
            <w:vAlign w:val="center"/>
            <w:hideMark/>
          </w:tcPr>
          <w:p w14:paraId="1877478C"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35</w:t>
            </w:r>
          </w:p>
        </w:tc>
        <w:tc>
          <w:tcPr>
            <w:tcW w:w="826" w:type="dxa"/>
            <w:tcBorders>
              <w:top w:val="nil"/>
              <w:left w:val="nil"/>
              <w:bottom w:val="single" w:sz="8" w:space="0" w:color="auto"/>
              <w:right w:val="single" w:sz="8" w:space="0" w:color="auto"/>
            </w:tcBorders>
            <w:shd w:val="clear" w:color="000000" w:fill="D9D9D9"/>
            <w:noWrap/>
            <w:vAlign w:val="center"/>
            <w:hideMark/>
          </w:tcPr>
          <w:p w14:paraId="330091EA"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235</w:t>
            </w:r>
          </w:p>
        </w:tc>
      </w:tr>
      <w:tr w:rsidR="00226EC5" w:rsidRPr="0077040C" w14:paraId="559F0756" w14:textId="77777777" w:rsidTr="004459D9">
        <w:trPr>
          <w:trHeight w:val="291"/>
        </w:trPr>
        <w:tc>
          <w:tcPr>
            <w:tcW w:w="1579" w:type="dxa"/>
            <w:tcBorders>
              <w:top w:val="nil"/>
              <w:left w:val="single" w:sz="8" w:space="0" w:color="auto"/>
              <w:bottom w:val="single" w:sz="8" w:space="0" w:color="auto"/>
              <w:right w:val="single" w:sz="8" w:space="0" w:color="auto"/>
            </w:tcBorders>
            <w:shd w:val="clear" w:color="000000" w:fill="D9D9D9"/>
            <w:noWrap/>
            <w:vAlign w:val="center"/>
            <w:hideMark/>
          </w:tcPr>
          <w:p w14:paraId="3A29FB89" w14:textId="77777777" w:rsidR="00226EC5" w:rsidRPr="0077040C" w:rsidRDefault="00226EC5" w:rsidP="004459D9">
            <w:pPr>
              <w:spacing w:line="240" w:lineRule="auto"/>
              <w:jc w:val="both"/>
              <w:rPr>
                <w:rFonts w:cs="Arial"/>
                <w:color w:val="000000"/>
                <w:szCs w:val="20"/>
                <w:lang w:eastAsia="sl-SI"/>
              </w:rPr>
            </w:pPr>
            <w:r w:rsidRPr="0077040C">
              <w:rPr>
                <w:rFonts w:cs="Arial"/>
                <w:color w:val="000000"/>
                <w:szCs w:val="20"/>
                <w:lang w:eastAsia="sl-SI"/>
              </w:rPr>
              <w:t>FIŠ</w:t>
            </w:r>
          </w:p>
        </w:tc>
        <w:tc>
          <w:tcPr>
            <w:tcW w:w="825" w:type="dxa"/>
            <w:tcBorders>
              <w:top w:val="nil"/>
              <w:left w:val="nil"/>
              <w:bottom w:val="single" w:sz="8" w:space="0" w:color="auto"/>
              <w:right w:val="single" w:sz="8" w:space="0" w:color="auto"/>
            </w:tcBorders>
            <w:shd w:val="clear" w:color="000000" w:fill="D9D9D9"/>
            <w:noWrap/>
            <w:vAlign w:val="center"/>
            <w:hideMark/>
          </w:tcPr>
          <w:p w14:paraId="77A38CC9"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120</w:t>
            </w:r>
          </w:p>
        </w:tc>
        <w:tc>
          <w:tcPr>
            <w:tcW w:w="863" w:type="dxa"/>
            <w:tcBorders>
              <w:top w:val="nil"/>
              <w:left w:val="nil"/>
              <w:bottom w:val="single" w:sz="8" w:space="0" w:color="auto"/>
              <w:right w:val="single" w:sz="8" w:space="0" w:color="auto"/>
            </w:tcBorders>
            <w:shd w:val="clear" w:color="000000" w:fill="D9D9D9"/>
            <w:noWrap/>
            <w:vAlign w:val="center"/>
            <w:hideMark/>
          </w:tcPr>
          <w:p w14:paraId="585CE8F0"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80</w:t>
            </w:r>
          </w:p>
        </w:tc>
        <w:tc>
          <w:tcPr>
            <w:tcW w:w="826" w:type="dxa"/>
            <w:tcBorders>
              <w:top w:val="nil"/>
              <w:left w:val="nil"/>
              <w:bottom w:val="single" w:sz="8" w:space="0" w:color="auto"/>
              <w:right w:val="single" w:sz="8" w:space="0" w:color="auto"/>
            </w:tcBorders>
            <w:shd w:val="clear" w:color="000000" w:fill="D9D9D9"/>
            <w:vAlign w:val="center"/>
            <w:hideMark/>
          </w:tcPr>
          <w:p w14:paraId="7F612B01"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200</w:t>
            </w:r>
          </w:p>
        </w:tc>
        <w:tc>
          <w:tcPr>
            <w:tcW w:w="825" w:type="dxa"/>
            <w:tcBorders>
              <w:top w:val="nil"/>
              <w:left w:val="nil"/>
              <w:bottom w:val="single" w:sz="8" w:space="0" w:color="auto"/>
              <w:right w:val="single" w:sz="8" w:space="0" w:color="auto"/>
            </w:tcBorders>
            <w:shd w:val="clear" w:color="000000" w:fill="D9D9D9"/>
            <w:noWrap/>
            <w:vAlign w:val="center"/>
            <w:hideMark/>
          </w:tcPr>
          <w:p w14:paraId="4DBBD42D"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12</w:t>
            </w:r>
          </w:p>
        </w:tc>
        <w:tc>
          <w:tcPr>
            <w:tcW w:w="863" w:type="dxa"/>
            <w:tcBorders>
              <w:top w:val="nil"/>
              <w:left w:val="nil"/>
              <w:bottom w:val="single" w:sz="8" w:space="0" w:color="auto"/>
              <w:right w:val="single" w:sz="8" w:space="0" w:color="auto"/>
            </w:tcBorders>
            <w:shd w:val="clear" w:color="000000" w:fill="D9D9D9"/>
            <w:noWrap/>
            <w:vAlign w:val="center"/>
            <w:hideMark/>
          </w:tcPr>
          <w:p w14:paraId="39C7A448"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21</w:t>
            </w:r>
          </w:p>
        </w:tc>
        <w:tc>
          <w:tcPr>
            <w:tcW w:w="826" w:type="dxa"/>
            <w:tcBorders>
              <w:top w:val="nil"/>
              <w:left w:val="nil"/>
              <w:bottom w:val="single" w:sz="8" w:space="0" w:color="auto"/>
              <w:right w:val="single" w:sz="8" w:space="0" w:color="auto"/>
            </w:tcBorders>
            <w:shd w:val="clear" w:color="000000" w:fill="D9D9D9"/>
            <w:noWrap/>
            <w:vAlign w:val="center"/>
            <w:hideMark/>
          </w:tcPr>
          <w:p w14:paraId="3AF62125"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33</w:t>
            </w:r>
          </w:p>
        </w:tc>
        <w:tc>
          <w:tcPr>
            <w:tcW w:w="825" w:type="dxa"/>
            <w:tcBorders>
              <w:top w:val="nil"/>
              <w:left w:val="nil"/>
              <w:bottom w:val="single" w:sz="8" w:space="0" w:color="auto"/>
              <w:right w:val="single" w:sz="8" w:space="0" w:color="auto"/>
            </w:tcBorders>
            <w:shd w:val="clear" w:color="000000" w:fill="D9D9D9"/>
            <w:noWrap/>
            <w:vAlign w:val="center"/>
            <w:hideMark/>
          </w:tcPr>
          <w:p w14:paraId="0F624AC2"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12</w:t>
            </w:r>
          </w:p>
        </w:tc>
        <w:tc>
          <w:tcPr>
            <w:tcW w:w="863" w:type="dxa"/>
            <w:tcBorders>
              <w:top w:val="nil"/>
              <w:left w:val="nil"/>
              <w:bottom w:val="single" w:sz="8" w:space="0" w:color="auto"/>
              <w:right w:val="single" w:sz="8" w:space="0" w:color="auto"/>
            </w:tcBorders>
            <w:shd w:val="clear" w:color="000000" w:fill="D9D9D9"/>
            <w:noWrap/>
            <w:vAlign w:val="center"/>
            <w:hideMark/>
          </w:tcPr>
          <w:p w14:paraId="48DA9E70"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19</w:t>
            </w:r>
          </w:p>
        </w:tc>
        <w:tc>
          <w:tcPr>
            <w:tcW w:w="826" w:type="dxa"/>
            <w:tcBorders>
              <w:top w:val="nil"/>
              <w:left w:val="nil"/>
              <w:bottom w:val="single" w:sz="8" w:space="0" w:color="auto"/>
              <w:right w:val="single" w:sz="8" w:space="0" w:color="auto"/>
            </w:tcBorders>
            <w:shd w:val="clear" w:color="000000" w:fill="D9D9D9"/>
            <w:noWrap/>
            <w:vAlign w:val="center"/>
            <w:hideMark/>
          </w:tcPr>
          <w:p w14:paraId="05FCFDBE"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31</w:t>
            </w:r>
          </w:p>
        </w:tc>
      </w:tr>
      <w:tr w:rsidR="00226EC5" w:rsidRPr="0077040C" w14:paraId="202805C3" w14:textId="77777777" w:rsidTr="004459D9">
        <w:trPr>
          <w:trHeight w:val="291"/>
        </w:trPr>
        <w:tc>
          <w:tcPr>
            <w:tcW w:w="1579" w:type="dxa"/>
            <w:tcBorders>
              <w:top w:val="nil"/>
              <w:left w:val="single" w:sz="8" w:space="0" w:color="auto"/>
              <w:bottom w:val="single" w:sz="8" w:space="0" w:color="auto"/>
              <w:right w:val="single" w:sz="8" w:space="0" w:color="auto"/>
            </w:tcBorders>
            <w:shd w:val="clear" w:color="000000" w:fill="D9D9D9"/>
            <w:noWrap/>
            <w:vAlign w:val="center"/>
            <w:hideMark/>
          </w:tcPr>
          <w:p w14:paraId="50E9599D" w14:textId="77777777" w:rsidR="00226EC5" w:rsidRPr="0077040C" w:rsidRDefault="00226EC5" w:rsidP="004459D9">
            <w:pPr>
              <w:spacing w:line="240" w:lineRule="auto"/>
              <w:jc w:val="both"/>
              <w:rPr>
                <w:rFonts w:cs="Arial"/>
                <w:color w:val="000000"/>
                <w:szCs w:val="20"/>
                <w:lang w:eastAsia="sl-SI"/>
              </w:rPr>
            </w:pPr>
            <w:r w:rsidRPr="0077040C">
              <w:rPr>
                <w:rFonts w:cs="Arial"/>
                <w:color w:val="000000"/>
                <w:szCs w:val="20"/>
                <w:lang w:eastAsia="sl-SI"/>
              </w:rPr>
              <w:t>VŠ GRM</w:t>
            </w:r>
          </w:p>
        </w:tc>
        <w:tc>
          <w:tcPr>
            <w:tcW w:w="825" w:type="dxa"/>
            <w:tcBorders>
              <w:top w:val="nil"/>
              <w:left w:val="nil"/>
              <w:bottom w:val="single" w:sz="8" w:space="0" w:color="auto"/>
              <w:right w:val="single" w:sz="8" w:space="0" w:color="auto"/>
            </w:tcBorders>
            <w:shd w:val="clear" w:color="000000" w:fill="D9D9D9"/>
            <w:noWrap/>
            <w:vAlign w:val="center"/>
            <w:hideMark/>
          </w:tcPr>
          <w:p w14:paraId="231FC10A"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60</w:t>
            </w:r>
          </w:p>
        </w:tc>
        <w:tc>
          <w:tcPr>
            <w:tcW w:w="863" w:type="dxa"/>
            <w:tcBorders>
              <w:top w:val="nil"/>
              <w:left w:val="nil"/>
              <w:bottom w:val="single" w:sz="8" w:space="0" w:color="auto"/>
              <w:right w:val="single" w:sz="8" w:space="0" w:color="auto"/>
            </w:tcBorders>
            <w:shd w:val="clear" w:color="000000" w:fill="D9D9D9"/>
            <w:noWrap/>
            <w:vAlign w:val="center"/>
            <w:hideMark/>
          </w:tcPr>
          <w:p w14:paraId="143D70C8"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60</w:t>
            </w:r>
          </w:p>
        </w:tc>
        <w:tc>
          <w:tcPr>
            <w:tcW w:w="826" w:type="dxa"/>
            <w:tcBorders>
              <w:top w:val="nil"/>
              <w:left w:val="nil"/>
              <w:bottom w:val="single" w:sz="8" w:space="0" w:color="auto"/>
              <w:right w:val="single" w:sz="8" w:space="0" w:color="auto"/>
            </w:tcBorders>
            <w:shd w:val="clear" w:color="000000" w:fill="D9D9D9"/>
            <w:vAlign w:val="center"/>
            <w:hideMark/>
          </w:tcPr>
          <w:p w14:paraId="141C5B76"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120</w:t>
            </w:r>
          </w:p>
        </w:tc>
        <w:tc>
          <w:tcPr>
            <w:tcW w:w="825" w:type="dxa"/>
            <w:tcBorders>
              <w:top w:val="nil"/>
              <w:left w:val="nil"/>
              <w:bottom w:val="single" w:sz="8" w:space="0" w:color="auto"/>
              <w:right w:val="single" w:sz="8" w:space="0" w:color="auto"/>
            </w:tcBorders>
            <w:shd w:val="clear" w:color="000000" w:fill="D9D9D9"/>
            <w:noWrap/>
            <w:vAlign w:val="center"/>
            <w:hideMark/>
          </w:tcPr>
          <w:p w14:paraId="1EED7731"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30</w:t>
            </w:r>
          </w:p>
        </w:tc>
        <w:tc>
          <w:tcPr>
            <w:tcW w:w="863" w:type="dxa"/>
            <w:tcBorders>
              <w:top w:val="nil"/>
              <w:left w:val="nil"/>
              <w:bottom w:val="single" w:sz="8" w:space="0" w:color="auto"/>
              <w:right w:val="single" w:sz="8" w:space="0" w:color="auto"/>
            </w:tcBorders>
            <w:shd w:val="clear" w:color="000000" w:fill="D9D9D9"/>
            <w:noWrap/>
            <w:vAlign w:val="center"/>
            <w:hideMark/>
          </w:tcPr>
          <w:p w14:paraId="1702448E"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30</w:t>
            </w:r>
          </w:p>
        </w:tc>
        <w:tc>
          <w:tcPr>
            <w:tcW w:w="826" w:type="dxa"/>
            <w:tcBorders>
              <w:top w:val="nil"/>
              <w:left w:val="nil"/>
              <w:bottom w:val="single" w:sz="8" w:space="0" w:color="auto"/>
              <w:right w:val="single" w:sz="8" w:space="0" w:color="auto"/>
            </w:tcBorders>
            <w:shd w:val="clear" w:color="000000" w:fill="D9D9D9"/>
            <w:noWrap/>
            <w:vAlign w:val="center"/>
            <w:hideMark/>
          </w:tcPr>
          <w:p w14:paraId="4D0CC670"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60</w:t>
            </w:r>
          </w:p>
        </w:tc>
        <w:tc>
          <w:tcPr>
            <w:tcW w:w="825" w:type="dxa"/>
            <w:tcBorders>
              <w:top w:val="nil"/>
              <w:left w:val="nil"/>
              <w:bottom w:val="single" w:sz="8" w:space="0" w:color="auto"/>
              <w:right w:val="single" w:sz="8" w:space="0" w:color="auto"/>
            </w:tcBorders>
            <w:shd w:val="clear" w:color="000000" w:fill="D9D9D9"/>
            <w:noWrap/>
            <w:vAlign w:val="center"/>
            <w:hideMark/>
          </w:tcPr>
          <w:p w14:paraId="7E25A222"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12</w:t>
            </w:r>
          </w:p>
        </w:tc>
        <w:tc>
          <w:tcPr>
            <w:tcW w:w="863" w:type="dxa"/>
            <w:tcBorders>
              <w:top w:val="nil"/>
              <w:left w:val="nil"/>
              <w:bottom w:val="single" w:sz="8" w:space="0" w:color="auto"/>
              <w:right w:val="single" w:sz="8" w:space="0" w:color="auto"/>
            </w:tcBorders>
            <w:shd w:val="clear" w:color="000000" w:fill="D9D9D9"/>
            <w:noWrap/>
            <w:vAlign w:val="center"/>
            <w:hideMark/>
          </w:tcPr>
          <w:p w14:paraId="04C9DE54"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30</w:t>
            </w:r>
          </w:p>
        </w:tc>
        <w:tc>
          <w:tcPr>
            <w:tcW w:w="826" w:type="dxa"/>
            <w:tcBorders>
              <w:top w:val="nil"/>
              <w:left w:val="nil"/>
              <w:bottom w:val="single" w:sz="8" w:space="0" w:color="auto"/>
              <w:right w:val="single" w:sz="8" w:space="0" w:color="auto"/>
            </w:tcBorders>
            <w:shd w:val="clear" w:color="000000" w:fill="D9D9D9"/>
            <w:noWrap/>
            <w:vAlign w:val="center"/>
            <w:hideMark/>
          </w:tcPr>
          <w:p w14:paraId="4F62E640"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42</w:t>
            </w:r>
          </w:p>
        </w:tc>
      </w:tr>
      <w:tr w:rsidR="00226EC5" w:rsidRPr="0077040C" w14:paraId="7191CC30" w14:textId="77777777" w:rsidTr="004459D9">
        <w:trPr>
          <w:trHeight w:val="291"/>
        </w:trPr>
        <w:tc>
          <w:tcPr>
            <w:tcW w:w="1579" w:type="dxa"/>
            <w:tcBorders>
              <w:top w:val="nil"/>
              <w:left w:val="single" w:sz="8" w:space="0" w:color="auto"/>
              <w:bottom w:val="single" w:sz="8" w:space="0" w:color="auto"/>
              <w:right w:val="single" w:sz="8" w:space="0" w:color="auto"/>
            </w:tcBorders>
            <w:shd w:val="clear" w:color="auto" w:fill="auto"/>
            <w:noWrap/>
            <w:vAlign w:val="center"/>
            <w:hideMark/>
          </w:tcPr>
          <w:p w14:paraId="3A71BB85" w14:textId="77777777" w:rsidR="00226EC5" w:rsidRPr="0077040C" w:rsidRDefault="00226EC5" w:rsidP="004459D9">
            <w:pPr>
              <w:spacing w:line="240" w:lineRule="auto"/>
              <w:jc w:val="both"/>
              <w:rPr>
                <w:rFonts w:cs="Arial"/>
                <w:color w:val="000000"/>
                <w:szCs w:val="20"/>
                <w:lang w:eastAsia="sl-SI"/>
              </w:rPr>
            </w:pPr>
            <w:r w:rsidRPr="0077040C">
              <w:rPr>
                <w:rFonts w:cs="Arial"/>
                <w:color w:val="000000"/>
                <w:szCs w:val="20"/>
                <w:lang w:eastAsia="sl-SI"/>
              </w:rPr>
              <w:t>UNG</w:t>
            </w:r>
          </w:p>
        </w:tc>
        <w:tc>
          <w:tcPr>
            <w:tcW w:w="825" w:type="dxa"/>
            <w:tcBorders>
              <w:top w:val="nil"/>
              <w:left w:val="nil"/>
              <w:bottom w:val="single" w:sz="8" w:space="0" w:color="auto"/>
              <w:right w:val="single" w:sz="8" w:space="0" w:color="auto"/>
            </w:tcBorders>
            <w:shd w:val="clear" w:color="auto" w:fill="auto"/>
            <w:noWrap/>
            <w:vAlign w:val="center"/>
            <w:hideMark/>
          </w:tcPr>
          <w:p w14:paraId="3833A134"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205</w:t>
            </w:r>
          </w:p>
        </w:tc>
        <w:tc>
          <w:tcPr>
            <w:tcW w:w="863" w:type="dxa"/>
            <w:tcBorders>
              <w:top w:val="nil"/>
              <w:left w:val="nil"/>
              <w:bottom w:val="single" w:sz="8" w:space="0" w:color="auto"/>
              <w:right w:val="single" w:sz="8" w:space="0" w:color="auto"/>
            </w:tcBorders>
            <w:shd w:val="clear" w:color="000000" w:fill="FFFFFF"/>
            <w:noWrap/>
            <w:vAlign w:val="center"/>
            <w:hideMark/>
          </w:tcPr>
          <w:p w14:paraId="2FBC1119" w14:textId="77777777" w:rsidR="00226EC5" w:rsidRPr="0077040C" w:rsidRDefault="00226EC5" w:rsidP="004459D9">
            <w:pPr>
              <w:spacing w:line="240" w:lineRule="auto"/>
              <w:jc w:val="both"/>
              <w:rPr>
                <w:rFonts w:cs="Arial"/>
                <w:szCs w:val="20"/>
              </w:rPr>
            </w:pPr>
            <w:r w:rsidRPr="0077040C">
              <w:rPr>
                <w:rFonts w:cs="Arial"/>
                <w:szCs w:val="20"/>
              </w:rPr>
              <w:t>/ </w:t>
            </w:r>
          </w:p>
        </w:tc>
        <w:tc>
          <w:tcPr>
            <w:tcW w:w="826" w:type="dxa"/>
            <w:tcBorders>
              <w:top w:val="nil"/>
              <w:left w:val="nil"/>
              <w:bottom w:val="single" w:sz="8" w:space="0" w:color="auto"/>
              <w:right w:val="single" w:sz="8" w:space="0" w:color="auto"/>
            </w:tcBorders>
            <w:shd w:val="clear" w:color="auto" w:fill="auto"/>
            <w:vAlign w:val="center"/>
            <w:hideMark/>
          </w:tcPr>
          <w:p w14:paraId="5CE8B150" w14:textId="77777777" w:rsidR="00226EC5" w:rsidRPr="0077040C" w:rsidRDefault="00226EC5" w:rsidP="004459D9">
            <w:pPr>
              <w:spacing w:line="240" w:lineRule="auto"/>
              <w:jc w:val="both"/>
              <w:rPr>
                <w:rFonts w:cs="Arial"/>
                <w:szCs w:val="20"/>
              </w:rPr>
            </w:pPr>
            <w:r w:rsidRPr="0077040C">
              <w:rPr>
                <w:rFonts w:cs="Arial"/>
                <w:szCs w:val="20"/>
              </w:rPr>
              <w:t>205</w:t>
            </w:r>
          </w:p>
        </w:tc>
        <w:tc>
          <w:tcPr>
            <w:tcW w:w="825" w:type="dxa"/>
            <w:tcBorders>
              <w:top w:val="nil"/>
              <w:left w:val="nil"/>
              <w:bottom w:val="single" w:sz="8" w:space="0" w:color="auto"/>
              <w:right w:val="single" w:sz="8" w:space="0" w:color="auto"/>
            </w:tcBorders>
            <w:shd w:val="clear" w:color="auto" w:fill="auto"/>
            <w:noWrap/>
            <w:vAlign w:val="center"/>
            <w:hideMark/>
          </w:tcPr>
          <w:p w14:paraId="65E743F8" w14:textId="77777777" w:rsidR="00226EC5" w:rsidRPr="0077040C" w:rsidRDefault="00226EC5" w:rsidP="004459D9">
            <w:pPr>
              <w:spacing w:line="240" w:lineRule="auto"/>
              <w:jc w:val="both"/>
              <w:rPr>
                <w:rFonts w:cs="Arial"/>
                <w:szCs w:val="20"/>
              </w:rPr>
            </w:pPr>
            <w:r w:rsidRPr="0077040C">
              <w:rPr>
                <w:rFonts w:cs="Arial"/>
                <w:szCs w:val="20"/>
              </w:rPr>
              <w:t>12</w:t>
            </w:r>
          </w:p>
        </w:tc>
        <w:tc>
          <w:tcPr>
            <w:tcW w:w="863" w:type="dxa"/>
            <w:tcBorders>
              <w:top w:val="nil"/>
              <w:left w:val="nil"/>
              <w:bottom w:val="single" w:sz="8" w:space="0" w:color="auto"/>
              <w:right w:val="single" w:sz="8" w:space="0" w:color="auto"/>
            </w:tcBorders>
            <w:shd w:val="clear" w:color="auto" w:fill="auto"/>
            <w:noWrap/>
            <w:vAlign w:val="center"/>
            <w:hideMark/>
          </w:tcPr>
          <w:p w14:paraId="74276F3C" w14:textId="77777777" w:rsidR="00226EC5" w:rsidRPr="0077040C" w:rsidRDefault="00226EC5" w:rsidP="004459D9">
            <w:pPr>
              <w:spacing w:line="240" w:lineRule="auto"/>
              <w:jc w:val="both"/>
              <w:rPr>
                <w:rFonts w:cs="Arial"/>
                <w:szCs w:val="20"/>
              </w:rPr>
            </w:pPr>
            <w:r w:rsidRPr="0077040C">
              <w:rPr>
                <w:rFonts w:cs="Arial"/>
                <w:szCs w:val="20"/>
              </w:rPr>
              <w:t>/ </w:t>
            </w:r>
          </w:p>
        </w:tc>
        <w:tc>
          <w:tcPr>
            <w:tcW w:w="826" w:type="dxa"/>
            <w:tcBorders>
              <w:top w:val="nil"/>
              <w:left w:val="nil"/>
              <w:bottom w:val="single" w:sz="8" w:space="0" w:color="auto"/>
              <w:right w:val="single" w:sz="8" w:space="0" w:color="auto"/>
            </w:tcBorders>
            <w:shd w:val="clear" w:color="auto" w:fill="auto"/>
            <w:noWrap/>
            <w:vAlign w:val="center"/>
            <w:hideMark/>
          </w:tcPr>
          <w:p w14:paraId="27E35173" w14:textId="77777777" w:rsidR="00226EC5" w:rsidRPr="0077040C" w:rsidRDefault="00226EC5" w:rsidP="004459D9">
            <w:pPr>
              <w:spacing w:line="240" w:lineRule="auto"/>
              <w:jc w:val="both"/>
              <w:rPr>
                <w:rFonts w:cs="Arial"/>
                <w:szCs w:val="20"/>
              </w:rPr>
            </w:pPr>
            <w:r w:rsidRPr="0077040C">
              <w:rPr>
                <w:rFonts w:cs="Arial"/>
                <w:szCs w:val="20"/>
              </w:rPr>
              <w:t>12</w:t>
            </w:r>
          </w:p>
        </w:tc>
        <w:tc>
          <w:tcPr>
            <w:tcW w:w="825" w:type="dxa"/>
            <w:tcBorders>
              <w:top w:val="nil"/>
              <w:left w:val="nil"/>
              <w:bottom w:val="single" w:sz="8" w:space="0" w:color="auto"/>
              <w:right w:val="single" w:sz="8" w:space="0" w:color="auto"/>
            </w:tcBorders>
            <w:shd w:val="clear" w:color="auto" w:fill="auto"/>
            <w:noWrap/>
            <w:vAlign w:val="center"/>
            <w:hideMark/>
          </w:tcPr>
          <w:p w14:paraId="56B87DF8" w14:textId="77777777" w:rsidR="00226EC5" w:rsidRPr="0077040C" w:rsidRDefault="00226EC5" w:rsidP="004459D9">
            <w:pPr>
              <w:spacing w:line="240" w:lineRule="auto"/>
              <w:jc w:val="both"/>
              <w:rPr>
                <w:rFonts w:cs="Arial"/>
                <w:szCs w:val="20"/>
              </w:rPr>
            </w:pPr>
            <w:r w:rsidRPr="0077040C">
              <w:rPr>
                <w:rFonts w:cs="Arial"/>
                <w:szCs w:val="20"/>
              </w:rPr>
              <w:t>34</w:t>
            </w:r>
          </w:p>
        </w:tc>
        <w:tc>
          <w:tcPr>
            <w:tcW w:w="863" w:type="dxa"/>
            <w:tcBorders>
              <w:top w:val="nil"/>
              <w:left w:val="nil"/>
              <w:bottom w:val="single" w:sz="8" w:space="0" w:color="auto"/>
              <w:right w:val="single" w:sz="8" w:space="0" w:color="auto"/>
            </w:tcBorders>
            <w:shd w:val="clear" w:color="auto" w:fill="auto"/>
            <w:noWrap/>
            <w:vAlign w:val="center"/>
            <w:hideMark/>
          </w:tcPr>
          <w:p w14:paraId="7EC58116" w14:textId="77777777" w:rsidR="00226EC5" w:rsidRPr="0077040C" w:rsidRDefault="00226EC5" w:rsidP="004459D9">
            <w:pPr>
              <w:spacing w:line="240" w:lineRule="auto"/>
              <w:jc w:val="both"/>
              <w:rPr>
                <w:rFonts w:cs="Arial"/>
                <w:szCs w:val="20"/>
              </w:rPr>
            </w:pPr>
            <w:r w:rsidRPr="0077040C">
              <w:rPr>
                <w:rFonts w:cs="Arial"/>
                <w:szCs w:val="20"/>
              </w:rPr>
              <w:t>/ </w:t>
            </w:r>
          </w:p>
        </w:tc>
        <w:tc>
          <w:tcPr>
            <w:tcW w:w="826" w:type="dxa"/>
            <w:tcBorders>
              <w:top w:val="nil"/>
              <w:left w:val="nil"/>
              <w:bottom w:val="single" w:sz="8" w:space="0" w:color="auto"/>
              <w:right w:val="single" w:sz="8" w:space="0" w:color="auto"/>
            </w:tcBorders>
            <w:shd w:val="clear" w:color="auto" w:fill="auto"/>
            <w:noWrap/>
            <w:vAlign w:val="center"/>
            <w:hideMark/>
          </w:tcPr>
          <w:p w14:paraId="79F61BB4" w14:textId="77777777" w:rsidR="00226EC5" w:rsidRPr="0077040C" w:rsidRDefault="00226EC5" w:rsidP="004459D9">
            <w:pPr>
              <w:spacing w:line="240" w:lineRule="auto"/>
              <w:jc w:val="both"/>
              <w:rPr>
                <w:rFonts w:cs="Arial"/>
                <w:szCs w:val="20"/>
              </w:rPr>
            </w:pPr>
            <w:r w:rsidRPr="0077040C">
              <w:rPr>
                <w:rFonts w:cs="Arial"/>
                <w:szCs w:val="20"/>
              </w:rPr>
              <w:t>34</w:t>
            </w:r>
          </w:p>
        </w:tc>
      </w:tr>
      <w:tr w:rsidR="00226EC5" w:rsidRPr="0077040C" w14:paraId="7FB3C457" w14:textId="77777777" w:rsidTr="004459D9">
        <w:trPr>
          <w:trHeight w:val="291"/>
        </w:trPr>
        <w:tc>
          <w:tcPr>
            <w:tcW w:w="1579" w:type="dxa"/>
            <w:tcBorders>
              <w:top w:val="nil"/>
              <w:left w:val="single" w:sz="8" w:space="0" w:color="auto"/>
              <w:bottom w:val="single" w:sz="8" w:space="0" w:color="auto"/>
              <w:right w:val="single" w:sz="8" w:space="0" w:color="auto"/>
            </w:tcBorders>
            <w:shd w:val="clear" w:color="auto" w:fill="auto"/>
            <w:noWrap/>
            <w:vAlign w:val="center"/>
            <w:hideMark/>
          </w:tcPr>
          <w:p w14:paraId="01533AC3" w14:textId="77777777" w:rsidR="00226EC5" w:rsidRPr="0077040C" w:rsidRDefault="00226EC5" w:rsidP="004459D9">
            <w:pPr>
              <w:spacing w:line="240" w:lineRule="auto"/>
              <w:jc w:val="both"/>
              <w:rPr>
                <w:rFonts w:cs="Arial"/>
                <w:color w:val="000000"/>
                <w:szCs w:val="20"/>
                <w:lang w:eastAsia="sl-SI"/>
              </w:rPr>
            </w:pPr>
            <w:r w:rsidRPr="0077040C">
              <w:rPr>
                <w:rFonts w:cs="Arial"/>
                <w:color w:val="000000"/>
                <w:szCs w:val="20"/>
                <w:lang w:eastAsia="sl-SI"/>
              </w:rPr>
              <w:t>NU</w:t>
            </w:r>
          </w:p>
        </w:tc>
        <w:tc>
          <w:tcPr>
            <w:tcW w:w="825" w:type="dxa"/>
            <w:tcBorders>
              <w:top w:val="nil"/>
              <w:left w:val="nil"/>
              <w:bottom w:val="single" w:sz="8" w:space="0" w:color="auto"/>
              <w:right w:val="single" w:sz="8" w:space="0" w:color="auto"/>
            </w:tcBorders>
            <w:shd w:val="clear" w:color="auto" w:fill="auto"/>
            <w:noWrap/>
            <w:vAlign w:val="center"/>
            <w:hideMark/>
          </w:tcPr>
          <w:p w14:paraId="7101FEEA"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127</w:t>
            </w:r>
          </w:p>
        </w:tc>
        <w:tc>
          <w:tcPr>
            <w:tcW w:w="863" w:type="dxa"/>
            <w:tcBorders>
              <w:top w:val="nil"/>
              <w:left w:val="nil"/>
              <w:bottom w:val="single" w:sz="8" w:space="0" w:color="auto"/>
              <w:right w:val="single" w:sz="8" w:space="0" w:color="auto"/>
            </w:tcBorders>
            <w:shd w:val="clear" w:color="000000" w:fill="FFFFFF"/>
            <w:noWrap/>
            <w:vAlign w:val="center"/>
            <w:hideMark/>
          </w:tcPr>
          <w:p w14:paraId="749D3A10" w14:textId="77777777" w:rsidR="00226EC5" w:rsidRPr="0077040C" w:rsidRDefault="00226EC5" w:rsidP="004459D9">
            <w:pPr>
              <w:spacing w:line="240" w:lineRule="auto"/>
              <w:jc w:val="both"/>
              <w:rPr>
                <w:rFonts w:cs="Arial"/>
                <w:szCs w:val="20"/>
              </w:rPr>
            </w:pPr>
            <w:r w:rsidRPr="0077040C">
              <w:rPr>
                <w:rFonts w:cs="Arial"/>
                <w:szCs w:val="20"/>
              </w:rPr>
              <w:t>/ </w:t>
            </w:r>
          </w:p>
        </w:tc>
        <w:tc>
          <w:tcPr>
            <w:tcW w:w="826" w:type="dxa"/>
            <w:tcBorders>
              <w:top w:val="nil"/>
              <w:left w:val="nil"/>
              <w:bottom w:val="single" w:sz="8" w:space="0" w:color="auto"/>
              <w:right w:val="single" w:sz="8" w:space="0" w:color="auto"/>
            </w:tcBorders>
            <w:shd w:val="clear" w:color="auto" w:fill="auto"/>
            <w:vAlign w:val="center"/>
            <w:hideMark/>
          </w:tcPr>
          <w:p w14:paraId="4EC96223" w14:textId="77777777" w:rsidR="00226EC5" w:rsidRPr="0077040C" w:rsidRDefault="00226EC5" w:rsidP="004459D9">
            <w:pPr>
              <w:spacing w:line="240" w:lineRule="auto"/>
              <w:jc w:val="both"/>
              <w:rPr>
                <w:rFonts w:cs="Arial"/>
                <w:szCs w:val="20"/>
              </w:rPr>
            </w:pPr>
            <w:r w:rsidRPr="0077040C">
              <w:rPr>
                <w:rFonts w:cs="Arial"/>
                <w:szCs w:val="20"/>
              </w:rPr>
              <w:t>127</w:t>
            </w:r>
          </w:p>
        </w:tc>
        <w:tc>
          <w:tcPr>
            <w:tcW w:w="825" w:type="dxa"/>
            <w:tcBorders>
              <w:top w:val="nil"/>
              <w:left w:val="nil"/>
              <w:bottom w:val="single" w:sz="8" w:space="0" w:color="auto"/>
              <w:right w:val="single" w:sz="8" w:space="0" w:color="auto"/>
            </w:tcBorders>
            <w:shd w:val="clear" w:color="auto" w:fill="auto"/>
            <w:noWrap/>
            <w:vAlign w:val="center"/>
            <w:hideMark/>
          </w:tcPr>
          <w:p w14:paraId="1EC6A8F7" w14:textId="77777777" w:rsidR="00226EC5" w:rsidRPr="0077040C" w:rsidRDefault="00226EC5" w:rsidP="004459D9">
            <w:pPr>
              <w:spacing w:line="240" w:lineRule="auto"/>
              <w:jc w:val="both"/>
              <w:rPr>
                <w:rFonts w:cs="Arial"/>
                <w:szCs w:val="20"/>
              </w:rPr>
            </w:pPr>
            <w:r w:rsidRPr="0077040C">
              <w:rPr>
                <w:rFonts w:cs="Arial"/>
                <w:szCs w:val="20"/>
              </w:rPr>
              <w:t>0</w:t>
            </w:r>
          </w:p>
        </w:tc>
        <w:tc>
          <w:tcPr>
            <w:tcW w:w="863" w:type="dxa"/>
            <w:tcBorders>
              <w:top w:val="nil"/>
              <w:left w:val="nil"/>
              <w:bottom w:val="single" w:sz="8" w:space="0" w:color="auto"/>
              <w:right w:val="single" w:sz="8" w:space="0" w:color="auto"/>
            </w:tcBorders>
            <w:shd w:val="clear" w:color="auto" w:fill="auto"/>
            <w:noWrap/>
            <w:vAlign w:val="center"/>
            <w:hideMark/>
          </w:tcPr>
          <w:p w14:paraId="464CD3D0" w14:textId="77777777" w:rsidR="00226EC5" w:rsidRPr="0077040C" w:rsidRDefault="00226EC5" w:rsidP="004459D9">
            <w:pPr>
              <w:spacing w:line="240" w:lineRule="auto"/>
              <w:jc w:val="both"/>
              <w:rPr>
                <w:rFonts w:cs="Arial"/>
                <w:szCs w:val="20"/>
              </w:rPr>
            </w:pPr>
            <w:r w:rsidRPr="0077040C">
              <w:rPr>
                <w:rFonts w:cs="Arial"/>
                <w:szCs w:val="20"/>
              </w:rPr>
              <w:t>/ </w:t>
            </w:r>
          </w:p>
        </w:tc>
        <w:tc>
          <w:tcPr>
            <w:tcW w:w="826" w:type="dxa"/>
            <w:tcBorders>
              <w:top w:val="nil"/>
              <w:left w:val="nil"/>
              <w:bottom w:val="single" w:sz="8" w:space="0" w:color="auto"/>
              <w:right w:val="single" w:sz="8" w:space="0" w:color="auto"/>
            </w:tcBorders>
            <w:shd w:val="clear" w:color="auto" w:fill="auto"/>
            <w:noWrap/>
            <w:vAlign w:val="center"/>
            <w:hideMark/>
          </w:tcPr>
          <w:p w14:paraId="0C66A25D" w14:textId="77777777" w:rsidR="00226EC5" w:rsidRPr="0077040C" w:rsidRDefault="00226EC5" w:rsidP="004459D9">
            <w:pPr>
              <w:spacing w:line="240" w:lineRule="auto"/>
              <w:jc w:val="both"/>
              <w:rPr>
                <w:rFonts w:cs="Arial"/>
                <w:szCs w:val="20"/>
              </w:rPr>
            </w:pPr>
            <w:r w:rsidRPr="0077040C">
              <w:rPr>
                <w:rFonts w:cs="Arial"/>
                <w:szCs w:val="20"/>
              </w:rPr>
              <w:t>0</w:t>
            </w:r>
          </w:p>
        </w:tc>
        <w:tc>
          <w:tcPr>
            <w:tcW w:w="825" w:type="dxa"/>
            <w:tcBorders>
              <w:top w:val="nil"/>
              <w:left w:val="nil"/>
              <w:bottom w:val="single" w:sz="8" w:space="0" w:color="auto"/>
              <w:right w:val="single" w:sz="8" w:space="0" w:color="auto"/>
            </w:tcBorders>
            <w:shd w:val="clear" w:color="auto" w:fill="auto"/>
            <w:noWrap/>
            <w:vAlign w:val="center"/>
            <w:hideMark/>
          </w:tcPr>
          <w:p w14:paraId="586F8E6B" w14:textId="77777777" w:rsidR="00226EC5" w:rsidRPr="0077040C" w:rsidRDefault="00226EC5" w:rsidP="004459D9">
            <w:pPr>
              <w:spacing w:line="240" w:lineRule="auto"/>
              <w:jc w:val="both"/>
              <w:rPr>
                <w:rFonts w:cs="Arial"/>
                <w:szCs w:val="20"/>
              </w:rPr>
            </w:pPr>
            <w:r w:rsidRPr="0077040C">
              <w:rPr>
                <w:rFonts w:cs="Arial"/>
                <w:szCs w:val="20"/>
              </w:rPr>
              <w:t>13</w:t>
            </w:r>
          </w:p>
        </w:tc>
        <w:tc>
          <w:tcPr>
            <w:tcW w:w="863" w:type="dxa"/>
            <w:tcBorders>
              <w:top w:val="nil"/>
              <w:left w:val="nil"/>
              <w:bottom w:val="single" w:sz="8" w:space="0" w:color="auto"/>
              <w:right w:val="single" w:sz="8" w:space="0" w:color="auto"/>
            </w:tcBorders>
            <w:shd w:val="clear" w:color="auto" w:fill="auto"/>
            <w:noWrap/>
            <w:vAlign w:val="center"/>
            <w:hideMark/>
          </w:tcPr>
          <w:p w14:paraId="4AB78765" w14:textId="77777777" w:rsidR="00226EC5" w:rsidRPr="0077040C" w:rsidRDefault="00226EC5" w:rsidP="004459D9">
            <w:pPr>
              <w:spacing w:line="240" w:lineRule="auto"/>
              <w:jc w:val="both"/>
              <w:rPr>
                <w:rFonts w:cs="Arial"/>
                <w:szCs w:val="20"/>
              </w:rPr>
            </w:pPr>
            <w:r w:rsidRPr="0077040C">
              <w:rPr>
                <w:rFonts w:cs="Arial"/>
                <w:szCs w:val="20"/>
              </w:rPr>
              <w:t>/ </w:t>
            </w:r>
          </w:p>
        </w:tc>
        <w:tc>
          <w:tcPr>
            <w:tcW w:w="826" w:type="dxa"/>
            <w:tcBorders>
              <w:top w:val="nil"/>
              <w:left w:val="nil"/>
              <w:bottom w:val="single" w:sz="8" w:space="0" w:color="auto"/>
              <w:right w:val="single" w:sz="8" w:space="0" w:color="auto"/>
            </w:tcBorders>
            <w:shd w:val="clear" w:color="auto" w:fill="auto"/>
            <w:noWrap/>
            <w:vAlign w:val="center"/>
            <w:hideMark/>
          </w:tcPr>
          <w:p w14:paraId="7DD21670" w14:textId="77777777" w:rsidR="00226EC5" w:rsidRPr="0077040C" w:rsidRDefault="00226EC5" w:rsidP="004459D9">
            <w:pPr>
              <w:spacing w:line="240" w:lineRule="auto"/>
              <w:jc w:val="both"/>
              <w:rPr>
                <w:rFonts w:cs="Arial"/>
                <w:szCs w:val="20"/>
              </w:rPr>
            </w:pPr>
            <w:r w:rsidRPr="0077040C">
              <w:rPr>
                <w:rFonts w:cs="Arial"/>
                <w:szCs w:val="20"/>
              </w:rPr>
              <w:t>13</w:t>
            </w:r>
          </w:p>
        </w:tc>
      </w:tr>
      <w:tr w:rsidR="00226EC5" w:rsidRPr="0077040C" w14:paraId="38C19CD0" w14:textId="77777777" w:rsidTr="004459D9">
        <w:trPr>
          <w:trHeight w:val="291"/>
        </w:trPr>
        <w:tc>
          <w:tcPr>
            <w:tcW w:w="1579" w:type="dxa"/>
            <w:tcBorders>
              <w:top w:val="nil"/>
              <w:left w:val="single" w:sz="8" w:space="0" w:color="auto"/>
              <w:bottom w:val="single" w:sz="8" w:space="0" w:color="auto"/>
              <w:right w:val="single" w:sz="8" w:space="0" w:color="auto"/>
            </w:tcBorders>
            <w:shd w:val="clear" w:color="auto" w:fill="auto"/>
            <w:noWrap/>
            <w:vAlign w:val="center"/>
            <w:hideMark/>
          </w:tcPr>
          <w:p w14:paraId="2E802EF9" w14:textId="77777777" w:rsidR="00226EC5" w:rsidRPr="0077040C" w:rsidRDefault="00226EC5" w:rsidP="004459D9">
            <w:pPr>
              <w:spacing w:line="240" w:lineRule="auto"/>
              <w:jc w:val="both"/>
              <w:rPr>
                <w:rFonts w:cs="Arial"/>
                <w:color w:val="000000"/>
                <w:szCs w:val="20"/>
                <w:lang w:eastAsia="sl-SI"/>
              </w:rPr>
            </w:pPr>
            <w:r w:rsidRPr="0077040C">
              <w:rPr>
                <w:rFonts w:cs="Arial"/>
                <w:color w:val="000000"/>
                <w:szCs w:val="20"/>
                <w:lang w:eastAsia="sl-SI"/>
              </w:rPr>
              <w:t>UNM</w:t>
            </w:r>
          </w:p>
        </w:tc>
        <w:tc>
          <w:tcPr>
            <w:tcW w:w="825" w:type="dxa"/>
            <w:tcBorders>
              <w:top w:val="nil"/>
              <w:left w:val="nil"/>
              <w:bottom w:val="single" w:sz="8" w:space="0" w:color="auto"/>
              <w:right w:val="single" w:sz="8" w:space="0" w:color="auto"/>
            </w:tcBorders>
            <w:shd w:val="clear" w:color="auto" w:fill="auto"/>
            <w:noWrap/>
            <w:vAlign w:val="center"/>
            <w:hideMark/>
          </w:tcPr>
          <w:p w14:paraId="0696D98E"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232</w:t>
            </w:r>
          </w:p>
        </w:tc>
        <w:tc>
          <w:tcPr>
            <w:tcW w:w="863" w:type="dxa"/>
            <w:tcBorders>
              <w:top w:val="nil"/>
              <w:left w:val="nil"/>
              <w:bottom w:val="single" w:sz="8" w:space="0" w:color="auto"/>
              <w:right w:val="single" w:sz="8" w:space="0" w:color="auto"/>
            </w:tcBorders>
            <w:shd w:val="clear" w:color="000000" w:fill="FFFFFF"/>
            <w:noWrap/>
            <w:vAlign w:val="center"/>
            <w:hideMark/>
          </w:tcPr>
          <w:p w14:paraId="6424E0EB" w14:textId="77777777" w:rsidR="00226EC5" w:rsidRPr="0077040C" w:rsidRDefault="00226EC5" w:rsidP="004459D9">
            <w:pPr>
              <w:spacing w:line="240" w:lineRule="auto"/>
              <w:jc w:val="both"/>
              <w:rPr>
                <w:rFonts w:cs="Arial"/>
                <w:szCs w:val="20"/>
              </w:rPr>
            </w:pPr>
            <w:r w:rsidRPr="0077040C">
              <w:rPr>
                <w:rFonts w:cs="Arial"/>
                <w:szCs w:val="20"/>
              </w:rPr>
              <w:t>/ </w:t>
            </w:r>
          </w:p>
        </w:tc>
        <w:tc>
          <w:tcPr>
            <w:tcW w:w="826" w:type="dxa"/>
            <w:tcBorders>
              <w:top w:val="nil"/>
              <w:left w:val="nil"/>
              <w:bottom w:val="single" w:sz="8" w:space="0" w:color="auto"/>
              <w:right w:val="single" w:sz="8" w:space="0" w:color="auto"/>
            </w:tcBorders>
            <w:shd w:val="clear" w:color="auto" w:fill="auto"/>
            <w:vAlign w:val="center"/>
            <w:hideMark/>
          </w:tcPr>
          <w:p w14:paraId="75D58A62" w14:textId="77777777" w:rsidR="00226EC5" w:rsidRPr="0077040C" w:rsidRDefault="00226EC5" w:rsidP="004459D9">
            <w:pPr>
              <w:spacing w:line="240" w:lineRule="auto"/>
              <w:jc w:val="both"/>
              <w:rPr>
                <w:rFonts w:cs="Arial"/>
                <w:szCs w:val="20"/>
              </w:rPr>
            </w:pPr>
            <w:r w:rsidRPr="0077040C">
              <w:rPr>
                <w:rFonts w:cs="Arial"/>
                <w:szCs w:val="20"/>
              </w:rPr>
              <w:t>232</w:t>
            </w:r>
          </w:p>
        </w:tc>
        <w:tc>
          <w:tcPr>
            <w:tcW w:w="825" w:type="dxa"/>
            <w:tcBorders>
              <w:top w:val="nil"/>
              <w:left w:val="nil"/>
              <w:bottom w:val="single" w:sz="8" w:space="0" w:color="auto"/>
              <w:right w:val="single" w:sz="8" w:space="0" w:color="auto"/>
            </w:tcBorders>
            <w:shd w:val="clear" w:color="auto" w:fill="auto"/>
            <w:noWrap/>
            <w:vAlign w:val="center"/>
            <w:hideMark/>
          </w:tcPr>
          <w:p w14:paraId="1C2ACAD7" w14:textId="77777777" w:rsidR="00226EC5" w:rsidRPr="0077040C" w:rsidRDefault="00226EC5" w:rsidP="004459D9">
            <w:pPr>
              <w:spacing w:line="240" w:lineRule="auto"/>
              <w:jc w:val="both"/>
              <w:rPr>
                <w:rFonts w:cs="Arial"/>
                <w:szCs w:val="20"/>
              </w:rPr>
            </w:pPr>
            <w:r w:rsidRPr="0077040C">
              <w:rPr>
                <w:rFonts w:cs="Arial"/>
                <w:szCs w:val="20"/>
              </w:rPr>
              <w:t>8</w:t>
            </w:r>
          </w:p>
        </w:tc>
        <w:tc>
          <w:tcPr>
            <w:tcW w:w="863" w:type="dxa"/>
            <w:tcBorders>
              <w:top w:val="nil"/>
              <w:left w:val="nil"/>
              <w:bottom w:val="single" w:sz="8" w:space="0" w:color="auto"/>
              <w:right w:val="single" w:sz="8" w:space="0" w:color="auto"/>
            </w:tcBorders>
            <w:shd w:val="clear" w:color="auto" w:fill="auto"/>
            <w:noWrap/>
            <w:vAlign w:val="center"/>
            <w:hideMark/>
          </w:tcPr>
          <w:p w14:paraId="30B449B0" w14:textId="77777777" w:rsidR="00226EC5" w:rsidRPr="0077040C" w:rsidRDefault="00226EC5" w:rsidP="004459D9">
            <w:pPr>
              <w:spacing w:line="240" w:lineRule="auto"/>
              <w:jc w:val="both"/>
              <w:rPr>
                <w:rFonts w:cs="Arial"/>
                <w:szCs w:val="20"/>
              </w:rPr>
            </w:pPr>
            <w:r w:rsidRPr="0077040C">
              <w:rPr>
                <w:rFonts w:cs="Arial"/>
                <w:szCs w:val="20"/>
              </w:rPr>
              <w:t>/ </w:t>
            </w:r>
          </w:p>
        </w:tc>
        <w:tc>
          <w:tcPr>
            <w:tcW w:w="826" w:type="dxa"/>
            <w:tcBorders>
              <w:top w:val="nil"/>
              <w:left w:val="nil"/>
              <w:bottom w:val="single" w:sz="8" w:space="0" w:color="auto"/>
              <w:right w:val="single" w:sz="8" w:space="0" w:color="auto"/>
            </w:tcBorders>
            <w:shd w:val="clear" w:color="auto" w:fill="auto"/>
            <w:noWrap/>
            <w:vAlign w:val="center"/>
            <w:hideMark/>
          </w:tcPr>
          <w:p w14:paraId="0F7BA587" w14:textId="77777777" w:rsidR="00226EC5" w:rsidRPr="0077040C" w:rsidRDefault="00226EC5" w:rsidP="004459D9">
            <w:pPr>
              <w:spacing w:line="240" w:lineRule="auto"/>
              <w:jc w:val="both"/>
              <w:rPr>
                <w:rFonts w:cs="Arial"/>
                <w:szCs w:val="20"/>
              </w:rPr>
            </w:pPr>
            <w:r w:rsidRPr="0077040C">
              <w:rPr>
                <w:rFonts w:cs="Arial"/>
                <w:szCs w:val="20"/>
              </w:rPr>
              <w:t>8</w:t>
            </w:r>
          </w:p>
        </w:tc>
        <w:tc>
          <w:tcPr>
            <w:tcW w:w="825" w:type="dxa"/>
            <w:tcBorders>
              <w:top w:val="nil"/>
              <w:left w:val="nil"/>
              <w:bottom w:val="single" w:sz="8" w:space="0" w:color="auto"/>
              <w:right w:val="single" w:sz="8" w:space="0" w:color="auto"/>
            </w:tcBorders>
            <w:shd w:val="clear" w:color="auto" w:fill="auto"/>
            <w:noWrap/>
            <w:vAlign w:val="center"/>
            <w:hideMark/>
          </w:tcPr>
          <w:p w14:paraId="1589F58D" w14:textId="77777777" w:rsidR="00226EC5" w:rsidRPr="0077040C" w:rsidRDefault="00226EC5" w:rsidP="004459D9">
            <w:pPr>
              <w:spacing w:line="240" w:lineRule="auto"/>
              <w:jc w:val="both"/>
              <w:rPr>
                <w:rFonts w:cs="Arial"/>
                <w:szCs w:val="20"/>
              </w:rPr>
            </w:pPr>
            <w:r w:rsidRPr="0077040C">
              <w:rPr>
                <w:rFonts w:cs="Arial"/>
                <w:szCs w:val="20"/>
              </w:rPr>
              <w:t>22</w:t>
            </w:r>
          </w:p>
        </w:tc>
        <w:tc>
          <w:tcPr>
            <w:tcW w:w="863" w:type="dxa"/>
            <w:tcBorders>
              <w:top w:val="nil"/>
              <w:left w:val="nil"/>
              <w:bottom w:val="single" w:sz="8" w:space="0" w:color="auto"/>
              <w:right w:val="single" w:sz="8" w:space="0" w:color="auto"/>
            </w:tcBorders>
            <w:shd w:val="clear" w:color="auto" w:fill="auto"/>
            <w:noWrap/>
            <w:vAlign w:val="center"/>
            <w:hideMark/>
          </w:tcPr>
          <w:p w14:paraId="689DDCF7" w14:textId="77777777" w:rsidR="00226EC5" w:rsidRPr="0077040C" w:rsidRDefault="00226EC5" w:rsidP="004459D9">
            <w:pPr>
              <w:spacing w:line="240" w:lineRule="auto"/>
              <w:jc w:val="both"/>
              <w:rPr>
                <w:rFonts w:cs="Arial"/>
                <w:szCs w:val="20"/>
              </w:rPr>
            </w:pPr>
            <w:r w:rsidRPr="0077040C">
              <w:rPr>
                <w:rFonts w:cs="Arial"/>
                <w:szCs w:val="20"/>
              </w:rPr>
              <w:t>/ </w:t>
            </w:r>
          </w:p>
        </w:tc>
        <w:tc>
          <w:tcPr>
            <w:tcW w:w="826" w:type="dxa"/>
            <w:tcBorders>
              <w:top w:val="nil"/>
              <w:left w:val="nil"/>
              <w:bottom w:val="single" w:sz="8" w:space="0" w:color="auto"/>
              <w:right w:val="single" w:sz="8" w:space="0" w:color="auto"/>
            </w:tcBorders>
            <w:shd w:val="clear" w:color="auto" w:fill="auto"/>
            <w:noWrap/>
            <w:vAlign w:val="center"/>
            <w:hideMark/>
          </w:tcPr>
          <w:p w14:paraId="0B32D928" w14:textId="77777777" w:rsidR="00226EC5" w:rsidRPr="0077040C" w:rsidRDefault="00226EC5" w:rsidP="004459D9">
            <w:pPr>
              <w:spacing w:line="240" w:lineRule="auto"/>
              <w:jc w:val="both"/>
              <w:rPr>
                <w:rFonts w:cs="Arial"/>
                <w:szCs w:val="20"/>
              </w:rPr>
            </w:pPr>
            <w:r w:rsidRPr="0077040C">
              <w:rPr>
                <w:rFonts w:cs="Arial"/>
                <w:szCs w:val="20"/>
              </w:rPr>
              <w:t>22</w:t>
            </w:r>
          </w:p>
        </w:tc>
      </w:tr>
      <w:tr w:rsidR="00226EC5" w:rsidRPr="0077040C" w14:paraId="7BAECEDE" w14:textId="77777777" w:rsidTr="004459D9">
        <w:trPr>
          <w:trHeight w:val="1453"/>
        </w:trPr>
        <w:tc>
          <w:tcPr>
            <w:tcW w:w="1579" w:type="dxa"/>
            <w:tcBorders>
              <w:top w:val="nil"/>
              <w:left w:val="single" w:sz="8" w:space="0" w:color="auto"/>
              <w:bottom w:val="single" w:sz="8" w:space="0" w:color="auto"/>
              <w:right w:val="single" w:sz="8" w:space="0" w:color="auto"/>
            </w:tcBorders>
            <w:shd w:val="clear" w:color="auto" w:fill="auto"/>
            <w:vAlign w:val="center"/>
            <w:hideMark/>
          </w:tcPr>
          <w:p w14:paraId="76A9A3C3" w14:textId="77777777" w:rsidR="00226EC5" w:rsidRPr="0077040C" w:rsidRDefault="00226EC5" w:rsidP="004459D9">
            <w:pPr>
              <w:spacing w:line="240" w:lineRule="auto"/>
              <w:jc w:val="both"/>
              <w:rPr>
                <w:rFonts w:cs="Arial"/>
                <w:color w:val="000000"/>
                <w:szCs w:val="20"/>
                <w:lang w:eastAsia="sl-SI"/>
              </w:rPr>
            </w:pPr>
            <w:r w:rsidRPr="0077040C">
              <w:rPr>
                <w:rFonts w:cs="Arial"/>
                <w:color w:val="000000"/>
                <w:szCs w:val="20"/>
                <w:lang w:eastAsia="sl-SI"/>
              </w:rPr>
              <w:t>Zasebni samostojni visokošolski zavodi s koncesioniranimi študijskimi programi*</w:t>
            </w:r>
          </w:p>
        </w:tc>
        <w:tc>
          <w:tcPr>
            <w:tcW w:w="825" w:type="dxa"/>
            <w:tcBorders>
              <w:top w:val="nil"/>
              <w:left w:val="nil"/>
              <w:bottom w:val="single" w:sz="8" w:space="0" w:color="auto"/>
              <w:right w:val="single" w:sz="8" w:space="0" w:color="auto"/>
            </w:tcBorders>
            <w:shd w:val="clear" w:color="auto" w:fill="auto"/>
            <w:noWrap/>
            <w:vAlign w:val="center"/>
            <w:hideMark/>
          </w:tcPr>
          <w:p w14:paraId="64FC65A0" w14:textId="77777777" w:rsidR="00226EC5" w:rsidRPr="0077040C" w:rsidRDefault="00226EC5" w:rsidP="004459D9">
            <w:pPr>
              <w:spacing w:line="240" w:lineRule="auto"/>
              <w:jc w:val="both"/>
              <w:rPr>
                <w:rFonts w:cs="Arial"/>
                <w:color w:val="000000"/>
                <w:szCs w:val="20"/>
              </w:rPr>
            </w:pPr>
            <w:r w:rsidRPr="0077040C">
              <w:rPr>
                <w:rFonts w:cs="Arial"/>
                <w:color w:val="000000"/>
                <w:szCs w:val="20"/>
              </w:rPr>
              <w:t>473</w:t>
            </w:r>
          </w:p>
        </w:tc>
        <w:tc>
          <w:tcPr>
            <w:tcW w:w="863" w:type="dxa"/>
            <w:tcBorders>
              <w:top w:val="nil"/>
              <w:left w:val="nil"/>
              <w:bottom w:val="single" w:sz="8" w:space="0" w:color="auto"/>
              <w:right w:val="single" w:sz="8" w:space="0" w:color="auto"/>
            </w:tcBorders>
            <w:shd w:val="clear" w:color="auto" w:fill="auto"/>
            <w:noWrap/>
            <w:vAlign w:val="center"/>
            <w:hideMark/>
          </w:tcPr>
          <w:p w14:paraId="41D399A5" w14:textId="77777777" w:rsidR="00226EC5" w:rsidRPr="0077040C" w:rsidRDefault="00226EC5" w:rsidP="004459D9">
            <w:pPr>
              <w:spacing w:line="240" w:lineRule="auto"/>
              <w:jc w:val="both"/>
              <w:rPr>
                <w:rFonts w:cs="Arial"/>
                <w:szCs w:val="20"/>
              </w:rPr>
            </w:pPr>
            <w:r w:rsidRPr="0077040C">
              <w:rPr>
                <w:rFonts w:cs="Arial"/>
                <w:szCs w:val="20"/>
              </w:rPr>
              <w:t>/ </w:t>
            </w:r>
          </w:p>
        </w:tc>
        <w:tc>
          <w:tcPr>
            <w:tcW w:w="826" w:type="dxa"/>
            <w:tcBorders>
              <w:top w:val="nil"/>
              <w:left w:val="nil"/>
              <w:bottom w:val="single" w:sz="8" w:space="0" w:color="auto"/>
              <w:right w:val="single" w:sz="8" w:space="0" w:color="auto"/>
            </w:tcBorders>
            <w:shd w:val="clear" w:color="auto" w:fill="auto"/>
            <w:vAlign w:val="center"/>
            <w:hideMark/>
          </w:tcPr>
          <w:p w14:paraId="6DBA25B5" w14:textId="77777777" w:rsidR="00226EC5" w:rsidRPr="0077040C" w:rsidRDefault="00226EC5" w:rsidP="004459D9">
            <w:pPr>
              <w:spacing w:line="240" w:lineRule="auto"/>
              <w:jc w:val="both"/>
              <w:rPr>
                <w:rFonts w:cs="Arial"/>
                <w:szCs w:val="20"/>
              </w:rPr>
            </w:pPr>
            <w:r w:rsidRPr="0077040C">
              <w:rPr>
                <w:rFonts w:cs="Arial"/>
                <w:szCs w:val="20"/>
              </w:rPr>
              <w:t>473</w:t>
            </w:r>
          </w:p>
        </w:tc>
        <w:tc>
          <w:tcPr>
            <w:tcW w:w="825" w:type="dxa"/>
            <w:tcBorders>
              <w:top w:val="nil"/>
              <w:left w:val="nil"/>
              <w:bottom w:val="single" w:sz="8" w:space="0" w:color="auto"/>
              <w:right w:val="single" w:sz="8" w:space="0" w:color="auto"/>
            </w:tcBorders>
            <w:shd w:val="clear" w:color="auto" w:fill="auto"/>
            <w:noWrap/>
            <w:vAlign w:val="center"/>
            <w:hideMark/>
          </w:tcPr>
          <w:p w14:paraId="194577A2" w14:textId="77777777" w:rsidR="00226EC5" w:rsidRPr="0077040C" w:rsidRDefault="00226EC5" w:rsidP="004459D9">
            <w:pPr>
              <w:spacing w:line="240" w:lineRule="auto"/>
              <w:jc w:val="both"/>
              <w:rPr>
                <w:rFonts w:cs="Arial"/>
                <w:szCs w:val="20"/>
              </w:rPr>
            </w:pPr>
            <w:r w:rsidRPr="0077040C">
              <w:rPr>
                <w:rFonts w:cs="Arial"/>
                <w:szCs w:val="20"/>
              </w:rPr>
              <w:t>14</w:t>
            </w:r>
          </w:p>
        </w:tc>
        <w:tc>
          <w:tcPr>
            <w:tcW w:w="863" w:type="dxa"/>
            <w:tcBorders>
              <w:top w:val="nil"/>
              <w:left w:val="nil"/>
              <w:bottom w:val="single" w:sz="8" w:space="0" w:color="auto"/>
              <w:right w:val="single" w:sz="8" w:space="0" w:color="auto"/>
            </w:tcBorders>
            <w:shd w:val="clear" w:color="auto" w:fill="auto"/>
            <w:noWrap/>
            <w:vAlign w:val="center"/>
            <w:hideMark/>
          </w:tcPr>
          <w:p w14:paraId="190B4477" w14:textId="77777777" w:rsidR="00226EC5" w:rsidRPr="0077040C" w:rsidRDefault="00226EC5" w:rsidP="004459D9">
            <w:pPr>
              <w:spacing w:line="240" w:lineRule="auto"/>
              <w:jc w:val="both"/>
              <w:rPr>
                <w:rFonts w:cs="Arial"/>
                <w:szCs w:val="20"/>
              </w:rPr>
            </w:pPr>
            <w:r w:rsidRPr="0077040C">
              <w:rPr>
                <w:rFonts w:cs="Arial"/>
                <w:szCs w:val="20"/>
              </w:rPr>
              <w:t>/ </w:t>
            </w:r>
          </w:p>
        </w:tc>
        <w:tc>
          <w:tcPr>
            <w:tcW w:w="826" w:type="dxa"/>
            <w:tcBorders>
              <w:top w:val="nil"/>
              <w:left w:val="nil"/>
              <w:bottom w:val="single" w:sz="8" w:space="0" w:color="auto"/>
              <w:right w:val="single" w:sz="8" w:space="0" w:color="auto"/>
            </w:tcBorders>
            <w:shd w:val="clear" w:color="auto" w:fill="auto"/>
            <w:noWrap/>
            <w:vAlign w:val="center"/>
            <w:hideMark/>
          </w:tcPr>
          <w:p w14:paraId="604E4F10" w14:textId="77777777" w:rsidR="00226EC5" w:rsidRPr="0077040C" w:rsidRDefault="00226EC5" w:rsidP="004459D9">
            <w:pPr>
              <w:spacing w:line="240" w:lineRule="auto"/>
              <w:jc w:val="both"/>
              <w:rPr>
                <w:rFonts w:cs="Arial"/>
                <w:szCs w:val="20"/>
              </w:rPr>
            </w:pPr>
            <w:r w:rsidRPr="0077040C">
              <w:rPr>
                <w:rFonts w:cs="Arial"/>
                <w:szCs w:val="20"/>
              </w:rPr>
              <w:t>14</w:t>
            </w:r>
          </w:p>
        </w:tc>
        <w:tc>
          <w:tcPr>
            <w:tcW w:w="825" w:type="dxa"/>
            <w:tcBorders>
              <w:top w:val="nil"/>
              <w:left w:val="nil"/>
              <w:bottom w:val="single" w:sz="8" w:space="0" w:color="auto"/>
              <w:right w:val="single" w:sz="8" w:space="0" w:color="auto"/>
            </w:tcBorders>
            <w:shd w:val="clear" w:color="auto" w:fill="auto"/>
            <w:noWrap/>
            <w:vAlign w:val="center"/>
            <w:hideMark/>
          </w:tcPr>
          <w:p w14:paraId="373BFDBE" w14:textId="77777777" w:rsidR="00226EC5" w:rsidRPr="0077040C" w:rsidRDefault="00226EC5" w:rsidP="004459D9">
            <w:pPr>
              <w:spacing w:line="240" w:lineRule="auto"/>
              <w:jc w:val="both"/>
              <w:rPr>
                <w:rFonts w:cs="Arial"/>
                <w:szCs w:val="20"/>
              </w:rPr>
            </w:pPr>
            <w:r w:rsidRPr="0077040C">
              <w:rPr>
                <w:rFonts w:cs="Arial"/>
                <w:szCs w:val="20"/>
              </w:rPr>
              <w:t>31</w:t>
            </w:r>
          </w:p>
        </w:tc>
        <w:tc>
          <w:tcPr>
            <w:tcW w:w="863" w:type="dxa"/>
            <w:tcBorders>
              <w:top w:val="nil"/>
              <w:left w:val="nil"/>
              <w:bottom w:val="single" w:sz="8" w:space="0" w:color="auto"/>
              <w:right w:val="single" w:sz="8" w:space="0" w:color="auto"/>
            </w:tcBorders>
            <w:shd w:val="clear" w:color="auto" w:fill="auto"/>
            <w:noWrap/>
            <w:vAlign w:val="center"/>
            <w:hideMark/>
          </w:tcPr>
          <w:p w14:paraId="13822F34" w14:textId="77777777" w:rsidR="00226EC5" w:rsidRPr="0077040C" w:rsidRDefault="00226EC5" w:rsidP="004459D9">
            <w:pPr>
              <w:spacing w:line="240" w:lineRule="auto"/>
              <w:jc w:val="both"/>
              <w:rPr>
                <w:rFonts w:cs="Arial"/>
                <w:szCs w:val="20"/>
              </w:rPr>
            </w:pPr>
            <w:r w:rsidRPr="0077040C">
              <w:rPr>
                <w:rFonts w:cs="Arial"/>
                <w:szCs w:val="20"/>
              </w:rPr>
              <w:t>/ </w:t>
            </w:r>
          </w:p>
        </w:tc>
        <w:tc>
          <w:tcPr>
            <w:tcW w:w="826" w:type="dxa"/>
            <w:tcBorders>
              <w:top w:val="nil"/>
              <w:left w:val="nil"/>
              <w:bottom w:val="single" w:sz="8" w:space="0" w:color="auto"/>
              <w:right w:val="single" w:sz="8" w:space="0" w:color="auto"/>
            </w:tcBorders>
            <w:shd w:val="clear" w:color="auto" w:fill="auto"/>
            <w:noWrap/>
            <w:vAlign w:val="center"/>
            <w:hideMark/>
          </w:tcPr>
          <w:p w14:paraId="045994D1" w14:textId="77777777" w:rsidR="00226EC5" w:rsidRPr="0077040C" w:rsidRDefault="00226EC5" w:rsidP="004459D9">
            <w:pPr>
              <w:spacing w:line="240" w:lineRule="auto"/>
              <w:jc w:val="both"/>
              <w:rPr>
                <w:rFonts w:cs="Arial"/>
                <w:szCs w:val="20"/>
              </w:rPr>
            </w:pPr>
            <w:r w:rsidRPr="0077040C">
              <w:rPr>
                <w:rFonts w:cs="Arial"/>
                <w:szCs w:val="20"/>
              </w:rPr>
              <w:t>31</w:t>
            </w:r>
          </w:p>
        </w:tc>
      </w:tr>
      <w:tr w:rsidR="00226EC5" w:rsidRPr="0077040C" w14:paraId="371F46AC" w14:textId="77777777" w:rsidTr="004459D9">
        <w:trPr>
          <w:trHeight w:val="291"/>
        </w:trPr>
        <w:tc>
          <w:tcPr>
            <w:tcW w:w="1579" w:type="dxa"/>
            <w:tcBorders>
              <w:top w:val="nil"/>
              <w:left w:val="single" w:sz="8" w:space="0" w:color="auto"/>
              <w:bottom w:val="single" w:sz="8" w:space="0" w:color="auto"/>
              <w:right w:val="single" w:sz="8" w:space="0" w:color="auto"/>
            </w:tcBorders>
            <w:shd w:val="clear" w:color="000000" w:fill="DCE6F1"/>
            <w:noWrap/>
            <w:vAlign w:val="center"/>
            <w:hideMark/>
          </w:tcPr>
          <w:p w14:paraId="7C431CA5" w14:textId="77777777" w:rsidR="00226EC5" w:rsidRPr="0077040C" w:rsidRDefault="00226EC5" w:rsidP="004459D9">
            <w:pPr>
              <w:spacing w:line="240" w:lineRule="auto"/>
              <w:jc w:val="both"/>
              <w:rPr>
                <w:rFonts w:cs="Arial"/>
                <w:b/>
                <w:bCs/>
                <w:color w:val="000000"/>
                <w:szCs w:val="20"/>
                <w:lang w:eastAsia="sl-SI"/>
              </w:rPr>
            </w:pPr>
            <w:r w:rsidRPr="0077040C">
              <w:rPr>
                <w:rFonts w:cs="Arial"/>
                <w:b/>
                <w:bCs/>
                <w:color w:val="000000"/>
                <w:szCs w:val="20"/>
                <w:lang w:eastAsia="sl-SI"/>
              </w:rPr>
              <w:t>Skupaj</w:t>
            </w:r>
          </w:p>
        </w:tc>
        <w:tc>
          <w:tcPr>
            <w:tcW w:w="825" w:type="dxa"/>
            <w:tcBorders>
              <w:top w:val="nil"/>
              <w:left w:val="nil"/>
              <w:bottom w:val="single" w:sz="8" w:space="0" w:color="auto"/>
              <w:right w:val="single" w:sz="8" w:space="0" w:color="auto"/>
            </w:tcBorders>
            <w:shd w:val="clear" w:color="000000" w:fill="DCE6F1"/>
            <w:noWrap/>
            <w:vAlign w:val="center"/>
            <w:hideMark/>
          </w:tcPr>
          <w:p w14:paraId="35AEEBD7" w14:textId="77777777" w:rsidR="00226EC5" w:rsidRPr="0077040C" w:rsidRDefault="00226EC5" w:rsidP="004459D9">
            <w:pPr>
              <w:spacing w:line="240" w:lineRule="auto"/>
              <w:jc w:val="both"/>
              <w:rPr>
                <w:rFonts w:cs="Arial"/>
                <w:b/>
                <w:bCs/>
                <w:color w:val="000000"/>
                <w:szCs w:val="20"/>
              </w:rPr>
            </w:pPr>
            <w:r w:rsidRPr="0077040C">
              <w:rPr>
                <w:rFonts w:cs="Arial"/>
                <w:b/>
                <w:bCs/>
                <w:color w:val="000000"/>
                <w:szCs w:val="20"/>
              </w:rPr>
              <w:t>14.260</w:t>
            </w:r>
          </w:p>
        </w:tc>
        <w:tc>
          <w:tcPr>
            <w:tcW w:w="863" w:type="dxa"/>
            <w:tcBorders>
              <w:top w:val="nil"/>
              <w:left w:val="nil"/>
              <w:bottom w:val="single" w:sz="8" w:space="0" w:color="auto"/>
              <w:right w:val="single" w:sz="8" w:space="0" w:color="auto"/>
            </w:tcBorders>
            <w:shd w:val="clear" w:color="000000" w:fill="DCE6F1"/>
            <w:noWrap/>
            <w:vAlign w:val="center"/>
            <w:hideMark/>
          </w:tcPr>
          <w:p w14:paraId="129A615D" w14:textId="77777777" w:rsidR="00226EC5" w:rsidRPr="0077040C" w:rsidRDefault="00226EC5" w:rsidP="004459D9">
            <w:pPr>
              <w:spacing w:line="240" w:lineRule="auto"/>
              <w:jc w:val="both"/>
              <w:rPr>
                <w:rFonts w:cs="Arial"/>
                <w:b/>
                <w:bCs/>
                <w:color w:val="000000"/>
                <w:szCs w:val="20"/>
              </w:rPr>
            </w:pPr>
            <w:r w:rsidRPr="0077040C">
              <w:rPr>
                <w:rFonts w:cs="Arial"/>
                <w:b/>
                <w:bCs/>
                <w:color w:val="000000"/>
                <w:szCs w:val="20"/>
              </w:rPr>
              <w:t>2.117</w:t>
            </w:r>
          </w:p>
        </w:tc>
        <w:tc>
          <w:tcPr>
            <w:tcW w:w="826" w:type="dxa"/>
            <w:tcBorders>
              <w:top w:val="nil"/>
              <w:left w:val="nil"/>
              <w:bottom w:val="single" w:sz="8" w:space="0" w:color="auto"/>
              <w:right w:val="single" w:sz="8" w:space="0" w:color="auto"/>
            </w:tcBorders>
            <w:shd w:val="clear" w:color="000000" w:fill="DCE6F1"/>
            <w:noWrap/>
            <w:vAlign w:val="center"/>
            <w:hideMark/>
          </w:tcPr>
          <w:p w14:paraId="4795E07C" w14:textId="77777777" w:rsidR="00226EC5" w:rsidRPr="0077040C" w:rsidRDefault="00226EC5" w:rsidP="004459D9">
            <w:pPr>
              <w:spacing w:line="240" w:lineRule="auto"/>
              <w:jc w:val="both"/>
              <w:rPr>
                <w:rFonts w:cs="Arial"/>
                <w:b/>
                <w:bCs/>
                <w:color w:val="000000"/>
                <w:szCs w:val="20"/>
              </w:rPr>
            </w:pPr>
            <w:r w:rsidRPr="0077040C">
              <w:rPr>
                <w:rFonts w:cs="Arial"/>
                <w:b/>
                <w:bCs/>
                <w:color w:val="000000"/>
                <w:szCs w:val="20"/>
              </w:rPr>
              <w:t>16.377</w:t>
            </w:r>
          </w:p>
        </w:tc>
        <w:tc>
          <w:tcPr>
            <w:tcW w:w="825" w:type="dxa"/>
            <w:tcBorders>
              <w:top w:val="nil"/>
              <w:left w:val="nil"/>
              <w:bottom w:val="single" w:sz="8" w:space="0" w:color="auto"/>
              <w:right w:val="single" w:sz="8" w:space="0" w:color="auto"/>
            </w:tcBorders>
            <w:shd w:val="clear" w:color="000000" w:fill="DCE6F1"/>
            <w:noWrap/>
            <w:vAlign w:val="center"/>
            <w:hideMark/>
          </w:tcPr>
          <w:p w14:paraId="5BD1DB9F" w14:textId="77777777" w:rsidR="00226EC5" w:rsidRPr="0077040C" w:rsidRDefault="00226EC5" w:rsidP="004459D9">
            <w:pPr>
              <w:spacing w:line="240" w:lineRule="auto"/>
              <w:jc w:val="both"/>
              <w:rPr>
                <w:rFonts w:cs="Arial"/>
                <w:b/>
                <w:bCs/>
                <w:color w:val="000000"/>
                <w:szCs w:val="20"/>
              </w:rPr>
            </w:pPr>
            <w:r w:rsidRPr="0077040C">
              <w:rPr>
                <w:rFonts w:cs="Arial"/>
                <w:b/>
                <w:bCs/>
                <w:color w:val="000000"/>
                <w:szCs w:val="20"/>
              </w:rPr>
              <w:t>805</w:t>
            </w:r>
          </w:p>
        </w:tc>
        <w:tc>
          <w:tcPr>
            <w:tcW w:w="863" w:type="dxa"/>
            <w:tcBorders>
              <w:top w:val="nil"/>
              <w:left w:val="nil"/>
              <w:bottom w:val="single" w:sz="8" w:space="0" w:color="auto"/>
              <w:right w:val="single" w:sz="8" w:space="0" w:color="auto"/>
            </w:tcBorders>
            <w:shd w:val="clear" w:color="000000" w:fill="DCE6F1"/>
            <w:noWrap/>
            <w:vAlign w:val="center"/>
            <w:hideMark/>
          </w:tcPr>
          <w:p w14:paraId="1CE35627" w14:textId="77777777" w:rsidR="00226EC5" w:rsidRPr="0077040C" w:rsidRDefault="00226EC5" w:rsidP="004459D9">
            <w:pPr>
              <w:spacing w:line="240" w:lineRule="auto"/>
              <w:jc w:val="both"/>
              <w:rPr>
                <w:rFonts w:cs="Arial"/>
                <w:b/>
                <w:bCs/>
                <w:color w:val="000000"/>
                <w:szCs w:val="20"/>
              </w:rPr>
            </w:pPr>
            <w:r w:rsidRPr="0077040C">
              <w:rPr>
                <w:rFonts w:cs="Arial"/>
                <w:b/>
                <w:bCs/>
                <w:color w:val="000000"/>
                <w:szCs w:val="20"/>
              </w:rPr>
              <w:t>256</w:t>
            </w:r>
          </w:p>
        </w:tc>
        <w:tc>
          <w:tcPr>
            <w:tcW w:w="826" w:type="dxa"/>
            <w:tcBorders>
              <w:top w:val="nil"/>
              <w:left w:val="nil"/>
              <w:bottom w:val="single" w:sz="8" w:space="0" w:color="auto"/>
              <w:right w:val="single" w:sz="8" w:space="0" w:color="auto"/>
            </w:tcBorders>
            <w:shd w:val="clear" w:color="000000" w:fill="DCE6F1"/>
            <w:noWrap/>
            <w:vAlign w:val="center"/>
            <w:hideMark/>
          </w:tcPr>
          <w:p w14:paraId="586CE584" w14:textId="77777777" w:rsidR="00226EC5" w:rsidRPr="0077040C" w:rsidRDefault="00226EC5" w:rsidP="004459D9">
            <w:pPr>
              <w:spacing w:line="240" w:lineRule="auto"/>
              <w:jc w:val="both"/>
              <w:rPr>
                <w:rFonts w:cs="Arial"/>
                <w:b/>
                <w:bCs/>
                <w:color w:val="000000"/>
                <w:szCs w:val="20"/>
              </w:rPr>
            </w:pPr>
            <w:r w:rsidRPr="0077040C">
              <w:rPr>
                <w:rFonts w:cs="Arial"/>
                <w:b/>
                <w:bCs/>
                <w:color w:val="000000"/>
                <w:szCs w:val="20"/>
              </w:rPr>
              <w:t>1.061</w:t>
            </w:r>
          </w:p>
        </w:tc>
        <w:tc>
          <w:tcPr>
            <w:tcW w:w="825" w:type="dxa"/>
            <w:tcBorders>
              <w:top w:val="nil"/>
              <w:left w:val="nil"/>
              <w:bottom w:val="single" w:sz="8" w:space="0" w:color="auto"/>
              <w:right w:val="single" w:sz="8" w:space="0" w:color="auto"/>
            </w:tcBorders>
            <w:shd w:val="clear" w:color="000000" w:fill="DCE6F1"/>
            <w:noWrap/>
            <w:vAlign w:val="center"/>
            <w:hideMark/>
          </w:tcPr>
          <w:p w14:paraId="64ADE081" w14:textId="77777777" w:rsidR="00226EC5" w:rsidRPr="0077040C" w:rsidRDefault="00226EC5" w:rsidP="004459D9">
            <w:pPr>
              <w:spacing w:line="240" w:lineRule="auto"/>
              <w:jc w:val="both"/>
              <w:rPr>
                <w:rFonts w:cs="Arial"/>
                <w:b/>
                <w:bCs/>
                <w:color w:val="000000"/>
                <w:szCs w:val="20"/>
              </w:rPr>
            </w:pPr>
            <w:r w:rsidRPr="0077040C">
              <w:rPr>
                <w:rFonts w:cs="Arial"/>
                <w:b/>
                <w:bCs/>
                <w:color w:val="000000"/>
                <w:szCs w:val="20"/>
              </w:rPr>
              <w:t>1.539</w:t>
            </w:r>
          </w:p>
        </w:tc>
        <w:tc>
          <w:tcPr>
            <w:tcW w:w="863" w:type="dxa"/>
            <w:tcBorders>
              <w:top w:val="nil"/>
              <w:left w:val="nil"/>
              <w:bottom w:val="single" w:sz="8" w:space="0" w:color="auto"/>
              <w:right w:val="single" w:sz="8" w:space="0" w:color="auto"/>
            </w:tcBorders>
            <w:shd w:val="clear" w:color="000000" w:fill="DCE6F1"/>
            <w:noWrap/>
            <w:vAlign w:val="center"/>
            <w:hideMark/>
          </w:tcPr>
          <w:p w14:paraId="7D8A8FBF" w14:textId="77777777" w:rsidR="00226EC5" w:rsidRPr="0077040C" w:rsidRDefault="00226EC5" w:rsidP="004459D9">
            <w:pPr>
              <w:spacing w:line="240" w:lineRule="auto"/>
              <w:jc w:val="both"/>
              <w:rPr>
                <w:rFonts w:cs="Arial"/>
                <w:b/>
                <w:bCs/>
                <w:color w:val="000000"/>
                <w:szCs w:val="20"/>
              </w:rPr>
            </w:pPr>
            <w:r w:rsidRPr="0077040C">
              <w:rPr>
                <w:rFonts w:cs="Arial"/>
                <w:b/>
                <w:bCs/>
                <w:color w:val="000000"/>
                <w:szCs w:val="20"/>
              </w:rPr>
              <w:t>514</w:t>
            </w:r>
          </w:p>
        </w:tc>
        <w:tc>
          <w:tcPr>
            <w:tcW w:w="826" w:type="dxa"/>
            <w:tcBorders>
              <w:top w:val="nil"/>
              <w:left w:val="nil"/>
              <w:bottom w:val="single" w:sz="8" w:space="0" w:color="auto"/>
              <w:right w:val="single" w:sz="8" w:space="0" w:color="auto"/>
            </w:tcBorders>
            <w:shd w:val="clear" w:color="000000" w:fill="DCE6F1"/>
            <w:noWrap/>
            <w:vAlign w:val="center"/>
            <w:hideMark/>
          </w:tcPr>
          <w:p w14:paraId="47B99F40" w14:textId="77777777" w:rsidR="00226EC5" w:rsidRPr="0077040C" w:rsidRDefault="00226EC5" w:rsidP="004459D9">
            <w:pPr>
              <w:spacing w:line="240" w:lineRule="auto"/>
              <w:jc w:val="both"/>
              <w:rPr>
                <w:rFonts w:cs="Arial"/>
                <w:b/>
                <w:bCs/>
                <w:color w:val="000000"/>
                <w:szCs w:val="20"/>
              </w:rPr>
            </w:pPr>
            <w:r w:rsidRPr="0077040C">
              <w:rPr>
                <w:rFonts w:cs="Arial"/>
                <w:b/>
                <w:bCs/>
                <w:color w:val="000000"/>
                <w:szCs w:val="20"/>
              </w:rPr>
              <w:t>2.053</w:t>
            </w:r>
          </w:p>
        </w:tc>
      </w:tr>
    </w:tbl>
    <w:p w14:paraId="45E707F4" w14:textId="77777777" w:rsidR="00226EC5" w:rsidRPr="0077040C" w:rsidRDefault="00226EC5" w:rsidP="00226EC5">
      <w:pPr>
        <w:tabs>
          <w:tab w:val="left" w:pos="708"/>
        </w:tabs>
        <w:spacing w:line="240" w:lineRule="auto"/>
        <w:jc w:val="both"/>
        <w:rPr>
          <w:rFonts w:cs="Arial"/>
          <w:szCs w:val="20"/>
        </w:rPr>
      </w:pPr>
      <w:r w:rsidRPr="0077040C">
        <w:rPr>
          <w:rFonts w:cs="Arial"/>
          <w:szCs w:val="20"/>
        </w:rPr>
        <w:t xml:space="preserve">Opomba: </w:t>
      </w:r>
    </w:p>
    <w:p w14:paraId="4B2902D1" w14:textId="77777777" w:rsidR="00226EC5" w:rsidRPr="0077040C" w:rsidRDefault="00226EC5" w:rsidP="00226EC5">
      <w:pPr>
        <w:tabs>
          <w:tab w:val="left" w:pos="708"/>
        </w:tabs>
        <w:spacing w:line="240" w:lineRule="auto"/>
        <w:jc w:val="both"/>
        <w:rPr>
          <w:rFonts w:cs="Arial"/>
          <w:szCs w:val="20"/>
        </w:rPr>
      </w:pPr>
      <w:r w:rsidRPr="0077040C">
        <w:rPr>
          <w:rFonts w:cs="Arial"/>
          <w:szCs w:val="20"/>
        </w:rPr>
        <w:t>Vpisno mesto za dvopredmetne študijske programe je upoštevano kot 0,5.</w:t>
      </w:r>
    </w:p>
    <w:p w14:paraId="7F5DEA55" w14:textId="77777777" w:rsidR="00226EC5" w:rsidRPr="0077040C" w:rsidRDefault="00226EC5" w:rsidP="00226EC5">
      <w:pPr>
        <w:spacing w:line="240" w:lineRule="auto"/>
        <w:ind w:right="850"/>
        <w:jc w:val="both"/>
        <w:rPr>
          <w:rFonts w:cs="Arial"/>
          <w:szCs w:val="20"/>
        </w:rPr>
      </w:pPr>
      <w:r w:rsidRPr="0077040C">
        <w:rPr>
          <w:rFonts w:cs="Arial"/>
          <w:szCs w:val="20"/>
        </w:rPr>
        <w:t xml:space="preserve">(*) Koncesioniranim študijskim programom Vlada Republike Slovenije daje soglasje samo k vpisnim mestom za redni študij. Zato pri UNG, NU, UNM in zasebnih samostojnih visokošolskih zavodih ni podatka za izredni študij. </w:t>
      </w:r>
    </w:p>
    <w:p w14:paraId="50F3B9FC" w14:textId="77777777" w:rsidR="00226EC5" w:rsidRDefault="00226EC5" w:rsidP="00226EC5">
      <w:pPr>
        <w:tabs>
          <w:tab w:val="left" w:pos="708"/>
        </w:tabs>
        <w:spacing w:line="240" w:lineRule="auto"/>
        <w:jc w:val="both"/>
        <w:rPr>
          <w:rFonts w:cs="Arial"/>
          <w:szCs w:val="20"/>
        </w:rPr>
      </w:pPr>
    </w:p>
    <w:p w14:paraId="3132E32C" w14:textId="77777777" w:rsidR="00226EC5" w:rsidRPr="0077040C" w:rsidRDefault="00226EC5" w:rsidP="00226EC5">
      <w:pPr>
        <w:tabs>
          <w:tab w:val="left" w:pos="708"/>
        </w:tabs>
        <w:spacing w:line="240" w:lineRule="auto"/>
        <w:jc w:val="both"/>
        <w:rPr>
          <w:rFonts w:cs="Arial"/>
          <w:szCs w:val="20"/>
        </w:rPr>
      </w:pPr>
      <w:r>
        <w:rPr>
          <w:rFonts w:cs="Arial"/>
          <w:szCs w:val="20"/>
        </w:rPr>
        <w:t>Vir: Ministrstvo za izobraževanje, znanost in šport</w:t>
      </w:r>
    </w:p>
    <w:p w14:paraId="0841D4AC" w14:textId="77777777" w:rsidR="00226EC5" w:rsidRPr="0077040C" w:rsidRDefault="00226EC5" w:rsidP="00226EC5">
      <w:pPr>
        <w:tabs>
          <w:tab w:val="left" w:pos="708"/>
        </w:tabs>
        <w:spacing w:line="240" w:lineRule="auto"/>
        <w:jc w:val="both"/>
        <w:rPr>
          <w:rFonts w:cs="Arial"/>
          <w:szCs w:val="20"/>
        </w:rPr>
      </w:pPr>
    </w:p>
    <w:p w14:paraId="60887B1C" w14:textId="77777777" w:rsidR="00226EC5" w:rsidRPr="0077040C" w:rsidRDefault="00226EC5" w:rsidP="00226EC5">
      <w:pPr>
        <w:spacing w:line="240" w:lineRule="auto"/>
        <w:jc w:val="both"/>
        <w:rPr>
          <w:rFonts w:cs="Arial"/>
          <w:iCs/>
          <w:szCs w:val="20"/>
          <w:lang w:eastAsia="sl-SI"/>
        </w:rPr>
      </w:pPr>
      <w:r w:rsidRPr="0077040C">
        <w:rPr>
          <w:rFonts w:cs="Arial"/>
          <w:iCs/>
          <w:szCs w:val="20"/>
          <w:lang w:eastAsia="sl-SI"/>
        </w:rPr>
        <w:t xml:space="preserve">                                        </w:t>
      </w:r>
    </w:p>
    <w:p w14:paraId="6EE7DCF3" w14:textId="77777777" w:rsidR="00226EC5" w:rsidRPr="0077040C" w:rsidRDefault="00226EC5" w:rsidP="00226EC5">
      <w:pPr>
        <w:autoSpaceDE w:val="0"/>
        <w:autoSpaceDN w:val="0"/>
        <w:adjustRightInd w:val="0"/>
        <w:spacing w:line="240" w:lineRule="auto"/>
        <w:jc w:val="both"/>
        <w:rPr>
          <w:rFonts w:cs="Arial"/>
          <w:b/>
          <w:szCs w:val="20"/>
          <w:lang w:eastAsia="sl-SI"/>
        </w:rPr>
      </w:pPr>
      <w:r w:rsidRPr="0077040C">
        <w:rPr>
          <w:rFonts w:cs="Arial"/>
          <w:b/>
          <w:szCs w:val="20"/>
          <w:lang w:eastAsia="sl-SI"/>
        </w:rPr>
        <w:t>Vlada sprejela Izhodišča za pogajanja za sklenitev Aneksa h Kolektivni pogodbi za zaposlene v zdravstveni negi ter dejavnosti zdravstva in socialnega varstva Slovenije</w:t>
      </w:r>
    </w:p>
    <w:p w14:paraId="5014592D" w14:textId="77777777" w:rsidR="00226EC5" w:rsidRPr="0077040C" w:rsidRDefault="00226EC5" w:rsidP="00226EC5">
      <w:pPr>
        <w:autoSpaceDE w:val="0"/>
        <w:autoSpaceDN w:val="0"/>
        <w:adjustRightInd w:val="0"/>
        <w:spacing w:line="240" w:lineRule="auto"/>
        <w:jc w:val="both"/>
        <w:rPr>
          <w:rFonts w:cs="Arial"/>
          <w:b/>
          <w:szCs w:val="20"/>
        </w:rPr>
      </w:pPr>
    </w:p>
    <w:p w14:paraId="37ADF9C7" w14:textId="77777777" w:rsidR="00226EC5" w:rsidRPr="000A1EE6" w:rsidRDefault="00226EC5" w:rsidP="00226EC5">
      <w:pPr>
        <w:autoSpaceDE w:val="0"/>
        <w:autoSpaceDN w:val="0"/>
        <w:adjustRightInd w:val="0"/>
        <w:spacing w:line="240" w:lineRule="auto"/>
        <w:jc w:val="both"/>
        <w:rPr>
          <w:rFonts w:cs="Arial"/>
          <w:bCs/>
          <w:szCs w:val="20"/>
        </w:rPr>
      </w:pPr>
      <w:bookmarkStart w:id="1" w:name="_Hlk94373484"/>
      <w:r w:rsidRPr="000A1EE6">
        <w:rPr>
          <w:rFonts w:cs="Arial"/>
          <w:bCs/>
          <w:szCs w:val="20"/>
        </w:rPr>
        <w:t>Vlada je sprejela Izhodišča za pogajanja za sklenitev Aneksa h Kolektivni pogodbe za zaposlene v zdravstveni negi in Aneksa h Kolektivni pogodbi za dejavnost zdravstva in socialnega varstva Slovenije, ter pooblastila Pogajalsko skupino za pogajanja.</w:t>
      </w:r>
    </w:p>
    <w:bookmarkEnd w:id="1"/>
    <w:p w14:paraId="28540662" w14:textId="77777777" w:rsidR="00226EC5" w:rsidRPr="000A1EE6" w:rsidRDefault="00226EC5" w:rsidP="00226EC5">
      <w:pPr>
        <w:autoSpaceDE w:val="0"/>
        <w:autoSpaceDN w:val="0"/>
        <w:adjustRightInd w:val="0"/>
        <w:spacing w:line="240" w:lineRule="auto"/>
        <w:jc w:val="both"/>
        <w:rPr>
          <w:rFonts w:cs="Arial"/>
          <w:bCs/>
          <w:szCs w:val="20"/>
        </w:rPr>
      </w:pPr>
    </w:p>
    <w:p w14:paraId="3A85B532" w14:textId="77777777" w:rsidR="00226EC5" w:rsidRPr="0077040C" w:rsidRDefault="00226EC5" w:rsidP="00226EC5">
      <w:pPr>
        <w:autoSpaceDE w:val="0"/>
        <w:autoSpaceDN w:val="0"/>
        <w:adjustRightInd w:val="0"/>
        <w:spacing w:line="240" w:lineRule="auto"/>
        <w:jc w:val="both"/>
        <w:rPr>
          <w:rFonts w:cs="Arial"/>
          <w:bCs/>
          <w:szCs w:val="20"/>
        </w:rPr>
      </w:pPr>
      <w:r w:rsidRPr="0077040C">
        <w:rPr>
          <w:rFonts w:cs="Arial"/>
          <w:bCs/>
          <w:szCs w:val="20"/>
        </w:rPr>
        <w:t xml:space="preserve">V okviru predhodnih pogajanj je bil dne 18. 11. 21 sklenjen Dogovor o nujnih ukrepih na področju plač v dejavnosti zdravstva in socialnega varstva in nadaljevanju pogajanj (v nadaljnjem besedilu: Dogovor) v katerem sta vladna in sindikalna stran med drugim soglašali, da bosta najkasneje do 15. 1. 2022 pričeli pogajanja o novih uvrstitvah delovnih mest v dejavnosti zdravstva in socialnega </w:t>
      </w:r>
      <w:r w:rsidRPr="0077040C">
        <w:rPr>
          <w:rFonts w:cs="Arial"/>
          <w:bCs/>
          <w:szCs w:val="20"/>
        </w:rPr>
        <w:lastRenderedPageBreak/>
        <w:t>varstva oziroma v zdravstveni negi, s katerimi bi se zaradi enotnosti plač v javnem sektorju odpravila nesorazmerja pri vrednotenju med posameznimi delovnimi mesti in poklicnimi skupinami, vključno s plačno skupino J, ki so nastala v okviru teh ali predhodnih pogajanj, z namenom, da se pogajanja zaključijo do 24. aprila 2022. Podpisniki so bili soglasni, da si bodo v zgoraj navedenih pogajanjih prizadevali tudi za določitev kriterijev za zasedbo delovnih mest.</w:t>
      </w:r>
    </w:p>
    <w:p w14:paraId="3684FF9A" w14:textId="77777777" w:rsidR="00226EC5" w:rsidRPr="0077040C" w:rsidRDefault="00226EC5" w:rsidP="00226EC5">
      <w:pPr>
        <w:autoSpaceDE w:val="0"/>
        <w:autoSpaceDN w:val="0"/>
        <w:adjustRightInd w:val="0"/>
        <w:spacing w:line="240" w:lineRule="auto"/>
        <w:jc w:val="both"/>
        <w:rPr>
          <w:rFonts w:cs="Arial"/>
          <w:bCs/>
          <w:szCs w:val="20"/>
        </w:rPr>
      </w:pPr>
    </w:p>
    <w:p w14:paraId="274E98E1" w14:textId="77777777" w:rsidR="00226EC5" w:rsidRPr="0077040C" w:rsidRDefault="00226EC5" w:rsidP="00226EC5">
      <w:pPr>
        <w:autoSpaceDE w:val="0"/>
        <w:autoSpaceDN w:val="0"/>
        <w:adjustRightInd w:val="0"/>
        <w:spacing w:line="240" w:lineRule="auto"/>
        <w:jc w:val="both"/>
        <w:rPr>
          <w:rFonts w:cs="Arial"/>
          <w:bCs/>
          <w:szCs w:val="20"/>
        </w:rPr>
      </w:pPr>
      <w:r w:rsidRPr="0077040C">
        <w:rPr>
          <w:rFonts w:cs="Arial"/>
          <w:bCs/>
          <w:szCs w:val="20"/>
        </w:rPr>
        <w:t>Glede na naravo pogajanj na področju zdravstva in socialnega varstva, je nekaj vsebinskih področij ostalo neurejenih, prav tako pa so se pokazale anomalije na področju zdravstvene nege in socialnega varstva, kar je možno obravnavati z nadaljevanjem pogajanj.</w:t>
      </w:r>
    </w:p>
    <w:p w14:paraId="0D4BB2BA" w14:textId="77777777" w:rsidR="00226EC5" w:rsidRPr="0077040C" w:rsidRDefault="00226EC5" w:rsidP="00226EC5">
      <w:pPr>
        <w:autoSpaceDE w:val="0"/>
        <w:autoSpaceDN w:val="0"/>
        <w:adjustRightInd w:val="0"/>
        <w:spacing w:line="240" w:lineRule="auto"/>
        <w:jc w:val="both"/>
        <w:rPr>
          <w:rFonts w:cs="Arial"/>
          <w:bCs/>
          <w:szCs w:val="20"/>
        </w:rPr>
      </w:pPr>
    </w:p>
    <w:p w14:paraId="2C144BE2" w14:textId="77777777" w:rsidR="00226EC5" w:rsidRDefault="00226EC5" w:rsidP="00226EC5">
      <w:pPr>
        <w:autoSpaceDE w:val="0"/>
        <w:autoSpaceDN w:val="0"/>
        <w:adjustRightInd w:val="0"/>
        <w:spacing w:line="240" w:lineRule="auto"/>
        <w:jc w:val="both"/>
        <w:rPr>
          <w:rFonts w:cs="Arial"/>
          <w:szCs w:val="20"/>
          <w:lang w:eastAsia="sl-SI"/>
        </w:rPr>
      </w:pPr>
      <w:r w:rsidRPr="0077040C">
        <w:rPr>
          <w:rFonts w:cs="Arial"/>
          <w:szCs w:val="20"/>
          <w:lang w:eastAsia="sl-SI"/>
        </w:rPr>
        <w:t>Vodilna usmeritev predhodnih pogajanj v letu 2021 je bila, da se najprej odpravijo razlike tam, kjer je bilo v zadnjih letih največ teženj in razlogov za odhode v zdravstvu. Obe pogajalski skupini sta se zavedali, da se bodo z implementiranimi rešitvami  povzročila določena plačna nesorazmerja, hkrati pa sta obe strani podpisali zavezo, da se bodo glede novih uvrstitev delovnih mest v dejavnosti zdravstva in socialnega varstva oziroma v zdravstveni negi,  s katerimi bi se zaradi enotnosti plač v javnem sektorju odpravila nesorazmerja pri vrednotenju med posameznimi delovnimi mesti in poklicnimi skupinami, ki so nastala v okviru teh ali predhodnih pogajanj, pričela nova pogajanja.</w:t>
      </w:r>
    </w:p>
    <w:p w14:paraId="21AFED6D" w14:textId="77777777" w:rsidR="00226EC5" w:rsidRDefault="00226EC5" w:rsidP="00226EC5">
      <w:pPr>
        <w:autoSpaceDE w:val="0"/>
        <w:autoSpaceDN w:val="0"/>
        <w:adjustRightInd w:val="0"/>
        <w:spacing w:line="240" w:lineRule="auto"/>
        <w:jc w:val="both"/>
        <w:rPr>
          <w:rFonts w:cs="Arial"/>
          <w:szCs w:val="20"/>
          <w:lang w:eastAsia="sl-SI"/>
        </w:rPr>
      </w:pPr>
    </w:p>
    <w:p w14:paraId="75343DA5" w14:textId="77777777" w:rsidR="00226EC5" w:rsidRDefault="00226EC5" w:rsidP="00226EC5">
      <w:pPr>
        <w:autoSpaceDE w:val="0"/>
        <w:autoSpaceDN w:val="0"/>
        <w:adjustRightInd w:val="0"/>
        <w:spacing w:line="240" w:lineRule="auto"/>
        <w:jc w:val="both"/>
        <w:rPr>
          <w:rFonts w:cs="Arial"/>
          <w:szCs w:val="20"/>
          <w:lang w:eastAsia="sl-SI"/>
        </w:rPr>
      </w:pPr>
      <w:r>
        <w:rPr>
          <w:rFonts w:cs="Arial"/>
          <w:szCs w:val="20"/>
          <w:lang w:eastAsia="sl-SI"/>
        </w:rPr>
        <w:t>Vir: Ministrstvo za zdravje</w:t>
      </w:r>
    </w:p>
    <w:p w14:paraId="702DD4FB" w14:textId="77777777" w:rsidR="00226EC5" w:rsidRPr="0077040C" w:rsidRDefault="00226EC5" w:rsidP="00226EC5">
      <w:pPr>
        <w:autoSpaceDE w:val="0"/>
        <w:autoSpaceDN w:val="0"/>
        <w:adjustRightInd w:val="0"/>
        <w:spacing w:line="240" w:lineRule="auto"/>
        <w:jc w:val="both"/>
        <w:rPr>
          <w:rFonts w:cs="Arial"/>
          <w:szCs w:val="20"/>
        </w:rPr>
      </w:pPr>
    </w:p>
    <w:p w14:paraId="29508CB5" w14:textId="77777777" w:rsidR="00226EC5" w:rsidRPr="0077040C" w:rsidRDefault="00226EC5" w:rsidP="00226EC5">
      <w:pPr>
        <w:spacing w:line="240" w:lineRule="auto"/>
        <w:jc w:val="both"/>
        <w:rPr>
          <w:rFonts w:cs="Arial"/>
          <w:szCs w:val="20"/>
        </w:rPr>
      </w:pPr>
      <w:r w:rsidRPr="0077040C">
        <w:rPr>
          <w:rFonts w:cs="Arial"/>
          <w:szCs w:val="20"/>
        </w:rPr>
        <w:t xml:space="preserve"> </w:t>
      </w:r>
    </w:p>
    <w:p w14:paraId="1232C869" w14:textId="77777777" w:rsidR="00226EC5" w:rsidRDefault="00226EC5" w:rsidP="00226EC5">
      <w:pPr>
        <w:spacing w:line="240" w:lineRule="auto"/>
        <w:jc w:val="both"/>
        <w:rPr>
          <w:rFonts w:cs="Arial"/>
          <w:b/>
          <w:bCs/>
          <w:szCs w:val="20"/>
          <w:lang w:eastAsia="sl-SI"/>
        </w:rPr>
      </w:pPr>
      <w:r w:rsidRPr="0077040C">
        <w:rPr>
          <w:rFonts w:cs="Arial"/>
          <w:b/>
          <w:bCs/>
          <w:szCs w:val="20"/>
          <w:lang w:eastAsia="sl-SI"/>
        </w:rPr>
        <w:t>Že upokojeni bodo zaradi trenutnih potreb na trgu dela lahko delali več</w:t>
      </w:r>
    </w:p>
    <w:p w14:paraId="413F10A7" w14:textId="77777777" w:rsidR="00226EC5" w:rsidRPr="0077040C" w:rsidRDefault="00226EC5" w:rsidP="00226EC5">
      <w:pPr>
        <w:spacing w:line="240" w:lineRule="auto"/>
        <w:jc w:val="both"/>
        <w:rPr>
          <w:rFonts w:cs="Arial"/>
          <w:b/>
          <w:bCs/>
          <w:szCs w:val="20"/>
          <w:lang w:eastAsia="sl-SI"/>
        </w:rPr>
      </w:pPr>
    </w:p>
    <w:p w14:paraId="2B6EAC76" w14:textId="77777777" w:rsidR="00226EC5" w:rsidRDefault="00226EC5" w:rsidP="00226EC5">
      <w:pPr>
        <w:spacing w:line="240" w:lineRule="auto"/>
        <w:jc w:val="both"/>
        <w:rPr>
          <w:rFonts w:cs="Arial"/>
          <w:szCs w:val="20"/>
          <w:lang w:eastAsia="sl-SI"/>
        </w:rPr>
      </w:pPr>
      <w:r w:rsidRPr="0077040C">
        <w:rPr>
          <w:rFonts w:cs="Arial"/>
          <w:szCs w:val="20"/>
          <w:lang w:eastAsia="sl-SI"/>
        </w:rPr>
        <w:t>Vlada je na današnji seji sprejela predlog Zakona o interventnih ukrepih za podporo trgu dela in ga posreduje v obravnavo Državnemu zboru Republike Slovenije po nujnem postopku.</w:t>
      </w:r>
    </w:p>
    <w:p w14:paraId="4FDB03E2" w14:textId="77777777" w:rsidR="00226EC5" w:rsidRPr="0077040C" w:rsidRDefault="00226EC5" w:rsidP="00226EC5">
      <w:pPr>
        <w:spacing w:line="240" w:lineRule="auto"/>
        <w:jc w:val="both"/>
        <w:rPr>
          <w:rFonts w:cs="Arial"/>
          <w:szCs w:val="20"/>
          <w:lang w:eastAsia="sl-SI"/>
        </w:rPr>
      </w:pPr>
    </w:p>
    <w:p w14:paraId="2030C6DA" w14:textId="77777777" w:rsidR="00226EC5" w:rsidRPr="0077040C" w:rsidRDefault="00226EC5" w:rsidP="00226EC5">
      <w:pPr>
        <w:overflowPunct w:val="0"/>
        <w:spacing w:line="240" w:lineRule="auto"/>
        <w:jc w:val="both"/>
        <w:textAlignment w:val="baseline"/>
        <w:rPr>
          <w:rFonts w:cs="Arial"/>
          <w:szCs w:val="20"/>
          <w:lang w:eastAsia="sl-SI"/>
        </w:rPr>
      </w:pPr>
      <w:r w:rsidRPr="0077040C">
        <w:rPr>
          <w:rFonts w:cs="Arial"/>
          <w:szCs w:val="20"/>
          <w:lang w:eastAsia="sl-SI"/>
        </w:rPr>
        <w:t>S predlaganim Zakonom o interventnih ukrepih za podporo trgu dela se rešuje posledice obsežne bolniške odsotnosti zaposlenih ter odsotnosti zaradi odrejenih karanten tako zaposlenih kot njihovih družinskih članov. Tako nastale odsotnosti, ki se izražajo v pomanjkanju delovne sile, se lahko začasno omili s povečanim obsegom občasnega in začasnega dela upokojencev, ki ga ureja Zakon o urejanju trga dela (ZUTD).</w:t>
      </w:r>
    </w:p>
    <w:p w14:paraId="0A495332" w14:textId="77777777" w:rsidR="00226EC5" w:rsidRPr="0077040C" w:rsidRDefault="00226EC5" w:rsidP="00226EC5">
      <w:pPr>
        <w:spacing w:line="240" w:lineRule="auto"/>
        <w:jc w:val="both"/>
        <w:rPr>
          <w:rFonts w:cs="Arial"/>
          <w:szCs w:val="20"/>
        </w:rPr>
      </w:pPr>
    </w:p>
    <w:p w14:paraId="3A0948E8" w14:textId="77777777" w:rsidR="00226EC5" w:rsidRPr="0077040C" w:rsidRDefault="00226EC5" w:rsidP="00226EC5">
      <w:pPr>
        <w:shd w:val="clear" w:color="auto" w:fill="FFFFFF"/>
        <w:spacing w:line="240" w:lineRule="auto"/>
        <w:jc w:val="both"/>
        <w:rPr>
          <w:rFonts w:cs="Arial"/>
          <w:szCs w:val="20"/>
          <w:lang w:eastAsia="sl-SI"/>
        </w:rPr>
      </w:pPr>
      <w:r w:rsidRPr="0077040C">
        <w:rPr>
          <w:rFonts w:cs="Arial"/>
          <w:color w:val="000000"/>
          <w:szCs w:val="20"/>
          <w:lang w:eastAsia="sl-SI"/>
        </w:rPr>
        <w:t xml:space="preserve">Veljavni zakon določa, da začasno ali občasno delo lahko upokojenec opravlja v obsegu največ 60 ur v koledarskem mesecu, pri čemer neizkoriščenih ur ni mogoče prenašati v naslednji koledarski mesec . Ne glede na navedeno lahko upokojenec opravlja začasno ali občasno delo tudi največ 90 ur v koledarskem mesecu, vendar največ trikrat v koledarskem letu, pri čemer seštevek ur opravljenega začasnega in občasnega dela v koledarskem letu ne sme preseči 720 ur. </w:t>
      </w:r>
    </w:p>
    <w:p w14:paraId="113EB869" w14:textId="77777777" w:rsidR="00226EC5" w:rsidRPr="0077040C" w:rsidRDefault="00226EC5" w:rsidP="00226EC5">
      <w:pPr>
        <w:shd w:val="clear" w:color="auto" w:fill="FFFFFF"/>
        <w:spacing w:line="240" w:lineRule="auto"/>
        <w:jc w:val="both"/>
        <w:rPr>
          <w:rFonts w:cs="Arial"/>
          <w:szCs w:val="20"/>
          <w:lang w:eastAsia="sl-SI"/>
        </w:rPr>
      </w:pPr>
    </w:p>
    <w:p w14:paraId="2E355C9A" w14:textId="77777777" w:rsidR="00226EC5" w:rsidRPr="0077040C" w:rsidRDefault="00226EC5" w:rsidP="00226EC5">
      <w:pPr>
        <w:shd w:val="clear" w:color="auto" w:fill="FFFFFF"/>
        <w:spacing w:line="240" w:lineRule="auto"/>
        <w:jc w:val="both"/>
        <w:rPr>
          <w:rFonts w:cs="Arial"/>
          <w:szCs w:val="20"/>
          <w:lang w:eastAsia="sl-SI"/>
        </w:rPr>
      </w:pPr>
      <w:r w:rsidRPr="0077040C">
        <w:rPr>
          <w:rFonts w:cs="Arial"/>
          <w:color w:val="000000"/>
          <w:szCs w:val="20"/>
          <w:lang w:eastAsia="sl-SI"/>
        </w:rPr>
        <w:t>S predlogom tega zakona se predlaga izjema od navedenega pravila, in sicer na način, da se upokojencem dovoli, da v koledarskem mesecu opravijo največ 90 ur začasnega ali občasnega dela oziroma tudi največ 120 ur v koledarskem mesecu, vendar največ trikrat v koledarskem letu, pri čemer seštevek ur opravljenega začasnega ali občasnega dela v koledarskem letu ne sme preseči 1080 ur.</w:t>
      </w:r>
    </w:p>
    <w:p w14:paraId="502E4C39" w14:textId="77777777" w:rsidR="00226EC5" w:rsidRPr="0077040C" w:rsidRDefault="00226EC5" w:rsidP="00226EC5">
      <w:pPr>
        <w:shd w:val="clear" w:color="auto" w:fill="FFFFFF"/>
        <w:spacing w:line="240" w:lineRule="auto"/>
        <w:jc w:val="both"/>
        <w:rPr>
          <w:rFonts w:cs="Arial"/>
          <w:szCs w:val="20"/>
          <w:lang w:eastAsia="sl-SI"/>
        </w:rPr>
      </w:pPr>
    </w:p>
    <w:p w14:paraId="1B2EFD1A" w14:textId="77777777" w:rsidR="00226EC5" w:rsidRPr="0077040C" w:rsidRDefault="00226EC5" w:rsidP="00226EC5">
      <w:pPr>
        <w:shd w:val="clear" w:color="auto" w:fill="FFFFFF"/>
        <w:spacing w:line="240" w:lineRule="auto"/>
        <w:jc w:val="both"/>
        <w:rPr>
          <w:rFonts w:cs="Arial"/>
          <w:szCs w:val="20"/>
          <w:lang w:eastAsia="sl-SI"/>
        </w:rPr>
      </w:pPr>
      <w:r w:rsidRPr="0077040C">
        <w:rPr>
          <w:rFonts w:cs="Arial"/>
          <w:color w:val="000000"/>
          <w:szCs w:val="20"/>
          <w:lang w:eastAsia="sl-SI"/>
        </w:rPr>
        <w:t>Ta ukrep naj bi veljal  do 31. decembra 2022.</w:t>
      </w:r>
    </w:p>
    <w:p w14:paraId="74B0927A" w14:textId="77777777" w:rsidR="00226EC5" w:rsidRDefault="00226EC5" w:rsidP="00226EC5">
      <w:pPr>
        <w:spacing w:line="240" w:lineRule="auto"/>
        <w:jc w:val="both"/>
        <w:rPr>
          <w:rFonts w:cs="Arial"/>
          <w:szCs w:val="20"/>
        </w:rPr>
      </w:pPr>
    </w:p>
    <w:p w14:paraId="34F04FD4" w14:textId="77777777" w:rsidR="00226EC5" w:rsidRPr="0077040C" w:rsidRDefault="00226EC5" w:rsidP="00226EC5">
      <w:pPr>
        <w:spacing w:line="240" w:lineRule="auto"/>
        <w:jc w:val="both"/>
        <w:rPr>
          <w:rFonts w:cs="Arial"/>
          <w:szCs w:val="20"/>
        </w:rPr>
      </w:pPr>
      <w:r>
        <w:rPr>
          <w:rFonts w:cs="Arial"/>
          <w:szCs w:val="20"/>
        </w:rPr>
        <w:t>Vir: Ministrstvo za delo, družino, socialne zadeve in enake možnosti</w:t>
      </w:r>
    </w:p>
    <w:p w14:paraId="02333516" w14:textId="77777777" w:rsidR="00226EC5" w:rsidRPr="0077040C" w:rsidRDefault="00226EC5" w:rsidP="00226EC5">
      <w:pPr>
        <w:spacing w:line="240" w:lineRule="auto"/>
        <w:jc w:val="both"/>
        <w:rPr>
          <w:rFonts w:cs="Arial"/>
          <w:szCs w:val="20"/>
        </w:rPr>
      </w:pPr>
    </w:p>
    <w:p w14:paraId="018841E5" w14:textId="77777777" w:rsidR="00226EC5" w:rsidRPr="0077040C" w:rsidRDefault="00226EC5" w:rsidP="00226EC5">
      <w:pPr>
        <w:spacing w:line="240" w:lineRule="auto"/>
        <w:jc w:val="both"/>
        <w:rPr>
          <w:rFonts w:cs="Arial"/>
          <w:szCs w:val="20"/>
        </w:rPr>
      </w:pPr>
    </w:p>
    <w:p w14:paraId="6354AACF" w14:textId="77777777" w:rsidR="00226EC5" w:rsidRPr="0077040C" w:rsidRDefault="00226EC5" w:rsidP="00226EC5">
      <w:pPr>
        <w:spacing w:line="240" w:lineRule="auto"/>
        <w:jc w:val="both"/>
        <w:rPr>
          <w:rFonts w:cs="Arial"/>
          <w:b/>
          <w:szCs w:val="20"/>
        </w:rPr>
      </w:pPr>
      <w:r w:rsidRPr="0077040C">
        <w:rPr>
          <w:rFonts w:cs="Arial"/>
          <w:b/>
          <w:szCs w:val="20"/>
        </w:rPr>
        <w:t>Vlada odgovorila  na pobude za začetek postopka za oceno ustavnosti in zakonitosti Odloka in Sklepa o izvajanju vzgojno-izobraževalnega dela na daljavo</w:t>
      </w:r>
    </w:p>
    <w:p w14:paraId="4229B603" w14:textId="77777777" w:rsidR="00226EC5" w:rsidRPr="0077040C" w:rsidRDefault="00226EC5" w:rsidP="00226EC5">
      <w:pPr>
        <w:spacing w:line="240" w:lineRule="auto"/>
        <w:jc w:val="both"/>
        <w:rPr>
          <w:rFonts w:cs="Arial"/>
          <w:szCs w:val="20"/>
        </w:rPr>
      </w:pPr>
    </w:p>
    <w:p w14:paraId="5538709F" w14:textId="77777777" w:rsidR="00226EC5" w:rsidRDefault="00226EC5" w:rsidP="00226EC5">
      <w:pPr>
        <w:spacing w:line="240" w:lineRule="auto"/>
        <w:jc w:val="both"/>
        <w:rPr>
          <w:rFonts w:cs="Arial"/>
          <w:szCs w:val="20"/>
        </w:rPr>
      </w:pPr>
      <w:r w:rsidRPr="0077040C">
        <w:rPr>
          <w:rFonts w:cs="Arial"/>
          <w:szCs w:val="20"/>
        </w:rPr>
        <w:t xml:space="preserve">Vlada je od Ustavnega sodišča Republike v odgovor prejela pobude za začetek postopka za oceno ustavnosti in zakonitosti. Pobudniki izpodbijajo Odlok o začasnih ukrepih za preprečevanje in obvladovanje okužb z nalezljivo boleznijo COVID-19 in Sklep o izvajanju vzgojno-izobraževalnega dela na daljav. </w:t>
      </w:r>
    </w:p>
    <w:p w14:paraId="7145744D" w14:textId="77777777" w:rsidR="00226EC5" w:rsidRPr="0077040C" w:rsidRDefault="00226EC5" w:rsidP="00226EC5">
      <w:pPr>
        <w:spacing w:line="240" w:lineRule="auto"/>
        <w:jc w:val="both"/>
        <w:rPr>
          <w:rFonts w:cs="Arial"/>
          <w:szCs w:val="20"/>
        </w:rPr>
      </w:pPr>
    </w:p>
    <w:p w14:paraId="108BA76F" w14:textId="77777777" w:rsidR="00226EC5" w:rsidRDefault="00226EC5" w:rsidP="00226EC5">
      <w:pPr>
        <w:spacing w:line="240" w:lineRule="auto"/>
        <w:jc w:val="both"/>
        <w:rPr>
          <w:rFonts w:cs="Arial"/>
          <w:szCs w:val="20"/>
        </w:rPr>
      </w:pPr>
      <w:r w:rsidRPr="0077040C">
        <w:rPr>
          <w:rFonts w:cs="Arial"/>
          <w:szCs w:val="20"/>
        </w:rPr>
        <w:lastRenderedPageBreak/>
        <w:t>Vlada v prvem delu odgovora navaja argumente v prid strokovni utemeljenosti ukrepov obveznega samotestiranja učencev in dijakov in nošenja mask v šolah. V drugem delu pa vlada odgovarja na navedbe pobudnikov o neskladnosti odloka in sklepa z ustavo, zakonodajo in mednarodnimi akti.</w:t>
      </w:r>
    </w:p>
    <w:p w14:paraId="58A311BC" w14:textId="77777777" w:rsidR="00226EC5" w:rsidRPr="0077040C" w:rsidRDefault="00226EC5" w:rsidP="00226EC5">
      <w:pPr>
        <w:spacing w:line="240" w:lineRule="auto"/>
        <w:jc w:val="both"/>
        <w:rPr>
          <w:rFonts w:cs="Arial"/>
          <w:szCs w:val="20"/>
        </w:rPr>
      </w:pPr>
    </w:p>
    <w:p w14:paraId="02EC2CEC" w14:textId="77777777" w:rsidR="00226EC5" w:rsidRPr="0077040C" w:rsidRDefault="00226EC5" w:rsidP="00226EC5">
      <w:pPr>
        <w:spacing w:line="240" w:lineRule="auto"/>
        <w:jc w:val="both"/>
        <w:rPr>
          <w:rFonts w:cs="Arial"/>
          <w:szCs w:val="20"/>
        </w:rPr>
      </w:pPr>
      <w:r w:rsidRPr="0077040C">
        <w:rPr>
          <w:rFonts w:cs="Arial"/>
          <w:szCs w:val="20"/>
        </w:rPr>
        <w:t xml:space="preserve">Vlada v odgovoru poudarja, da je pri določitvi ukrepov v odloku ravnala v skladu z načelom sorazmernosti iz 2. člena ustave, ob spoštovanju določb ustave, na podlagi Zakona o nalezljivih boleznih  ter ob zasledovanju največje koristi učencev in dijakov. Sledila je </w:t>
      </w:r>
      <w:proofErr w:type="spellStart"/>
      <w:r w:rsidRPr="0077040C">
        <w:rPr>
          <w:rFonts w:cs="Arial"/>
          <w:szCs w:val="20"/>
        </w:rPr>
        <w:t>pozitivnopravni</w:t>
      </w:r>
      <w:proofErr w:type="spellEnd"/>
      <w:r w:rsidRPr="0077040C">
        <w:rPr>
          <w:rFonts w:cs="Arial"/>
          <w:szCs w:val="20"/>
        </w:rPr>
        <w:t xml:space="preserve"> obveznosti zagotavljanja okolja, v katerem se zajezi širjenje okužb z nalezljivo boleznijo ter ohrani delovanje zdravstvenega sistema in odprtost šol. V odloku so bile določene le omejitve, nujno potrebne za dosego ustavnopravno dopustnega cilja, v tej zadevi pa je to varovanje zdravja družbe in posameznikov ter uresničevanje pravice do izobrazbe in šolanja. Vlada deluje s ciljem varovanja ustavnih pravic iz 51. in 57. člena ustave. Vlada ustavnemu sodišču predlaga naj pobude za začetek postopka za oceno ustavnosti in zakonitosti kot neutemeljene zavrne.</w:t>
      </w:r>
    </w:p>
    <w:p w14:paraId="3984021F" w14:textId="77777777" w:rsidR="00226EC5" w:rsidRDefault="00226EC5" w:rsidP="00226EC5">
      <w:pPr>
        <w:spacing w:line="240" w:lineRule="auto"/>
        <w:jc w:val="both"/>
        <w:rPr>
          <w:rFonts w:cs="Arial"/>
          <w:szCs w:val="20"/>
        </w:rPr>
      </w:pPr>
      <w:r w:rsidRPr="0077040C">
        <w:rPr>
          <w:rFonts w:cs="Arial"/>
          <w:szCs w:val="20"/>
        </w:rPr>
        <w:t xml:space="preserve"> </w:t>
      </w:r>
    </w:p>
    <w:p w14:paraId="1852356F" w14:textId="77777777" w:rsidR="00226EC5" w:rsidRDefault="00226EC5" w:rsidP="00226EC5">
      <w:pPr>
        <w:autoSpaceDE w:val="0"/>
        <w:autoSpaceDN w:val="0"/>
        <w:adjustRightInd w:val="0"/>
        <w:spacing w:line="240" w:lineRule="auto"/>
        <w:jc w:val="both"/>
        <w:rPr>
          <w:rFonts w:cs="Arial"/>
          <w:szCs w:val="20"/>
          <w:lang w:eastAsia="sl-SI"/>
        </w:rPr>
      </w:pPr>
      <w:r>
        <w:rPr>
          <w:rFonts w:cs="Arial"/>
          <w:szCs w:val="20"/>
          <w:lang w:eastAsia="sl-SI"/>
        </w:rPr>
        <w:t>Vir: Ministrstvo za zdravje</w:t>
      </w:r>
    </w:p>
    <w:p w14:paraId="24D8A976" w14:textId="77777777" w:rsidR="00226EC5" w:rsidRPr="0077040C" w:rsidRDefault="00226EC5" w:rsidP="00226EC5">
      <w:pPr>
        <w:spacing w:line="240" w:lineRule="auto"/>
        <w:jc w:val="both"/>
        <w:rPr>
          <w:rFonts w:cs="Arial"/>
          <w:szCs w:val="20"/>
        </w:rPr>
      </w:pPr>
    </w:p>
    <w:p w14:paraId="3E61161F" w14:textId="77777777" w:rsidR="004D1B15" w:rsidRDefault="004D1B15" w:rsidP="00226EC5">
      <w:pPr>
        <w:spacing w:line="240" w:lineRule="auto"/>
        <w:jc w:val="both"/>
        <w:rPr>
          <w:rFonts w:cs="Arial"/>
          <w:b/>
          <w:szCs w:val="20"/>
        </w:rPr>
      </w:pPr>
    </w:p>
    <w:p w14:paraId="26E9C7F2" w14:textId="6A64F6E8" w:rsidR="00226EC5" w:rsidRPr="0077040C" w:rsidRDefault="00226EC5" w:rsidP="00226EC5">
      <w:pPr>
        <w:spacing w:line="240" w:lineRule="auto"/>
        <w:jc w:val="both"/>
        <w:rPr>
          <w:rFonts w:cs="Arial"/>
          <w:b/>
          <w:szCs w:val="20"/>
        </w:rPr>
      </w:pPr>
      <w:r w:rsidRPr="0077040C">
        <w:rPr>
          <w:rFonts w:cs="Arial"/>
          <w:b/>
          <w:szCs w:val="20"/>
        </w:rPr>
        <w:t>Vlada odgovorila na  pobudo za začetek postopka za oceno ustavnosti več aktov, ki se nanašajo na Odlok o začasnih ukrepih za preprečevanje in obvladovanje okužb z nalezljivo boleznijo COVID-19</w:t>
      </w:r>
    </w:p>
    <w:p w14:paraId="71A84B9A" w14:textId="77777777" w:rsidR="00226EC5" w:rsidRPr="0077040C" w:rsidRDefault="00226EC5" w:rsidP="00226EC5">
      <w:pPr>
        <w:spacing w:line="240" w:lineRule="auto"/>
        <w:jc w:val="both"/>
        <w:rPr>
          <w:rFonts w:cs="Arial"/>
          <w:b/>
          <w:szCs w:val="20"/>
        </w:rPr>
      </w:pPr>
    </w:p>
    <w:p w14:paraId="60695817" w14:textId="77777777" w:rsidR="00226EC5" w:rsidRDefault="00226EC5" w:rsidP="00226EC5">
      <w:pPr>
        <w:spacing w:line="240" w:lineRule="auto"/>
        <w:jc w:val="both"/>
        <w:rPr>
          <w:rFonts w:cs="Arial"/>
          <w:bCs/>
          <w:szCs w:val="20"/>
        </w:rPr>
      </w:pPr>
      <w:r w:rsidRPr="000A1EE6">
        <w:rPr>
          <w:rFonts w:cs="Arial"/>
          <w:bCs/>
          <w:szCs w:val="20"/>
        </w:rPr>
        <w:t>Vlada RS je odgovorila na Vlada Republike Slovenije je od Ustavnega sodišča Republike Slovenije (sodišče) v mnenje prejela pobude za oceno ustavnosti in zakonitosti več aktov, ki se nanašajo na Odlok o začasnih ukrepih za preprečevanje in obvladovanje okužb z nalezljivo boleznijo COVID-19.</w:t>
      </w:r>
    </w:p>
    <w:p w14:paraId="44656204" w14:textId="77777777" w:rsidR="00226EC5" w:rsidRPr="000A1EE6" w:rsidRDefault="00226EC5" w:rsidP="00226EC5">
      <w:pPr>
        <w:spacing w:line="240" w:lineRule="auto"/>
        <w:jc w:val="both"/>
        <w:rPr>
          <w:rFonts w:cs="Arial"/>
          <w:bCs/>
          <w:szCs w:val="20"/>
        </w:rPr>
      </w:pPr>
    </w:p>
    <w:p w14:paraId="006E105E" w14:textId="77777777" w:rsidR="00226EC5" w:rsidRDefault="00226EC5" w:rsidP="00226EC5">
      <w:pPr>
        <w:spacing w:line="240" w:lineRule="auto"/>
        <w:jc w:val="both"/>
        <w:rPr>
          <w:rFonts w:cs="Arial"/>
          <w:szCs w:val="20"/>
        </w:rPr>
      </w:pPr>
      <w:r w:rsidRPr="0077040C">
        <w:rPr>
          <w:rFonts w:cs="Arial"/>
          <w:szCs w:val="20"/>
        </w:rPr>
        <w:t xml:space="preserve">Vlada v odgovoru zavrača navedbe o kršitvah Ustave Republike Slovenije. Vlada poudarja, da je pri določitvi ukrepov v odloku ravnala v skladu z načelom sorazmernosti iz 2. člena ustave, ob spoštovanju določb ustave, na podlagi ZNB ter ob zasledovanju največje koristi učencev in dijakov. Vlada ima </w:t>
      </w:r>
      <w:proofErr w:type="spellStart"/>
      <w:r w:rsidRPr="0077040C">
        <w:rPr>
          <w:rFonts w:cs="Arial"/>
          <w:szCs w:val="20"/>
        </w:rPr>
        <w:t>pozitivnopravno</w:t>
      </w:r>
      <w:proofErr w:type="spellEnd"/>
      <w:r w:rsidRPr="0077040C">
        <w:rPr>
          <w:rFonts w:cs="Arial"/>
          <w:szCs w:val="20"/>
        </w:rPr>
        <w:t xml:space="preserve"> obveznost in mora v skladu s svojimi pristojnostmi zagotoviti okolje, v katerem se zajezi širjenje okužb z nalezljivo boleznijo in ohrani delovanje zdravstvenega sistema. V odloku so bile določene le omejitve, nujno potrebne za dosego ustavnopravno dopustnega cilja, v tej zadevi pa je to varovanje zdravja družbe in posameznikov ter uresničevanje pravice do izobrazbe in šolanja. Vlada deluje s ciljem varovanja ustavnih pravic iz 51. in 57. člena ustave. Zaradi preprečevanja nenadzorovanega širjenja nalezljive bolezni COVID-19, ohranjanja delovanja zdravstvenega sistema in ohranjanja delovanja šol s fizično prisotnostjo učencev in dijakov pri pouku so bili v skladu z dognanji in stališči stroke sprejeti najmilejši omejitveni ukrepi, saj bi bilo ob hitrem širjenju COVID-19 in nepoznavanju učinkov bolezni kot skrajna posledica lahko poleg povečanega števila okužb in smrti ogroženo delovanje zdravstvenega sistema, kar pomeni, da bi bila ogrožena tudi oskrba bolnih, med njimi tudi oskrba najmlajših. Vlada glede na vse predhodno navedene argumente ustavnemu sodišču predlaga, naj pobude za začetek postopka za oceno ustavnosti in zakonitosti U-I-802/21, U-I-816/21, U-I-819/21 in U-I-820721 kot neutemeljene zavrne.</w:t>
      </w:r>
    </w:p>
    <w:p w14:paraId="1976A29E" w14:textId="77777777" w:rsidR="00226EC5" w:rsidRPr="0077040C" w:rsidRDefault="00226EC5" w:rsidP="00226EC5">
      <w:pPr>
        <w:spacing w:line="240" w:lineRule="auto"/>
        <w:jc w:val="both"/>
        <w:rPr>
          <w:rFonts w:cs="Arial"/>
          <w:szCs w:val="20"/>
        </w:rPr>
      </w:pPr>
    </w:p>
    <w:p w14:paraId="52BFF9E1" w14:textId="2D9A760F" w:rsidR="00226EC5" w:rsidRDefault="00226EC5" w:rsidP="00226EC5">
      <w:pPr>
        <w:spacing w:line="240" w:lineRule="auto"/>
        <w:jc w:val="both"/>
        <w:rPr>
          <w:rFonts w:cs="Arial"/>
          <w:szCs w:val="20"/>
        </w:rPr>
      </w:pPr>
      <w:r w:rsidRPr="0077040C">
        <w:rPr>
          <w:rFonts w:cs="Arial"/>
          <w:szCs w:val="20"/>
        </w:rPr>
        <w:t xml:space="preserve">Pobudniki predlagajo tudi, da se do končne odločitve ustavnega sodišča zadrži izvrševanje 8. člena Odloka o začasnih ukrepih za preprečevanje in obvladovanje okužb z nalezljivo boleznijo COVID-19. Vlada glede predlogov za začasno zadržanje izvrševanja odloka zavrača navedbe, da bi naslovnikom odloka z njegovim izvajanjem nastale težko popravljive škodljive posledice. V 8. členu navedenega odloka so določeni popolnoma </w:t>
      </w:r>
      <w:proofErr w:type="spellStart"/>
      <w:r w:rsidRPr="0077040C">
        <w:rPr>
          <w:rFonts w:cs="Arial"/>
          <w:szCs w:val="20"/>
        </w:rPr>
        <w:t>neinvazivni</w:t>
      </w:r>
      <w:proofErr w:type="spellEnd"/>
      <w:r w:rsidRPr="0077040C">
        <w:rPr>
          <w:rFonts w:cs="Arial"/>
          <w:szCs w:val="20"/>
        </w:rPr>
        <w:t xml:space="preserve"> ukrepi, ki minimalno posegajo v posameznika, po drugi strani pa zagotavljajo javno zdravje in možnost izvajanja pouka v šolah, otrokom, ki po odločitvi staršev oziroma njihovi lastni odločitvi ne obiskujejo pouka v šoli, pa zagotavlja izobraževanje na daljavo, s katerim se dosegajo realizacija ur in cilji, določeni z vzgojno-izobraževalnimi ali študijskimi programi. Po drugi strani pa bi z zadržanjem izvrševanja odloka nastale težko popravljive škodljive posledice, saj bi se lahko v okolju, kjer so stiki tesni, pogosti, številčni in dolgotrajni, okužbe z virusom nenadzorovano širile in vodile v ponovno popolno prepoved zbiranja v vzgojno- izobraževalnih zavodih in temu posledično v izobraževanje na daljavo za vse. Dodatnim možnostim okužbe bi bilo podvrženo tudi šolsko osebje, kar bi lahko vodilo do nemožnosti izvajanja izobraževanja v šoli in tudi na daljavo. Na podlagi navedenega vlada predlaga, da se predlog za začasno zadržanje izvrševanja 8. člena odloka zavrne.</w:t>
      </w:r>
    </w:p>
    <w:p w14:paraId="29E21052" w14:textId="77777777" w:rsidR="00226EC5" w:rsidRDefault="00226EC5" w:rsidP="00226EC5">
      <w:pPr>
        <w:autoSpaceDE w:val="0"/>
        <w:autoSpaceDN w:val="0"/>
        <w:adjustRightInd w:val="0"/>
        <w:spacing w:line="240" w:lineRule="auto"/>
        <w:jc w:val="both"/>
        <w:rPr>
          <w:rFonts w:cs="Arial"/>
          <w:szCs w:val="20"/>
          <w:lang w:eastAsia="sl-SI"/>
        </w:rPr>
      </w:pPr>
      <w:r>
        <w:rPr>
          <w:rFonts w:cs="Arial"/>
          <w:szCs w:val="20"/>
          <w:lang w:eastAsia="sl-SI"/>
        </w:rPr>
        <w:lastRenderedPageBreak/>
        <w:t>Vir: Ministrstvo za zdravje</w:t>
      </w:r>
    </w:p>
    <w:p w14:paraId="6098DCA0" w14:textId="77777777" w:rsidR="00226EC5" w:rsidRPr="0077040C" w:rsidRDefault="00226EC5" w:rsidP="00226EC5">
      <w:pPr>
        <w:spacing w:line="240" w:lineRule="auto"/>
        <w:jc w:val="both"/>
        <w:rPr>
          <w:rFonts w:cs="Arial"/>
          <w:szCs w:val="20"/>
        </w:rPr>
      </w:pPr>
    </w:p>
    <w:p w14:paraId="6354C0DD" w14:textId="77777777" w:rsidR="00226EC5" w:rsidRPr="0077040C" w:rsidRDefault="00226EC5" w:rsidP="00226EC5">
      <w:pPr>
        <w:spacing w:line="240" w:lineRule="auto"/>
        <w:jc w:val="both"/>
        <w:rPr>
          <w:rFonts w:cs="Arial"/>
          <w:szCs w:val="20"/>
        </w:rPr>
      </w:pPr>
      <w:r w:rsidRPr="0077040C">
        <w:rPr>
          <w:rFonts w:cs="Arial"/>
          <w:szCs w:val="20"/>
        </w:rPr>
        <w:t xml:space="preserve"> </w:t>
      </w:r>
    </w:p>
    <w:p w14:paraId="4577B6DA" w14:textId="77777777" w:rsidR="00226EC5" w:rsidRPr="0077040C" w:rsidRDefault="00226EC5" w:rsidP="00226EC5">
      <w:pPr>
        <w:tabs>
          <w:tab w:val="left" w:pos="1701"/>
        </w:tabs>
        <w:autoSpaceDE w:val="0"/>
        <w:autoSpaceDN w:val="0"/>
        <w:adjustRightInd w:val="0"/>
        <w:spacing w:line="240" w:lineRule="auto"/>
        <w:jc w:val="both"/>
        <w:rPr>
          <w:rFonts w:cs="Arial"/>
          <w:b/>
          <w:bCs/>
          <w:szCs w:val="20"/>
          <w:lang w:eastAsia="sl-SI"/>
        </w:rPr>
      </w:pPr>
      <w:r w:rsidRPr="0077040C">
        <w:rPr>
          <w:rFonts w:cs="Arial"/>
          <w:b/>
          <w:bCs/>
          <w:szCs w:val="20"/>
          <w:lang w:eastAsia="sl-SI"/>
        </w:rPr>
        <w:t xml:space="preserve">Dr. Mitja </w:t>
      </w:r>
      <w:proofErr w:type="spellStart"/>
      <w:r w:rsidRPr="0077040C">
        <w:rPr>
          <w:rFonts w:cs="Arial"/>
          <w:b/>
          <w:bCs/>
          <w:szCs w:val="20"/>
          <w:lang w:eastAsia="sl-SI"/>
        </w:rPr>
        <w:t>Lainščak</w:t>
      </w:r>
      <w:proofErr w:type="spellEnd"/>
      <w:r w:rsidRPr="0077040C">
        <w:rPr>
          <w:rFonts w:cs="Arial"/>
          <w:b/>
          <w:bCs/>
          <w:szCs w:val="20"/>
          <w:lang w:eastAsia="sl-SI"/>
        </w:rPr>
        <w:t xml:space="preserve"> imenovan za </w:t>
      </w:r>
      <w:proofErr w:type="spellStart"/>
      <w:r w:rsidRPr="0077040C">
        <w:rPr>
          <w:rFonts w:cs="Arial"/>
          <w:b/>
          <w:bCs/>
          <w:szCs w:val="20"/>
          <w:lang w:eastAsia="sl-SI"/>
        </w:rPr>
        <w:t>v.d</w:t>
      </w:r>
      <w:proofErr w:type="spellEnd"/>
      <w:r w:rsidRPr="0077040C">
        <w:rPr>
          <w:rFonts w:cs="Arial"/>
          <w:b/>
          <w:bCs/>
          <w:szCs w:val="20"/>
          <w:lang w:eastAsia="sl-SI"/>
        </w:rPr>
        <w:t>. direktorja Javne agencije za raziskovalno dejavnost Republike Slovenije</w:t>
      </w:r>
    </w:p>
    <w:p w14:paraId="1CAE977F" w14:textId="77777777" w:rsidR="00226EC5" w:rsidRPr="0077040C" w:rsidRDefault="00226EC5" w:rsidP="00226EC5">
      <w:pPr>
        <w:spacing w:line="240" w:lineRule="auto"/>
        <w:jc w:val="both"/>
        <w:rPr>
          <w:rFonts w:cs="Arial"/>
          <w:szCs w:val="20"/>
          <w:lang w:eastAsia="sl-SI"/>
        </w:rPr>
      </w:pPr>
      <w:r w:rsidRPr="0077040C">
        <w:rPr>
          <w:rFonts w:cs="Arial"/>
          <w:szCs w:val="20"/>
          <w:lang w:eastAsia="sl-SI"/>
        </w:rPr>
        <w:t xml:space="preserve">  </w:t>
      </w:r>
    </w:p>
    <w:p w14:paraId="70F6B5DB" w14:textId="77777777" w:rsidR="00226EC5" w:rsidRPr="0077040C" w:rsidRDefault="00226EC5" w:rsidP="00226EC5">
      <w:pPr>
        <w:spacing w:line="240" w:lineRule="auto"/>
        <w:jc w:val="both"/>
        <w:rPr>
          <w:rFonts w:cs="Arial"/>
          <w:szCs w:val="20"/>
          <w:lang w:eastAsia="sl-SI"/>
        </w:rPr>
      </w:pPr>
      <w:r w:rsidRPr="0077040C">
        <w:rPr>
          <w:rFonts w:cs="Arial"/>
          <w:szCs w:val="20"/>
        </w:rPr>
        <w:t xml:space="preserve">Vlada je izdala odločbo o imenovanju prof. dr. Mitje </w:t>
      </w:r>
      <w:proofErr w:type="spellStart"/>
      <w:r w:rsidRPr="0077040C">
        <w:rPr>
          <w:rFonts w:cs="Arial"/>
          <w:szCs w:val="20"/>
        </w:rPr>
        <w:t>Lainščaka</w:t>
      </w:r>
      <w:proofErr w:type="spellEnd"/>
      <w:r w:rsidRPr="0077040C">
        <w:rPr>
          <w:rFonts w:cs="Arial"/>
          <w:szCs w:val="20"/>
        </w:rPr>
        <w:t xml:space="preserve"> za vršilca dolžnosti direktorja Javne agencije za raziskovalno dejavnost Republike Slovenije z dnem 31. 1. 2022, in sicer do imenovanja direktorja Javne agencije za raziskovalno dejavnost Republike Slovenije, vendar največ za šest mesecev, to je do 30. 7. 2022.</w:t>
      </w:r>
    </w:p>
    <w:p w14:paraId="43AB80C7" w14:textId="77777777" w:rsidR="00226EC5" w:rsidRPr="0077040C" w:rsidRDefault="00226EC5" w:rsidP="00226EC5">
      <w:pPr>
        <w:spacing w:line="240" w:lineRule="auto"/>
        <w:jc w:val="both"/>
        <w:rPr>
          <w:rFonts w:cs="Arial"/>
          <w:szCs w:val="20"/>
        </w:rPr>
      </w:pPr>
    </w:p>
    <w:p w14:paraId="257833A0" w14:textId="77777777" w:rsidR="00226EC5" w:rsidRPr="0077040C" w:rsidRDefault="00226EC5" w:rsidP="00226EC5">
      <w:pPr>
        <w:tabs>
          <w:tab w:val="left" w:pos="708"/>
        </w:tabs>
        <w:spacing w:line="240" w:lineRule="auto"/>
        <w:jc w:val="both"/>
        <w:rPr>
          <w:rFonts w:cs="Arial"/>
          <w:szCs w:val="20"/>
        </w:rPr>
      </w:pPr>
      <w:r>
        <w:rPr>
          <w:rFonts w:cs="Arial"/>
          <w:szCs w:val="20"/>
        </w:rPr>
        <w:t>Vir: Ministrstvo za izobraževanje, znanost in šport</w:t>
      </w:r>
    </w:p>
    <w:p w14:paraId="0F615918" w14:textId="77777777" w:rsidR="00226EC5" w:rsidRPr="0077040C" w:rsidRDefault="00226EC5" w:rsidP="00226EC5">
      <w:pPr>
        <w:spacing w:line="240" w:lineRule="auto"/>
        <w:jc w:val="both"/>
        <w:rPr>
          <w:rFonts w:cs="Arial"/>
          <w:szCs w:val="20"/>
        </w:rPr>
      </w:pPr>
    </w:p>
    <w:p w14:paraId="24A3AAA3" w14:textId="77777777" w:rsidR="00226EC5" w:rsidRPr="0077040C" w:rsidRDefault="00226EC5" w:rsidP="00226EC5">
      <w:pPr>
        <w:spacing w:line="240" w:lineRule="auto"/>
        <w:jc w:val="both"/>
        <w:rPr>
          <w:rFonts w:cs="Arial"/>
          <w:szCs w:val="20"/>
        </w:rPr>
      </w:pPr>
    </w:p>
    <w:p w14:paraId="35D5FC8B" w14:textId="77777777" w:rsidR="00226EC5" w:rsidRPr="0077040C" w:rsidRDefault="00226EC5" w:rsidP="00226EC5">
      <w:pPr>
        <w:spacing w:line="240" w:lineRule="auto"/>
        <w:jc w:val="both"/>
        <w:rPr>
          <w:rFonts w:cs="Arial"/>
          <w:szCs w:val="20"/>
        </w:rPr>
      </w:pPr>
    </w:p>
    <w:p w14:paraId="6D46255A" w14:textId="77777777" w:rsidR="00226EC5" w:rsidRPr="0077040C" w:rsidRDefault="00226EC5" w:rsidP="00226EC5">
      <w:pPr>
        <w:spacing w:line="240" w:lineRule="auto"/>
        <w:jc w:val="both"/>
        <w:rPr>
          <w:rFonts w:cs="Arial"/>
          <w:szCs w:val="20"/>
        </w:rPr>
      </w:pPr>
    </w:p>
    <w:p w14:paraId="7DA0799E" w14:textId="77777777" w:rsidR="00C2481B" w:rsidRPr="00A6654D" w:rsidRDefault="00C2481B" w:rsidP="00226EC5">
      <w:pPr>
        <w:spacing w:line="240" w:lineRule="auto"/>
        <w:jc w:val="both"/>
        <w:rPr>
          <w:rFonts w:cs="Arial"/>
          <w:color w:val="000000"/>
          <w:szCs w:val="20"/>
        </w:rPr>
      </w:pPr>
    </w:p>
    <w:sectPr w:rsidR="00C2481B" w:rsidRPr="00A6654D" w:rsidSect="00F02D7D">
      <w:headerReference w:type="default" r:id="rId8"/>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5442E" w14:textId="77777777" w:rsidR="00602A71" w:rsidRDefault="00602A71">
      <w:r>
        <w:separator/>
      </w:r>
    </w:p>
  </w:endnote>
  <w:endnote w:type="continuationSeparator" w:id="0">
    <w:p w14:paraId="5A8F3CA7" w14:textId="77777777" w:rsidR="00602A71" w:rsidRDefault="0060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Frutiger">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9C3A" w14:textId="77777777"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E304B71" w14:textId="77777777" w:rsidR="00B250A3" w:rsidRDefault="00B250A3" w:rsidP="00B2151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04DB" w14:textId="1FA750F1"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31</w:t>
    </w:r>
    <w:r>
      <w:rPr>
        <w:rStyle w:val="tevilkastrani"/>
      </w:rPr>
      <w:fldChar w:fldCharType="end"/>
    </w:r>
  </w:p>
  <w:p w14:paraId="6DBD2DB5" w14:textId="77777777" w:rsidR="00B250A3" w:rsidRDefault="00B250A3" w:rsidP="00B21516">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F7C4" w14:textId="77777777" w:rsidR="00602A71" w:rsidRDefault="00602A71">
      <w:r>
        <w:separator/>
      </w:r>
    </w:p>
  </w:footnote>
  <w:footnote w:type="continuationSeparator" w:id="0">
    <w:p w14:paraId="7FBDC5C1" w14:textId="77777777" w:rsidR="00602A71" w:rsidRDefault="00602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48AD" w14:textId="77777777" w:rsidR="00B250A3" w:rsidRPr="00110CBD" w:rsidRDefault="00B250A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250A3" w:rsidRPr="008F3500" w14:paraId="5A6B3F31" w14:textId="77777777">
      <w:trPr>
        <w:cantSplit/>
        <w:trHeight w:hRule="exact" w:val="847"/>
      </w:trPr>
      <w:tc>
        <w:tcPr>
          <w:tcW w:w="567" w:type="dxa"/>
        </w:tcPr>
        <w:p w14:paraId="51238327" w14:textId="77777777" w:rsidR="00B250A3" w:rsidRPr="008F3500" w:rsidRDefault="00B250A3" w:rsidP="00D248DE">
          <w:pPr>
            <w:autoSpaceDE w:val="0"/>
            <w:autoSpaceDN w:val="0"/>
            <w:adjustRightInd w:val="0"/>
            <w:spacing w:line="240" w:lineRule="auto"/>
            <w:rPr>
              <w:rFonts w:ascii="Republika" w:hAnsi="Republika"/>
              <w:color w:val="529DBA"/>
              <w:sz w:val="60"/>
              <w:szCs w:val="60"/>
            </w:rPr>
          </w:pPr>
        </w:p>
      </w:tc>
    </w:tr>
  </w:tbl>
  <w:p w14:paraId="5F641457" w14:textId="3BEC4C44" w:rsidR="00B250A3" w:rsidRDefault="00B250A3" w:rsidP="00A075C0">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7153C71C" wp14:editId="7B350420">
          <wp:simplePos x="0" y="0"/>
          <wp:positionH relativeFrom="page">
            <wp:posOffset>0</wp:posOffset>
          </wp:positionH>
          <wp:positionV relativeFrom="page">
            <wp:posOffset>0</wp:posOffset>
          </wp:positionV>
          <wp:extent cx="4321810" cy="972185"/>
          <wp:effectExtent l="0" t="0" r="0" b="0"/>
          <wp:wrapSquare wrapText="bothSides"/>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ab/>
    </w:r>
  </w:p>
  <w:p w14:paraId="1D6D29C5" w14:textId="77777777" w:rsidR="00B250A3" w:rsidRPr="008F3500" w:rsidRDefault="00B250A3" w:rsidP="000202C0">
    <w:pPr>
      <w:pStyle w:val="Glava"/>
      <w:tabs>
        <w:tab w:val="clear" w:pos="4320"/>
        <w:tab w:val="clear" w:pos="8640"/>
        <w:tab w:val="left" w:pos="170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D8F"/>
    <w:multiLevelType w:val="hybridMultilevel"/>
    <w:tmpl w:val="8572D4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B659B4"/>
    <w:multiLevelType w:val="hybridMultilevel"/>
    <w:tmpl w:val="0D028C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9A7F12"/>
    <w:multiLevelType w:val="hybridMultilevel"/>
    <w:tmpl w:val="8D3A85E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B26466"/>
    <w:multiLevelType w:val="hybridMultilevel"/>
    <w:tmpl w:val="6040111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4366E9"/>
    <w:multiLevelType w:val="hybridMultilevel"/>
    <w:tmpl w:val="A588EF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923671"/>
    <w:multiLevelType w:val="multilevel"/>
    <w:tmpl w:val="B3D0DD0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CA413BF"/>
    <w:multiLevelType w:val="hybridMultilevel"/>
    <w:tmpl w:val="9EE429A6"/>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134328"/>
    <w:multiLevelType w:val="hybridMultilevel"/>
    <w:tmpl w:val="7A581A7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901683"/>
    <w:multiLevelType w:val="hybridMultilevel"/>
    <w:tmpl w:val="0BA2A6AC"/>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D074A0"/>
    <w:multiLevelType w:val="hybridMultilevel"/>
    <w:tmpl w:val="DFA8CFE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1C0C2FA8"/>
    <w:multiLevelType w:val="hybridMultilevel"/>
    <w:tmpl w:val="3468DC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C57C06"/>
    <w:multiLevelType w:val="hybridMultilevel"/>
    <w:tmpl w:val="FAB82606"/>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A75B36"/>
    <w:multiLevelType w:val="hybridMultilevel"/>
    <w:tmpl w:val="B4B288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411E658C"/>
    <w:multiLevelType w:val="hybridMultilevel"/>
    <w:tmpl w:val="C74A154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84F3D57"/>
    <w:multiLevelType w:val="hybridMultilevel"/>
    <w:tmpl w:val="B4362D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C5221AF"/>
    <w:multiLevelType w:val="hybridMultilevel"/>
    <w:tmpl w:val="C35649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083768C"/>
    <w:multiLevelType w:val="hybridMultilevel"/>
    <w:tmpl w:val="391409EC"/>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2A97717"/>
    <w:multiLevelType w:val="hybridMultilevel"/>
    <w:tmpl w:val="26085BC4"/>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DB0903"/>
    <w:multiLevelType w:val="hybridMultilevel"/>
    <w:tmpl w:val="3984DB74"/>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AB4645B"/>
    <w:multiLevelType w:val="hybridMultilevel"/>
    <w:tmpl w:val="3E24393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41C49A4"/>
    <w:multiLevelType w:val="hybridMultilevel"/>
    <w:tmpl w:val="E8A83642"/>
    <w:lvl w:ilvl="0" w:tplc="D8DE772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62F11"/>
    <w:multiLevelType w:val="hybridMultilevel"/>
    <w:tmpl w:val="A6523328"/>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4AA7485"/>
    <w:multiLevelType w:val="hybridMultilevel"/>
    <w:tmpl w:val="7C623B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76107F0"/>
    <w:multiLevelType w:val="hybridMultilevel"/>
    <w:tmpl w:val="5A2836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BB11883"/>
    <w:multiLevelType w:val="hybridMultilevel"/>
    <w:tmpl w:val="ACB87E28"/>
    <w:lvl w:ilvl="0" w:tplc="E382B9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C035671"/>
    <w:multiLevelType w:val="hybridMultilevel"/>
    <w:tmpl w:val="42A06BEA"/>
    <w:lvl w:ilvl="0" w:tplc="7632B5D6">
      <w:start w:val="2"/>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9" w15:restartNumberingAfterBreak="0">
    <w:nsid w:val="7C895B1A"/>
    <w:multiLevelType w:val="hybridMultilevel"/>
    <w:tmpl w:val="9DE4C0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F3D0EA0"/>
    <w:multiLevelType w:val="hybridMultilevel"/>
    <w:tmpl w:val="90188820"/>
    <w:lvl w:ilvl="0" w:tplc="E382B91A">
      <w:numFmt w:val="bullet"/>
      <w:lvlText w:val="–"/>
      <w:lvlJc w:val="left"/>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6"/>
  </w:num>
  <w:num w:numId="6">
    <w:abstractNumId w:val="22"/>
  </w:num>
  <w:num w:numId="7">
    <w:abstractNumId w:val="8"/>
  </w:num>
  <w:num w:numId="8">
    <w:abstractNumId w:val="20"/>
  </w:num>
  <w:num w:numId="9">
    <w:abstractNumId w:val="2"/>
  </w:num>
  <w:num w:numId="10">
    <w:abstractNumId w:val="3"/>
  </w:num>
  <w:num w:numId="11">
    <w:abstractNumId w:val="21"/>
  </w:num>
  <w:num w:numId="12">
    <w:abstractNumId w:val="10"/>
  </w:num>
  <w:num w:numId="13">
    <w:abstractNumId w:val="19"/>
  </w:num>
  <w:num w:numId="14">
    <w:abstractNumId w:val="16"/>
  </w:num>
  <w:num w:numId="15">
    <w:abstractNumId w:val="11"/>
  </w:num>
  <w:num w:numId="16">
    <w:abstractNumId w:val="29"/>
  </w:num>
  <w:num w:numId="17">
    <w:abstractNumId w:val="1"/>
  </w:num>
  <w:num w:numId="18">
    <w:abstractNumId w:val="9"/>
  </w:num>
  <w:num w:numId="19">
    <w:abstractNumId w:val="4"/>
  </w:num>
  <w:num w:numId="20">
    <w:abstractNumId w:val="25"/>
  </w:num>
  <w:num w:numId="21">
    <w:abstractNumId w:val="12"/>
  </w:num>
  <w:num w:numId="22">
    <w:abstractNumId w:val="14"/>
  </w:num>
  <w:num w:numId="23">
    <w:abstractNumId w:val="0"/>
  </w:num>
  <w:num w:numId="24">
    <w:abstractNumId w:val="26"/>
  </w:num>
  <w:num w:numId="25">
    <w:abstractNumId w:val="7"/>
  </w:num>
  <w:num w:numId="26">
    <w:abstractNumId w:val="27"/>
  </w:num>
  <w:num w:numId="27">
    <w:abstractNumId w:val="17"/>
  </w:num>
  <w:num w:numId="28">
    <w:abstractNumId w:val="28"/>
  </w:num>
  <w:num w:numId="29">
    <w:abstractNumId w:val="30"/>
  </w:num>
  <w:num w:numId="30">
    <w:abstractNumId w:val="23"/>
  </w:num>
  <w:num w:numId="31">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012"/>
    <w:rsid w:val="00000C43"/>
    <w:rsid w:val="00000F6B"/>
    <w:rsid w:val="0000138F"/>
    <w:rsid w:val="000015AD"/>
    <w:rsid w:val="00001AED"/>
    <w:rsid w:val="00001BF4"/>
    <w:rsid w:val="00002433"/>
    <w:rsid w:val="000027DE"/>
    <w:rsid w:val="00002847"/>
    <w:rsid w:val="00003138"/>
    <w:rsid w:val="0000328F"/>
    <w:rsid w:val="00004B21"/>
    <w:rsid w:val="00004D49"/>
    <w:rsid w:val="00005797"/>
    <w:rsid w:val="00005A4F"/>
    <w:rsid w:val="0000638B"/>
    <w:rsid w:val="00006394"/>
    <w:rsid w:val="000069F1"/>
    <w:rsid w:val="00006D16"/>
    <w:rsid w:val="00006E80"/>
    <w:rsid w:val="000070A1"/>
    <w:rsid w:val="00007833"/>
    <w:rsid w:val="00007A60"/>
    <w:rsid w:val="00007AB0"/>
    <w:rsid w:val="00007FB5"/>
    <w:rsid w:val="000102B1"/>
    <w:rsid w:val="0001077F"/>
    <w:rsid w:val="00010811"/>
    <w:rsid w:val="00010DD4"/>
    <w:rsid w:val="00011E15"/>
    <w:rsid w:val="000120CF"/>
    <w:rsid w:val="0001295F"/>
    <w:rsid w:val="00012AC1"/>
    <w:rsid w:val="00012B4B"/>
    <w:rsid w:val="000130A2"/>
    <w:rsid w:val="00013D09"/>
    <w:rsid w:val="0001408D"/>
    <w:rsid w:val="00014608"/>
    <w:rsid w:val="0001483E"/>
    <w:rsid w:val="0001499F"/>
    <w:rsid w:val="00014C39"/>
    <w:rsid w:val="000150D4"/>
    <w:rsid w:val="00015628"/>
    <w:rsid w:val="00015941"/>
    <w:rsid w:val="000160B3"/>
    <w:rsid w:val="000166D6"/>
    <w:rsid w:val="00016899"/>
    <w:rsid w:val="00016E7D"/>
    <w:rsid w:val="00017DBE"/>
    <w:rsid w:val="00017FFB"/>
    <w:rsid w:val="0002019A"/>
    <w:rsid w:val="000202C0"/>
    <w:rsid w:val="000208EE"/>
    <w:rsid w:val="000208F2"/>
    <w:rsid w:val="00020F3B"/>
    <w:rsid w:val="00021818"/>
    <w:rsid w:val="00021FC2"/>
    <w:rsid w:val="00022066"/>
    <w:rsid w:val="000220E4"/>
    <w:rsid w:val="000228EC"/>
    <w:rsid w:val="000229E1"/>
    <w:rsid w:val="00022D10"/>
    <w:rsid w:val="00022E3C"/>
    <w:rsid w:val="000230CE"/>
    <w:rsid w:val="00023A88"/>
    <w:rsid w:val="00023E4F"/>
    <w:rsid w:val="00024395"/>
    <w:rsid w:val="00024A3C"/>
    <w:rsid w:val="00024E5D"/>
    <w:rsid w:val="0002514A"/>
    <w:rsid w:val="000258ED"/>
    <w:rsid w:val="00025FE8"/>
    <w:rsid w:val="000262F4"/>
    <w:rsid w:val="00026605"/>
    <w:rsid w:val="00026B9D"/>
    <w:rsid w:val="00026C97"/>
    <w:rsid w:val="00027030"/>
    <w:rsid w:val="000271AE"/>
    <w:rsid w:val="00027A26"/>
    <w:rsid w:val="00027E49"/>
    <w:rsid w:val="00030158"/>
    <w:rsid w:val="000304A2"/>
    <w:rsid w:val="00030546"/>
    <w:rsid w:val="00030EB6"/>
    <w:rsid w:val="00031166"/>
    <w:rsid w:val="00031230"/>
    <w:rsid w:val="000317F4"/>
    <w:rsid w:val="000328E2"/>
    <w:rsid w:val="00032EC5"/>
    <w:rsid w:val="0003341B"/>
    <w:rsid w:val="0003364B"/>
    <w:rsid w:val="0003390E"/>
    <w:rsid w:val="00033C5C"/>
    <w:rsid w:val="00033ED8"/>
    <w:rsid w:val="00034B36"/>
    <w:rsid w:val="00035B3C"/>
    <w:rsid w:val="00035CFA"/>
    <w:rsid w:val="0003600E"/>
    <w:rsid w:val="00036191"/>
    <w:rsid w:val="00036978"/>
    <w:rsid w:val="00036C17"/>
    <w:rsid w:val="000374F9"/>
    <w:rsid w:val="0003753B"/>
    <w:rsid w:val="00037F2C"/>
    <w:rsid w:val="0004020C"/>
    <w:rsid w:val="000405D2"/>
    <w:rsid w:val="00041AD8"/>
    <w:rsid w:val="00042385"/>
    <w:rsid w:val="00042737"/>
    <w:rsid w:val="0004285C"/>
    <w:rsid w:val="000431A1"/>
    <w:rsid w:val="000437A0"/>
    <w:rsid w:val="00044614"/>
    <w:rsid w:val="000448D3"/>
    <w:rsid w:val="00044D74"/>
    <w:rsid w:val="000456E3"/>
    <w:rsid w:val="00046359"/>
    <w:rsid w:val="00046B5D"/>
    <w:rsid w:val="00046D9B"/>
    <w:rsid w:val="0004753F"/>
    <w:rsid w:val="000479E7"/>
    <w:rsid w:val="00047F7C"/>
    <w:rsid w:val="00050316"/>
    <w:rsid w:val="0005051C"/>
    <w:rsid w:val="00051493"/>
    <w:rsid w:val="00052220"/>
    <w:rsid w:val="0005248C"/>
    <w:rsid w:val="00053134"/>
    <w:rsid w:val="000535F2"/>
    <w:rsid w:val="000538A1"/>
    <w:rsid w:val="00053F1D"/>
    <w:rsid w:val="00054114"/>
    <w:rsid w:val="00054167"/>
    <w:rsid w:val="00054532"/>
    <w:rsid w:val="00054F6B"/>
    <w:rsid w:val="000550E3"/>
    <w:rsid w:val="00055839"/>
    <w:rsid w:val="00055EFE"/>
    <w:rsid w:val="00055F80"/>
    <w:rsid w:val="00056AB7"/>
    <w:rsid w:val="0005760B"/>
    <w:rsid w:val="00057674"/>
    <w:rsid w:val="00060516"/>
    <w:rsid w:val="00060536"/>
    <w:rsid w:val="000606AA"/>
    <w:rsid w:val="00060BDB"/>
    <w:rsid w:val="00060C7D"/>
    <w:rsid w:val="000611B1"/>
    <w:rsid w:val="00061743"/>
    <w:rsid w:val="00061E02"/>
    <w:rsid w:val="000627D1"/>
    <w:rsid w:val="00062B09"/>
    <w:rsid w:val="00063981"/>
    <w:rsid w:val="00063C83"/>
    <w:rsid w:val="00063FB5"/>
    <w:rsid w:val="00064D1F"/>
    <w:rsid w:val="0006501A"/>
    <w:rsid w:val="000652B4"/>
    <w:rsid w:val="000654D3"/>
    <w:rsid w:val="0006568C"/>
    <w:rsid w:val="000656B8"/>
    <w:rsid w:val="00066B71"/>
    <w:rsid w:val="0007003B"/>
    <w:rsid w:val="00071491"/>
    <w:rsid w:val="00071627"/>
    <w:rsid w:val="00071ABF"/>
    <w:rsid w:val="00071F49"/>
    <w:rsid w:val="0007278E"/>
    <w:rsid w:val="00072A0B"/>
    <w:rsid w:val="00072A5A"/>
    <w:rsid w:val="00072B0B"/>
    <w:rsid w:val="00072C79"/>
    <w:rsid w:val="00072CE7"/>
    <w:rsid w:val="00072E60"/>
    <w:rsid w:val="00073434"/>
    <w:rsid w:val="000735E5"/>
    <w:rsid w:val="00073E0D"/>
    <w:rsid w:val="000745D7"/>
    <w:rsid w:val="0007469C"/>
    <w:rsid w:val="000748DE"/>
    <w:rsid w:val="000749F7"/>
    <w:rsid w:val="00074D3E"/>
    <w:rsid w:val="00075111"/>
    <w:rsid w:val="00075423"/>
    <w:rsid w:val="000761A9"/>
    <w:rsid w:val="000770E6"/>
    <w:rsid w:val="00077190"/>
    <w:rsid w:val="0007779B"/>
    <w:rsid w:val="00080124"/>
    <w:rsid w:val="00080840"/>
    <w:rsid w:val="00080AEC"/>
    <w:rsid w:val="00081B64"/>
    <w:rsid w:val="00082602"/>
    <w:rsid w:val="0008262B"/>
    <w:rsid w:val="000826FE"/>
    <w:rsid w:val="0008272F"/>
    <w:rsid w:val="000830E8"/>
    <w:rsid w:val="000835A9"/>
    <w:rsid w:val="00083998"/>
    <w:rsid w:val="00083D20"/>
    <w:rsid w:val="00084F58"/>
    <w:rsid w:val="0008629E"/>
    <w:rsid w:val="000872C7"/>
    <w:rsid w:val="00087506"/>
    <w:rsid w:val="00090127"/>
    <w:rsid w:val="0009022B"/>
    <w:rsid w:val="000903B7"/>
    <w:rsid w:val="0009042D"/>
    <w:rsid w:val="000906C8"/>
    <w:rsid w:val="000907BE"/>
    <w:rsid w:val="00090F0F"/>
    <w:rsid w:val="00092060"/>
    <w:rsid w:val="0009233A"/>
    <w:rsid w:val="0009243C"/>
    <w:rsid w:val="000933C9"/>
    <w:rsid w:val="000944FC"/>
    <w:rsid w:val="000947A0"/>
    <w:rsid w:val="00094859"/>
    <w:rsid w:val="00094E2C"/>
    <w:rsid w:val="000965BF"/>
    <w:rsid w:val="0009661D"/>
    <w:rsid w:val="00096634"/>
    <w:rsid w:val="00097524"/>
    <w:rsid w:val="00097A16"/>
    <w:rsid w:val="00097B9A"/>
    <w:rsid w:val="000A024A"/>
    <w:rsid w:val="000A0AE9"/>
    <w:rsid w:val="000A12A4"/>
    <w:rsid w:val="000A140B"/>
    <w:rsid w:val="000A1413"/>
    <w:rsid w:val="000A192E"/>
    <w:rsid w:val="000A21C4"/>
    <w:rsid w:val="000A254A"/>
    <w:rsid w:val="000A2610"/>
    <w:rsid w:val="000A2C16"/>
    <w:rsid w:val="000A2CD7"/>
    <w:rsid w:val="000A34D9"/>
    <w:rsid w:val="000A38AF"/>
    <w:rsid w:val="000A49FE"/>
    <w:rsid w:val="000A5C60"/>
    <w:rsid w:val="000A5CD4"/>
    <w:rsid w:val="000A6254"/>
    <w:rsid w:val="000A62F1"/>
    <w:rsid w:val="000A65A3"/>
    <w:rsid w:val="000A6766"/>
    <w:rsid w:val="000A6A1C"/>
    <w:rsid w:val="000A6D38"/>
    <w:rsid w:val="000A7238"/>
    <w:rsid w:val="000A737B"/>
    <w:rsid w:val="000A7B43"/>
    <w:rsid w:val="000A7D98"/>
    <w:rsid w:val="000B025A"/>
    <w:rsid w:val="000B0AF2"/>
    <w:rsid w:val="000B0D49"/>
    <w:rsid w:val="000B150A"/>
    <w:rsid w:val="000B1BC1"/>
    <w:rsid w:val="000B2319"/>
    <w:rsid w:val="000B2F02"/>
    <w:rsid w:val="000B32BE"/>
    <w:rsid w:val="000B3F0E"/>
    <w:rsid w:val="000B3F99"/>
    <w:rsid w:val="000B4C93"/>
    <w:rsid w:val="000B51D4"/>
    <w:rsid w:val="000B5815"/>
    <w:rsid w:val="000B5F65"/>
    <w:rsid w:val="000B6207"/>
    <w:rsid w:val="000B6ECD"/>
    <w:rsid w:val="000B710E"/>
    <w:rsid w:val="000B7728"/>
    <w:rsid w:val="000B7836"/>
    <w:rsid w:val="000B7870"/>
    <w:rsid w:val="000C05CB"/>
    <w:rsid w:val="000C0853"/>
    <w:rsid w:val="000C0BEF"/>
    <w:rsid w:val="000C0E99"/>
    <w:rsid w:val="000C17D5"/>
    <w:rsid w:val="000C19E6"/>
    <w:rsid w:val="000C274F"/>
    <w:rsid w:val="000C2A7B"/>
    <w:rsid w:val="000C3469"/>
    <w:rsid w:val="000C35AB"/>
    <w:rsid w:val="000C3939"/>
    <w:rsid w:val="000C3BA1"/>
    <w:rsid w:val="000C41BC"/>
    <w:rsid w:val="000C4442"/>
    <w:rsid w:val="000C5317"/>
    <w:rsid w:val="000C585E"/>
    <w:rsid w:val="000C5DEB"/>
    <w:rsid w:val="000C7018"/>
    <w:rsid w:val="000C721D"/>
    <w:rsid w:val="000C72A8"/>
    <w:rsid w:val="000C7BD1"/>
    <w:rsid w:val="000D039B"/>
    <w:rsid w:val="000D0BA8"/>
    <w:rsid w:val="000D0E9D"/>
    <w:rsid w:val="000D0F26"/>
    <w:rsid w:val="000D1364"/>
    <w:rsid w:val="000D2205"/>
    <w:rsid w:val="000D3911"/>
    <w:rsid w:val="000D3C3F"/>
    <w:rsid w:val="000D412F"/>
    <w:rsid w:val="000D42A5"/>
    <w:rsid w:val="000D4639"/>
    <w:rsid w:val="000D4B1A"/>
    <w:rsid w:val="000D4DBE"/>
    <w:rsid w:val="000D50CF"/>
    <w:rsid w:val="000D54A0"/>
    <w:rsid w:val="000D5AD0"/>
    <w:rsid w:val="000D6280"/>
    <w:rsid w:val="000D62B6"/>
    <w:rsid w:val="000D743B"/>
    <w:rsid w:val="000D7743"/>
    <w:rsid w:val="000D78BC"/>
    <w:rsid w:val="000D7D10"/>
    <w:rsid w:val="000E04B9"/>
    <w:rsid w:val="000E0863"/>
    <w:rsid w:val="000E09A9"/>
    <w:rsid w:val="000E0D9B"/>
    <w:rsid w:val="000E0E24"/>
    <w:rsid w:val="000E10DE"/>
    <w:rsid w:val="000E14C1"/>
    <w:rsid w:val="000E194B"/>
    <w:rsid w:val="000E257C"/>
    <w:rsid w:val="000E398D"/>
    <w:rsid w:val="000E42DF"/>
    <w:rsid w:val="000E43C0"/>
    <w:rsid w:val="000E45EC"/>
    <w:rsid w:val="000E4C7B"/>
    <w:rsid w:val="000E561F"/>
    <w:rsid w:val="000E5C34"/>
    <w:rsid w:val="000E60D8"/>
    <w:rsid w:val="000E6133"/>
    <w:rsid w:val="000E679B"/>
    <w:rsid w:val="000E69F6"/>
    <w:rsid w:val="000E7072"/>
    <w:rsid w:val="000E72C1"/>
    <w:rsid w:val="000E73D0"/>
    <w:rsid w:val="000E7674"/>
    <w:rsid w:val="000E7925"/>
    <w:rsid w:val="000F06BC"/>
    <w:rsid w:val="000F0A9A"/>
    <w:rsid w:val="000F0B93"/>
    <w:rsid w:val="000F0F7A"/>
    <w:rsid w:val="000F1369"/>
    <w:rsid w:val="000F1A78"/>
    <w:rsid w:val="000F1ED9"/>
    <w:rsid w:val="000F1F4F"/>
    <w:rsid w:val="000F24BE"/>
    <w:rsid w:val="000F2A3F"/>
    <w:rsid w:val="000F42E2"/>
    <w:rsid w:val="000F453B"/>
    <w:rsid w:val="000F5375"/>
    <w:rsid w:val="000F6DCD"/>
    <w:rsid w:val="000F75A9"/>
    <w:rsid w:val="00100002"/>
    <w:rsid w:val="00100C11"/>
    <w:rsid w:val="00100C36"/>
    <w:rsid w:val="00100D22"/>
    <w:rsid w:val="00101589"/>
    <w:rsid w:val="00102347"/>
    <w:rsid w:val="001024B5"/>
    <w:rsid w:val="00102E36"/>
    <w:rsid w:val="00103025"/>
    <w:rsid w:val="0010314B"/>
    <w:rsid w:val="00103CD8"/>
    <w:rsid w:val="001042D7"/>
    <w:rsid w:val="001042F2"/>
    <w:rsid w:val="0010472F"/>
    <w:rsid w:val="001055F2"/>
    <w:rsid w:val="00105850"/>
    <w:rsid w:val="00105B3B"/>
    <w:rsid w:val="001068AB"/>
    <w:rsid w:val="00106BD9"/>
    <w:rsid w:val="001072D9"/>
    <w:rsid w:val="0011006A"/>
    <w:rsid w:val="001103F3"/>
    <w:rsid w:val="0011049B"/>
    <w:rsid w:val="0011068F"/>
    <w:rsid w:val="001106DC"/>
    <w:rsid w:val="00110C23"/>
    <w:rsid w:val="0011103F"/>
    <w:rsid w:val="00111169"/>
    <w:rsid w:val="001111E1"/>
    <w:rsid w:val="001119A2"/>
    <w:rsid w:val="001123D0"/>
    <w:rsid w:val="00113077"/>
    <w:rsid w:val="001138CE"/>
    <w:rsid w:val="00113B94"/>
    <w:rsid w:val="0011433B"/>
    <w:rsid w:val="001146F3"/>
    <w:rsid w:val="00114B5A"/>
    <w:rsid w:val="0011527B"/>
    <w:rsid w:val="00115655"/>
    <w:rsid w:val="00115AD8"/>
    <w:rsid w:val="00115BB8"/>
    <w:rsid w:val="00116621"/>
    <w:rsid w:val="0011688A"/>
    <w:rsid w:val="00116ED4"/>
    <w:rsid w:val="00117026"/>
    <w:rsid w:val="00117971"/>
    <w:rsid w:val="00120055"/>
    <w:rsid w:val="00120548"/>
    <w:rsid w:val="001206D6"/>
    <w:rsid w:val="00120779"/>
    <w:rsid w:val="00120791"/>
    <w:rsid w:val="001209CA"/>
    <w:rsid w:val="00120E62"/>
    <w:rsid w:val="0012124F"/>
    <w:rsid w:val="00121AF9"/>
    <w:rsid w:val="00121BC4"/>
    <w:rsid w:val="00123355"/>
    <w:rsid w:val="00123D66"/>
    <w:rsid w:val="00123F27"/>
    <w:rsid w:val="00124A40"/>
    <w:rsid w:val="00125A59"/>
    <w:rsid w:val="00125AE7"/>
    <w:rsid w:val="00125C9E"/>
    <w:rsid w:val="00125D08"/>
    <w:rsid w:val="00126466"/>
    <w:rsid w:val="00126FF3"/>
    <w:rsid w:val="00127402"/>
    <w:rsid w:val="00130539"/>
    <w:rsid w:val="00130F9F"/>
    <w:rsid w:val="001323AE"/>
    <w:rsid w:val="001324A5"/>
    <w:rsid w:val="001324BB"/>
    <w:rsid w:val="00133AB0"/>
    <w:rsid w:val="00133EE3"/>
    <w:rsid w:val="0013455A"/>
    <w:rsid w:val="001347BB"/>
    <w:rsid w:val="00134825"/>
    <w:rsid w:val="00135651"/>
    <w:rsid w:val="001357B2"/>
    <w:rsid w:val="00135D74"/>
    <w:rsid w:val="00135E90"/>
    <w:rsid w:val="00136711"/>
    <w:rsid w:val="0013679C"/>
    <w:rsid w:val="00136885"/>
    <w:rsid w:val="00136A3C"/>
    <w:rsid w:val="00136A9A"/>
    <w:rsid w:val="00136F58"/>
    <w:rsid w:val="001371C8"/>
    <w:rsid w:val="001379C1"/>
    <w:rsid w:val="00140F37"/>
    <w:rsid w:val="00141836"/>
    <w:rsid w:val="00141B5C"/>
    <w:rsid w:val="00142BE0"/>
    <w:rsid w:val="00142CC0"/>
    <w:rsid w:val="00142DDB"/>
    <w:rsid w:val="00142FC8"/>
    <w:rsid w:val="001430CA"/>
    <w:rsid w:val="001436D6"/>
    <w:rsid w:val="00143795"/>
    <w:rsid w:val="001437B7"/>
    <w:rsid w:val="00143EB4"/>
    <w:rsid w:val="00144038"/>
    <w:rsid w:val="001444C9"/>
    <w:rsid w:val="00145619"/>
    <w:rsid w:val="001459B5"/>
    <w:rsid w:val="00145A32"/>
    <w:rsid w:val="001461ED"/>
    <w:rsid w:val="00146FCB"/>
    <w:rsid w:val="00146FD9"/>
    <w:rsid w:val="001511CF"/>
    <w:rsid w:val="00151B2F"/>
    <w:rsid w:val="00152138"/>
    <w:rsid w:val="0015222A"/>
    <w:rsid w:val="00152A48"/>
    <w:rsid w:val="00152CA7"/>
    <w:rsid w:val="00152F3A"/>
    <w:rsid w:val="00153079"/>
    <w:rsid w:val="00153E33"/>
    <w:rsid w:val="00154435"/>
    <w:rsid w:val="00154A6E"/>
    <w:rsid w:val="00154B58"/>
    <w:rsid w:val="00154D90"/>
    <w:rsid w:val="001550B8"/>
    <w:rsid w:val="00155329"/>
    <w:rsid w:val="00155A12"/>
    <w:rsid w:val="00155CB9"/>
    <w:rsid w:val="0015634F"/>
    <w:rsid w:val="00156C47"/>
    <w:rsid w:val="00156E45"/>
    <w:rsid w:val="00156E4E"/>
    <w:rsid w:val="00156F3E"/>
    <w:rsid w:val="00157483"/>
    <w:rsid w:val="001574E2"/>
    <w:rsid w:val="001579CC"/>
    <w:rsid w:val="001600F5"/>
    <w:rsid w:val="001602F0"/>
    <w:rsid w:val="00160EBB"/>
    <w:rsid w:val="00161086"/>
    <w:rsid w:val="0016143C"/>
    <w:rsid w:val="00161C4A"/>
    <w:rsid w:val="00162045"/>
    <w:rsid w:val="001626A8"/>
    <w:rsid w:val="00162DD7"/>
    <w:rsid w:val="00162E75"/>
    <w:rsid w:val="0016335F"/>
    <w:rsid w:val="001633D5"/>
    <w:rsid w:val="0016376B"/>
    <w:rsid w:val="00163F68"/>
    <w:rsid w:val="00163FE4"/>
    <w:rsid w:val="00164699"/>
    <w:rsid w:val="001648AB"/>
    <w:rsid w:val="001652A0"/>
    <w:rsid w:val="00165A80"/>
    <w:rsid w:val="00165E15"/>
    <w:rsid w:val="00165FB7"/>
    <w:rsid w:val="00166A46"/>
    <w:rsid w:val="00166AD0"/>
    <w:rsid w:val="00167455"/>
    <w:rsid w:val="001705B0"/>
    <w:rsid w:val="001720AE"/>
    <w:rsid w:val="00172E26"/>
    <w:rsid w:val="001737D3"/>
    <w:rsid w:val="00173A3B"/>
    <w:rsid w:val="00173BF1"/>
    <w:rsid w:val="00173C2E"/>
    <w:rsid w:val="00173E27"/>
    <w:rsid w:val="0017478F"/>
    <w:rsid w:val="00174C29"/>
    <w:rsid w:val="00175126"/>
    <w:rsid w:val="00175354"/>
    <w:rsid w:val="00175B37"/>
    <w:rsid w:val="001764F8"/>
    <w:rsid w:val="001766EA"/>
    <w:rsid w:val="00177076"/>
    <w:rsid w:val="001772E6"/>
    <w:rsid w:val="00177A59"/>
    <w:rsid w:val="00177E8D"/>
    <w:rsid w:val="001805D0"/>
    <w:rsid w:val="001808DF"/>
    <w:rsid w:val="00180908"/>
    <w:rsid w:val="0018098A"/>
    <w:rsid w:val="001813A9"/>
    <w:rsid w:val="0018148E"/>
    <w:rsid w:val="001820CB"/>
    <w:rsid w:val="0018217A"/>
    <w:rsid w:val="0018255C"/>
    <w:rsid w:val="00182A9E"/>
    <w:rsid w:val="001832B1"/>
    <w:rsid w:val="001834D4"/>
    <w:rsid w:val="00183A0F"/>
    <w:rsid w:val="001844B8"/>
    <w:rsid w:val="001851E4"/>
    <w:rsid w:val="00185740"/>
    <w:rsid w:val="00185A88"/>
    <w:rsid w:val="00186060"/>
    <w:rsid w:val="00186405"/>
    <w:rsid w:val="001867B1"/>
    <w:rsid w:val="00186F3B"/>
    <w:rsid w:val="00187137"/>
    <w:rsid w:val="00187FA2"/>
    <w:rsid w:val="00190BE2"/>
    <w:rsid w:val="00191476"/>
    <w:rsid w:val="00191E12"/>
    <w:rsid w:val="001928E2"/>
    <w:rsid w:val="00192F99"/>
    <w:rsid w:val="00194000"/>
    <w:rsid w:val="00194235"/>
    <w:rsid w:val="0019486F"/>
    <w:rsid w:val="001948CA"/>
    <w:rsid w:val="0019557B"/>
    <w:rsid w:val="00195A56"/>
    <w:rsid w:val="0019606D"/>
    <w:rsid w:val="0019667B"/>
    <w:rsid w:val="001968D8"/>
    <w:rsid w:val="00196CBD"/>
    <w:rsid w:val="00196CD0"/>
    <w:rsid w:val="00197C9E"/>
    <w:rsid w:val="001A0331"/>
    <w:rsid w:val="001A0605"/>
    <w:rsid w:val="001A065E"/>
    <w:rsid w:val="001A09B7"/>
    <w:rsid w:val="001A0A1F"/>
    <w:rsid w:val="001A0D1F"/>
    <w:rsid w:val="001A100A"/>
    <w:rsid w:val="001A1119"/>
    <w:rsid w:val="001A15DA"/>
    <w:rsid w:val="001A1A3D"/>
    <w:rsid w:val="001A1AEC"/>
    <w:rsid w:val="001A1BF0"/>
    <w:rsid w:val="001A3114"/>
    <w:rsid w:val="001A316E"/>
    <w:rsid w:val="001A3B03"/>
    <w:rsid w:val="001A4018"/>
    <w:rsid w:val="001A4A33"/>
    <w:rsid w:val="001A5833"/>
    <w:rsid w:val="001A60D9"/>
    <w:rsid w:val="001A6480"/>
    <w:rsid w:val="001A69BD"/>
    <w:rsid w:val="001A6DDC"/>
    <w:rsid w:val="001A777C"/>
    <w:rsid w:val="001B0C76"/>
    <w:rsid w:val="001B0E99"/>
    <w:rsid w:val="001B1145"/>
    <w:rsid w:val="001B18FF"/>
    <w:rsid w:val="001B1967"/>
    <w:rsid w:val="001B1E47"/>
    <w:rsid w:val="001B24F0"/>
    <w:rsid w:val="001B25B5"/>
    <w:rsid w:val="001B26C9"/>
    <w:rsid w:val="001B272E"/>
    <w:rsid w:val="001B3835"/>
    <w:rsid w:val="001B4302"/>
    <w:rsid w:val="001B4B0A"/>
    <w:rsid w:val="001B544B"/>
    <w:rsid w:val="001B5626"/>
    <w:rsid w:val="001B58FC"/>
    <w:rsid w:val="001B5923"/>
    <w:rsid w:val="001B5C1D"/>
    <w:rsid w:val="001B5E99"/>
    <w:rsid w:val="001B5F38"/>
    <w:rsid w:val="001B6376"/>
    <w:rsid w:val="001B63F0"/>
    <w:rsid w:val="001B641C"/>
    <w:rsid w:val="001B6CB8"/>
    <w:rsid w:val="001B6E45"/>
    <w:rsid w:val="001B77ED"/>
    <w:rsid w:val="001B7DC2"/>
    <w:rsid w:val="001C0034"/>
    <w:rsid w:val="001C01ED"/>
    <w:rsid w:val="001C0292"/>
    <w:rsid w:val="001C0A4D"/>
    <w:rsid w:val="001C0FBA"/>
    <w:rsid w:val="001C1AF6"/>
    <w:rsid w:val="001C301B"/>
    <w:rsid w:val="001C3021"/>
    <w:rsid w:val="001C3CD3"/>
    <w:rsid w:val="001C3F8F"/>
    <w:rsid w:val="001C4815"/>
    <w:rsid w:val="001C49FD"/>
    <w:rsid w:val="001C4F5C"/>
    <w:rsid w:val="001C504A"/>
    <w:rsid w:val="001C56BD"/>
    <w:rsid w:val="001C5987"/>
    <w:rsid w:val="001C6548"/>
    <w:rsid w:val="001C6A3D"/>
    <w:rsid w:val="001C7D8B"/>
    <w:rsid w:val="001C7DB6"/>
    <w:rsid w:val="001D08A3"/>
    <w:rsid w:val="001D08C1"/>
    <w:rsid w:val="001D0BAF"/>
    <w:rsid w:val="001D1095"/>
    <w:rsid w:val="001D1607"/>
    <w:rsid w:val="001D17F4"/>
    <w:rsid w:val="001D1845"/>
    <w:rsid w:val="001D1A6D"/>
    <w:rsid w:val="001D1E89"/>
    <w:rsid w:val="001D203B"/>
    <w:rsid w:val="001D2EC3"/>
    <w:rsid w:val="001D3CC9"/>
    <w:rsid w:val="001D3E73"/>
    <w:rsid w:val="001D3F0B"/>
    <w:rsid w:val="001D4F1F"/>
    <w:rsid w:val="001D516A"/>
    <w:rsid w:val="001D62DF"/>
    <w:rsid w:val="001D6C73"/>
    <w:rsid w:val="001D6F7E"/>
    <w:rsid w:val="001D7099"/>
    <w:rsid w:val="001D75A9"/>
    <w:rsid w:val="001D7E92"/>
    <w:rsid w:val="001D7ED8"/>
    <w:rsid w:val="001E00C2"/>
    <w:rsid w:val="001E091F"/>
    <w:rsid w:val="001E138C"/>
    <w:rsid w:val="001E1AE2"/>
    <w:rsid w:val="001E1B58"/>
    <w:rsid w:val="001E218A"/>
    <w:rsid w:val="001E2204"/>
    <w:rsid w:val="001E2BB2"/>
    <w:rsid w:val="001E2C3D"/>
    <w:rsid w:val="001E2F72"/>
    <w:rsid w:val="001E30FD"/>
    <w:rsid w:val="001E322D"/>
    <w:rsid w:val="001E32CB"/>
    <w:rsid w:val="001E3A0A"/>
    <w:rsid w:val="001E3B50"/>
    <w:rsid w:val="001E3BE8"/>
    <w:rsid w:val="001E42CE"/>
    <w:rsid w:val="001E43E5"/>
    <w:rsid w:val="001E4521"/>
    <w:rsid w:val="001E4E85"/>
    <w:rsid w:val="001E56D9"/>
    <w:rsid w:val="001E57DF"/>
    <w:rsid w:val="001E62A7"/>
    <w:rsid w:val="001E7310"/>
    <w:rsid w:val="001F0123"/>
    <w:rsid w:val="001F0346"/>
    <w:rsid w:val="001F0631"/>
    <w:rsid w:val="001F0849"/>
    <w:rsid w:val="001F0945"/>
    <w:rsid w:val="001F1976"/>
    <w:rsid w:val="001F1CCD"/>
    <w:rsid w:val="001F1FA6"/>
    <w:rsid w:val="001F23AB"/>
    <w:rsid w:val="001F2999"/>
    <w:rsid w:val="001F2ABE"/>
    <w:rsid w:val="001F33A8"/>
    <w:rsid w:val="001F33BF"/>
    <w:rsid w:val="001F34AA"/>
    <w:rsid w:val="001F3CB0"/>
    <w:rsid w:val="001F3FC2"/>
    <w:rsid w:val="001F41F6"/>
    <w:rsid w:val="001F44C4"/>
    <w:rsid w:val="001F4691"/>
    <w:rsid w:val="001F49FC"/>
    <w:rsid w:val="001F4A49"/>
    <w:rsid w:val="001F50BC"/>
    <w:rsid w:val="001F5C9A"/>
    <w:rsid w:val="001F60E7"/>
    <w:rsid w:val="001F692A"/>
    <w:rsid w:val="001F6EE5"/>
    <w:rsid w:val="001F7307"/>
    <w:rsid w:val="001F7376"/>
    <w:rsid w:val="001F7A49"/>
    <w:rsid w:val="002004C2"/>
    <w:rsid w:val="002009D1"/>
    <w:rsid w:val="00200E71"/>
    <w:rsid w:val="00201151"/>
    <w:rsid w:val="002014C2"/>
    <w:rsid w:val="00201627"/>
    <w:rsid w:val="00201E69"/>
    <w:rsid w:val="00202103"/>
    <w:rsid w:val="00202A77"/>
    <w:rsid w:val="00203F27"/>
    <w:rsid w:val="0020407D"/>
    <w:rsid w:val="0020435C"/>
    <w:rsid w:val="00205F91"/>
    <w:rsid w:val="0020631F"/>
    <w:rsid w:val="002063D7"/>
    <w:rsid w:val="002064C8"/>
    <w:rsid w:val="00206B25"/>
    <w:rsid w:val="00207489"/>
    <w:rsid w:val="00207509"/>
    <w:rsid w:val="00207AE9"/>
    <w:rsid w:val="00207B9B"/>
    <w:rsid w:val="002111FC"/>
    <w:rsid w:val="002121A1"/>
    <w:rsid w:val="00212364"/>
    <w:rsid w:val="002124F4"/>
    <w:rsid w:val="00212A08"/>
    <w:rsid w:val="00213036"/>
    <w:rsid w:val="002130DD"/>
    <w:rsid w:val="002134DD"/>
    <w:rsid w:val="002139AB"/>
    <w:rsid w:val="00213CFF"/>
    <w:rsid w:val="0021516F"/>
    <w:rsid w:val="00215261"/>
    <w:rsid w:val="00215B04"/>
    <w:rsid w:val="00217585"/>
    <w:rsid w:val="00217846"/>
    <w:rsid w:val="002200CD"/>
    <w:rsid w:val="00220350"/>
    <w:rsid w:val="00220F57"/>
    <w:rsid w:val="0022129C"/>
    <w:rsid w:val="0022189D"/>
    <w:rsid w:val="00221AFD"/>
    <w:rsid w:val="00222067"/>
    <w:rsid w:val="002220C2"/>
    <w:rsid w:val="00222374"/>
    <w:rsid w:val="002225A4"/>
    <w:rsid w:val="00222956"/>
    <w:rsid w:val="00222CAC"/>
    <w:rsid w:val="00222CCF"/>
    <w:rsid w:val="00222D9B"/>
    <w:rsid w:val="00222F36"/>
    <w:rsid w:val="00223A86"/>
    <w:rsid w:val="002240C9"/>
    <w:rsid w:val="00224E95"/>
    <w:rsid w:val="00225224"/>
    <w:rsid w:val="002252A4"/>
    <w:rsid w:val="002255B1"/>
    <w:rsid w:val="002255E3"/>
    <w:rsid w:val="002257B4"/>
    <w:rsid w:val="00225EAC"/>
    <w:rsid w:val="00226EC5"/>
    <w:rsid w:val="002275F2"/>
    <w:rsid w:val="00227EB8"/>
    <w:rsid w:val="00230C40"/>
    <w:rsid w:val="00231330"/>
    <w:rsid w:val="002315CB"/>
    <w:rsid w:val="002334D1"/>
    <w:rsid w:val="00233512"/>
    <w:rsid w:val="002336C4"/>
    <w:rsid w:val="00233868"/>
    <w:rsid w:val="002339C0"/>
    <w:rsid w:val="00233AB8"/>
    <w:rsid w:val="00233BCE"/>
    <w:rsid w:val="00233D18"/>
    <w:rsid w:val="00233F94"/>
    <w:rsid w:val="0023437B"/>
    <w:rsid w:val="00234A59"/>
    <w:rsid w:val="00234CAB"/>
    <w:rsid w:val="00235A8B"/>
    <w:rsid w:val="00235D0F"/>
    <w:rsid w:val="00236220"/>
    <w:rsid w:val="00236CA0"/>
    <w:rsid w:val="00236D86"/>
    <w:rsid w:val="00237245"/>
    <w:rsid w:val="00237A96"/>
    <w:rsid w:val="00237D2B"/>
    <w:rsid w:val="00240953"/>
    <w:rsid w:val="00240F7B"/>
    <w:rsid w:val="0024101D"/>
    <w:rsid w:val="00241209"/>
    <w:rsid w:val="00242539"/>
    <w:rsid w:val="0024352A"/>
    <w:rsid w:val="0024393F"/>
    <w:rsid w:val="00243D04"/>
    <w:rsid w:val="00243DF7"/>
    <w:rsid w:val="00243F10"/>
    <w:rsid w:val="00243FB1"/>
    <w:rsid w:val="0024404F"/>
    <w:rsid w:val="002445DB"/>
    <w:rsid w:val="00244D2E"/>
    <w:rsid w:val="0024500D"/>
    <w:rsid w:val="00245972"/>
    <w:rsid w:val="00245C13"/>
    <w:rsid w:val="00246179"/>
    <w:rsid w:val="00246282"/>
    <w:rsid w:val="00246828"/>
    <w:rsid w:val="0024683E"/>
    <w:rsid w:val="0024686F"/>
    <w:rsid w:val="0024698F"/>
    <w:rsid w:val="00246BF9"/>
    <w:rsid w:val="002471DB"/>
    <w:rsid w:val="00247530"/>
    <w:rsid w:val="00247655"/>
    <w:rsid w:val="00247DC2"/>
    <w:rsid w:val="00250184"/>
    <w:rsid w:val="002506F4"/>
    <w:rsid w:val="0025104D"/>
    <w:rsid w:val="002511F4"/>
    <w:rsid w:val="00251205"/>
    <w:rsid w:val="002515DF"/>
    <w:rsid w:val="00251A06"/>
    <w:rsid w:val="00251D38"/>
    <w:rsid w:val="00251D62"/>
    <w:rsid w:val="00251FD4"/>
    <w:rsid w:val="00252A1A"/>
    <w:rsid w:val="00253590"/>
    <w:rsid w:val="00253596"/>
    <w:rsid w:val="00253673"/>
    <w:rsid w:val="002538AF"/>
    <w:rsid w:val="00253BD4"/>
    <w:rsid w:val="002541DC"/>
    <w:rsid w:val="002545F3"/>
    <w:rsid w:val="00254DBF"/>
    <w:rsid w:val="00254E7D"/>
    <w:rsid w:val="0025639B"/>
    <w:rsid w:val="002563AE"/>
    <w:rsid w:val="002564F6"/>
    <w:rsid w:val="00256A0F"/>
    <w:rsid w:val="002572AD"/>
    <w:rsid w:val="00257488"/>
    <w:rsid w:val="002576B2"/>
    <w:rsid w:val="00257FA2"/>
    <w:rsid w:val="00260186"/>
    <w:rsid w:val="00260779"/>
    <w:rsid w:val="00260BD5"/>
    <w:rsid w:val="00260DD0"/>
    <w:rsid w:val="00260E89"/>
    <w:rsid w:val="002611E9"/>
    <w:rsid w:val="002618A0"/>
    <w:rsid w:val="002618BD"/>
    <w:rsid w:val="0026289F"/>
    <w:rsid w:val="002628DF"/>
    <w:rsid w:val="002635E0"/>
    <w:rsid w:val="0026384D"/>
    <w:rsid w:val="00263CFD"/>
    <w:rsid w:val="00264428"/>
    <w:rsid w:val="002645CD"/>
    <w:rsid w:val="00264E30"/>
    <w:rsid w:val="00264FC6"/>
    <w:rsid w:val="00265AD5"/>
    <w:rsid w:val="00265CBF"/>
    <w:rsid w:val="002665BF"/>
    <w:rsid w:val="00266C84"/>
    <w:rsid w:val="00266CDB"/>
    <w:rsid w:val="00267398"/>
    <w:rsid w:val="0026744B"/>
    <w:rsid w:val="0026763D"/>
    <w:rsid w:val="00267B77"/>
    <w:rsid w:val="002703B3"/>
    <w:rsid w:val="002704FF"/>
    <w:rsid w:val="0027084B"/>
    <w:rsid w:val="002717BC"/>
    <w:rsid w:val="0027188C"/>
    <w:rsid w:val="00271CE5"/>
    <w:rsid w:val="00271DE3"/>
    <w:rsid w:val="00272088"/>
    <w:rsid w:val="00272540"/>
    <w:rsid w:val="0027278B"/>
    <w:rsid w:val="00272BFA"/>
    <w:rsid w:val="00272D54"/>
    <w:rsid w:val="00273176"/>
    <w:rsid w:val="0027325C"/>
    <w:rsid w:val="002733CB"/>
    <w:rsid w:val="00273A6E"/>
    <w:rsid w:val="00273EB2"/>
    <w:rsid w:val="00273FA9"/>
    <w:rsid w:val="002756EC"/>
    <w:rsid w:val="002759E9"/>
    <w:rsid w:val="00276657"/>
    <w:rsid w:val="00276AD5"/>
    <w:rsid w:val="00276C3A"/>
    <w:rsid w:val="00277224"/>
    <w:rsid w:val="00277504"/>
    <w:rsid w:val="002778F0"/>
    <w:rsid w:val="002800D9"/>
    <w:rsid w:val="00281265"/>
    <w:rsid w:val="00281BFC"/>
    <w:rsid w:val="00282020"/>
    <w:rsid w:val="0028279C"/>
    <w:rsid w:val="0028287F"/>
    <w:rsid w:val="00282C34"/>
    <w:rsid w:val="00282FF5"/>
    <w:rsid w:val="00283342"/>
    <w:rsid w:val="00283723"/>
    <w:rsid w:val="0028374C"/>
    <w:rsid w:val="00283F76"/>
    <w:rsid w:val="002841E6"/>
    <w:rsid w:val="00284EB4"/>
    <w:rsid w:val="0028514C"/>
    <w:rsid w:val="00285B00"/>
    <w:rsid w:val="0028618B"/>
    <w:rsid w:val="00286275"/>
    <w:rsid w:val="00286A18"/>
    <w:rsid w:val="00286D32"/>
    <w:rsid w:val="00287D18"/>
    <w:rsid w:val="00290269"/>
    <w:rsid w:val="00290338"/>
    <w:rsid w:val="00290570"/>
    <w:rsid w:val="00290B51"/>
    <w:rsid w:val="00290E60"/>
    <w:rsid w:val="00290F6F"/>
    <w:rsid w:val="0029110C"/>
    <w:rsid w:val="002912DD"/>
    <w:rsid w:val="002920EF"/>
    <w:rsid w:val="00292A44"/>
    <w:rsid w:val="00293032"/>
    <w:rsid w:val="00293964"/>
    <w:rsid w:val="00293D96"/>
    <w:rsid w:val="00293DAF"/>
    <w:rsid w:val="00293EE3"/>
    <w:rsid w:val="0029431B"/>
    <w:rsid w:val="002951CB"/>
    <w:rsid w:val="002956FF"/>
    <w:rsid w:val="00296076"/>
    <w:rsid w:val="00296D61"/>
    <w:rsid w:val="00296DC2"/>
    <w:rsid w:val="00296EF9"/>
    <w:rsid w:val="002977E6"/>
    <w:rsid w:val="002A168C"/>
    <w:rsid w:val="002A20F4"/>
    <w:rsid w:val="002A284D"/>
    <w:rsid w:val="002A2B0A"/>
    <w:rsid w:val="002A2B69"/>
    <w:rsid w:val="002A2F5B"/>
    <w:rsid w:val="002A3475"/>
    <w:rsid w:val="002A34D0"/>
    <w:rsid w:val="002A37EB"/>
    <w:rsid w:val="002A3CEB"/>
    <w:rsid w:val="002A42D1"/>
    <w:rsid w:val="002A467C"/>
    <w:rsid w:val="002A4751"/>
    <w:rsid w:val="002A5188"/>
    <w:rsid w:val="002A54B5"/>
    <w:rsid w:val="002A55C1"/>
    <w:rsid w:val="002A55FA"/>
    <w:rsid w:val="002A5AD4"/>
    <w:rsid w:val="002A62EA"/>
    <w:rsid w:val="002A6730"/>
    <w:rsid w:val="002A73AB"/>
    <w:rsid w:val="002A75B7"/>
    <w:rsid w:val="002A786B"/>
    <w:rsid w:val="002A7931"/>
    <w:rsid w:val="002A7EB6"/>
    <w:rsid w:val="002B02D9"/>
    <w:rsid w:val="002B0794"/>
    <w:rsid w:val="002B0853"/>
    <w:rsid w:val="002B10BA"/>
    <w:rsid w:val="002B1672"/>
    <w:rsid w:val="002B1D86"/>
    <w:rsid w:val="002B241C"/>
    <w:rsid w:val="002B27BB"/>
    <w:rsid w:val="002B2881"/>
    <w:rsid w:val="002B2A21"/>
    <w:rsid w:val="002B2E17"/>
    <w:rsid w:val="002B3AB8"/>
    <w:rsid w:val="002B4261"/>
    <w:rsid w:val="002B4581"/>
    <w:rsid w:val="002B4E6C"/>
    <w:rsid w:val="002B5351"/>
    <w:rsid w:val="002B58D6"/>
    <w:rsid w:val="002B5930"/>
    <w:rsid w:val="002B5C98"/>
    <w:rsid w:val="002B64C3"/>
    <w:rsid w:val="002B6696"/>
    <w:rsid w:val="002B675C"/>
    <w:rsid w:val="002B72A2"/>
    <w:rsid w:val="002B7315"/>
    <w:rsid w:val="002C0545"/>
    <w:rsid w:val="002C056D"/>
    <w:rsid w:val="002C0CAE"/>
    <w:rsid w:val="002C1402"/>
    <w:rsid w:val="002C18A8"/>
    <w:rsid w:val="002C1B9C"/>
    <w:rsid w:val="002C25E8"/>
    <w:rsid w:val="002C2795"/>
    <w:rsid w:val="002C2D19"/>
    <w:rsid w:val="002C2DBC"/>
    <w:rsid w:val="002C33EF"/>
    <w:rsid w:val="002C352E"/>
    <w:rsid w:val="002C4026"/>
    <w:rsid w:val="002C4679"/>
    <w:rsid w:val="002C4720"/>
    <w:rsid w:val="002C4FF9"/>
    <w:rsid w:val="002C5478"/>
    <w:rsid w:val="002C56D0"/>
    <w:rsid w:val="002C59E9"/>
    <w:rsid w:val="002C5F19"/>
    <w:rsid w:val="002C61FF"/>
    <w:rsid w:val="002C62F5"/>
    <w:rsid w:val="002C6702"/>
    <w:rsid w:val="002C6779"/>
    <w:rsid w:val="002C685C"/>
    <w:rsid w:val="002C6C95"/>
    <w:rsid w:val="002C7707"/>
    <w:rsid w:val="002D02DE"/>
    <w:rsid w:val="002D0497"/>
    <w:rsid w:val="002D109F"/>
    <w:rsid w:val="002D18E5"/>
    <w:rsid w:val="002D1C5B"/>
    <w:rsid w:val="002D2117"/>
    <w:rsid w:val="002D2817"/>
    <w:rsid w:val="002D2CE3"/>
    <w:rsid w:val="002D2E48"/>
    <w:rsid w:val="002D3305"/>
    <w:rsid w:val="002D3C00"/>
    <w:rsid w:val="002D3C0B"/>
    <w:rsid w:val="002D3D93"/>
    <w:rsid w:val="002D3FC0"/>
    <w:rsid w:val="002D48A4"/>
    <w:rsid w:val="002D4A87"/>
    <w:rsid w:val="002D4D63"/>
    <w:rsid w:val="002D4ECC"/>
    <w:rsid w:val="002D4EF5"/>
    <w:rsid w:val="002D70C6"/>
    <w:rsid w:val="002D7486"/>
    <w:rsid w:val="002D77BF"/>
    <w:rsid w:val="002D7F08"/>
    <w:rsid w:val="002E014A"/>
    <w:rsid w:val="002E01D3"/>
    <w:rsid w:val="002E0299"/>
    <w:rsid w:val="002E0376"/>
    <w:rsid w:val="002E06A4"/>
    <w:rsid w:val="002E0772"/>
    <w:rsid w:val="002E0BFB"/>
    <w:rsid w:val="002E0D91"/>
    <w:rsid w:val="002E17E7"/>
    <w:rsid w:val="002E1C32"/>
    <w:rsid w:val="002E21C8"/>
    <w:rsid w:val="002E2E0C"/>
    <w:rsid w:val="002E3119"/>
    <w:rsid w:val="002E324F"/>
    <w:rsid w:val="002E3419"/>
    <w:rsid w:val="002E37FB"/>
    <w:rsid w:val="002E3B1E"/>
    <w:rsid w:val="002E3CCB"/>
    <w:rsid w:val="002E3F48"/>
    <w:rsid w:val="002E434A"/>
    <w:rsid w:val="002E469C"/>
    <w:rsid w:val="002E56AA"/>
    <w:rsid w:val="002E644B"/>
    <w:rsid w:val="002E654F"/>
    <w:rsid w:val="002E68AB"/>
    <w:rsid w:val="002E6B59"/>
    <w:rsid w:val="002E6DD5"/>
    <w:rsid w:val="002E782D"/>
    <w:rsid w:val="002E7A54"/>
    <w:rsid w:val="002E7D73"/>
    <w:rsid w:val="002F034A"/>
    <w:rsid w:val="002F0430"/>
    <w:rsid w:val="002F063B"/>
    <w:rsid w:val="002F0BAC"/>
    <w:rsid w:val="002F1012"/>
    <w:rsid w:val="002F10C0"/>
    <w:rsid w:val="002F1318"/>
    <w:rsid w:val="002F156E"/>
    <w:rsid w:val="002F168D"/>
    <w:rsid w:val="002F19F7"/>
    <w:rsid w:val="002F1F69"/>
    <w:rsid w:val="002F2303"/>
    <w:rsid w:val="002F25E7"/>
    <w:rsid w:val="002F3E2F"/>
    <w:rsid w:val="002F3E69"/>
    <w:rsid w:val="002F3F45"/>
    <w:rsid w:val="002F46E3"/>
    <w:rsid w:val="002F533B"/>
    <w:rsid w:val="002F55E2"/>
    <w:rsid w:val="002F6CCF"/>
    <w:rsid w:val="002F6F7E"/>
    <w:rsid w:val="002F7BAB"/>
    <w:rsid w:val="002F7D89"/>
    <w:rsid w:val="0030048E"/>
    <w:rsid w:val="00300EAB"/>
    <w:rsid w:val="003011A9"/>
    <w:rsid w:val="003016EA"/>
    <w:rsid w:val="00301717"/>
    <w:rsid w:val="003017F1"/>
    <w:rsid w:val="00302479"/>
    <w:rsid w:val="00303102"/>
    <w:rsid w:val="00303302"/>
    <w:rsid w:val="00303A35"/>
    <w:rsid w:val="00303A96"/>
    <w:rsid w:val="00303B14"/>
    <w:rsid w:val="00303DE2"/>
    <w:rsid w:val="003043D5"/>
    <w:rsid w:val="003044DE"/>
    <w:rsid w:val="00304869"/>
    <w:rsid w:val="00304991"/>
    <w:rsid w:val="003054C6"/>
    <w:rsid w:val="00305A4E"/>
    <w:rsid w:val="00305DAD"/>
    <w:rsid w:val="00306B97"/>
    <w:rsid w:val="003071D4"/>
    <w:rsid w:val="00307441"/>
    <w:rsid w:val="003074C2"/>
    <w:rsid w:val="00307A75"/>
    <w:rsid w:val="00307D86"/>
    <w:rsid w:val="00310116"/>
    <w:rsid w:val="00310A75"/>
    <w:rsid w:val="003113B2"/>
    <w:rsid w:val="003114CE"/>
    <w:rsid w:val="00311519"/>
    <w:rsid w:val="00311625"/>
    <w:rsid w:val="00311793"/>
    <w:rsid w:val="003121F1"/>
    <w:rsid w:val="00313480"/>
    <w:rsid w:val="00313513"/>
    <w:rsid w:val="00314861"/>
    <w:rsid w:val="00314BA0"/>
    <w:rsid w:val="00314BC5"/>
    <w:rsid w:val="00314D0D"/>
    <w:rsid w:val="0031518F"/>
    <w:rsid w:val="003155FF"/>
    <w:rsid w:val="00315DC9"/>
    <w:rsid w:val="003160B3"/>
    <w:rsid w:val="003160E6"/>
    <w:rsid w:val="00316B1B"/>
    <w:rsid w:val="00317940"/>
    <w:rsid w:val="00317C32"/>
    <w:rsid w:val="00317CA2"/>
    <w:rsid w:val="00320304"/>
    <w:rsid w:val="00320B80"/>
    <w:rsid w:val="00320EB4"/>
    <w:rsid w:val="0032191F"/>
    <w:rsid w:val="00321BB4"/>
    <w:rsid w:val="00321D58"/>
    <w:rsid w:val="00322A07"/>
    <w:rsid w:val="00322C9C"/>
    <w:rsid w:val="00322CEE"/>
    <w:rsid w:val="003234A4"/>
    <w:rsid w:val="00323924"/>
    <w:rsid w:val="00324A12"/>
    <w:rsid w:val="0032504F"/>
    <w:rsid w:val="003250F1"/>
    <w:rsid w:val="0032566B"/>
    <w:rsid w:val="003256FB"/>
    <w:rsid w:val="00325B24"/>
    <w:rsid w:val="00326891"/>
    <w:rsid w:val="00327F51"/>
    <w:rsid w:val="003303D8"/>
    <w:rsid w:val="00330C76"/>
    <w:rsid w:val="00330D37"/>
    <w:rsid w:val="00330F7C"/>
    <w:rsid w:val="0033140F"/>
    <w:rsid w:val="00331535"/>
    <w:rsid w:val="003316D9"/>
    <w:rsid w:val="00331FB3"/>
    <w:rsid w:val="003323CD"/>
    <w:rsid w:val="00332D84"/>
    <w:rsid w:val="003332E2"/>
    <w:rsid w:val="00333712"/>
    <w:rsid w:val="003338C6"/>
    <w:rsid w:val="00333C05"/>
    <w:rsid w:val="003341AF"/>
    <w:rsid w:val="003344CE"/>
    <w:rsid w:val="003346F2"/>
    <w:rsid w:val="00334701"/>
    <w:rsid w:val="00334B7A"/>
    <w:rsid w:val="00335E34"/>
    <w:rsid w:val="0033647A"/>
    <w:rsid w:val="003365FC"/>
    <w:rsid w:val="00336850"/>
    <w:rsid w:val="00337FBF"/>
    <w:rsid w:val="00340434"/>
    <w:rsid w:val="0034048D"/>
    <w:rsid w:val="0034050F"/>
    <w:rsid w:val="00340DF8"/>
    <w:rsid w:val="003418C5"/>
    <w:rsid w:val="00341A11"/>
    <w:rsid w:val="00342BE8"/>
    <w:rsid w:val="003444B7"/>
    <w:rsid w:val="003448C0"/>
    <w:rsid w:val="00344B09"/>
    <w:rsid w:val="00344D03"/>
    <w:rsid w:val="0034519A"/>
    <w:rsid w:val="003468F4"/>
    <w:rsid w:val="0034726B"/>
    <w:rsid w:val="003477DB"/>
    <w:rsid w:val="00350E6F"/>
    <w:rsid w:val="00350F72"/>
    <w:rsid w:val="003512B2"/>
    <w:rsid w:val="00352A35"/>
    <w:rsid w:val="00352C3E"/>
    <w:rsid w:val="00353E17"/>
    <w:rsid w:val="00354796"/>
    <w:rsid w:val="003548C1"/>
    <w:rsid w:val="00354F73"/>
    <w:rsid w:val="003551A6"/>
    <w:rsid w:val="0035615E"/>
    <w:rsid w:val="00356235"/>
    <w:rsid w:val="00356576"/>
    <w:rsid w:val="00356AB8"/>
    <w:rsid w:val="00356B0C"/>
    <w:rsid w:val="00357F34"/>
    <w:rsid w:val="0036030D"/>
    <w:rsid w:val="0036055B"/>
    <w:rsid w:val="00360891"/>
    <w:rsid w:val="003611DD"/>
    <w:rsid w:val="003618B5"/>
    <w:rsid w:val="003619B9"/>
    <w:rsid w:val="00361AD1"/>
    <w:rsid w:val="00361D08"/>
    <w:rsid w:val="003621DC"/>
    <w:rsid w:val="0036240E"/>
    <w:rsid w:val="003627C9"/>
    <w:rsid w:val="00362E5F"/>
    <w:rsid w:val="0036302C"/>
    <w:rsid w:val="003633E5"/>
    <w:rsid w:val="003634D6"/>
    <w:rsid w:val="003636BF"/>
    <w:rsid w:val="00363FD4"/>
    <w:rsid w:val="0036427C"/>
    <w:rsid w:val="00364C19"/>
    <w:rsid w:val="00364CC3"/>
    <w:rsid w:val="00365851"/>
    <w:rsid w:val="00365D22"/>
    <w:rsid w:val="0036662B"/>
    <w:rsid w:val="00366A59"/>
    <w:rsid w:val="00366D4E"/>
    <w:rsid w:val="00367C1C"/>
    <w:rsid w:val="00367E37"/>
    <w:rsid w:val="00367EEB"/>
    <w:rsid w:val="003701BF"/>
    <w:rsid w:val="003704F4"/>
    <w:rsid w:val="003710F2"/>
    <w:rsid w:val="00371442"/>
    <w:rsid w:val="003714F5"/>
    <w:rsid w:val="00372475"/>
    <w:rsid w:val="003727E9"/>
    <w:rsid w:val="00372C2B"/>
    <w:rsid w:val="00372F36"/>
    <w:rsid w:val="003730A7"/>
    <w:rsid w:val="003731B9"/>
    <w:rsid w:val="00373571"/>
    <w:rsid w:val="003741CC"/>
    <w:rsid w:val="003756CB"/>
    <w:rsid w:val="003756F7"/>
    <w:rsid w:val="00376426"/>
    <w:rsid w:val="00376502"/>
    <w:rsid w:val="00376653"/>
    <w:rsid w:val="00376662"/>
    <w:rsid w:val="00376BEA"/>
    <w:rsid w:val="00380470"/>
    <w:rsid w:val="00381045"/>
    <w:rsid w:val="00381356"/>
    <w:rsid w:val="00381463"/>
    <w:rsid w:val="003819B5"/>
    <w:rsid w:val="0038201F"/>
    <w:rsid w:val="0038237C"/>
    <w:rsid w:val="00382791"/>
    <w:rsid w:val="003829EE"/>
    <w:rsid w:val="00382A00"/>
    <w:rsid w:val="00382A1B"/>
    <w:rsid w:val="00382EE5"/>
    <w:rsid w:val="00383C04"/>
    <w:rsid w:val="00383D41"/>
    <w:rsid w:val="003843F9"/>
    <w:rsid w:val="0038451D"/>
    <w:rsid w:val="003845AD"/>
    <w:rsid w:val="003845B4"/>
    <w:rsid w:val="003846C5"/>
    <w:rsid w:val="0038499E"/>
    <w:rsid w:val="00384AF1"/>
    <w:rsid w:val="003850B1"/>
    <w:rsid w:val="003851FF"/>
    <w:rsid w:val="00385362"/>
    <w:rsid w:val="003857E4"/>
    <w:rsid w:val="00385A83"/>
    <w:rsid w:val="00385D37"/>
    <w:rsid w:val="0038615A"/>
    <w:rsid w:val="00386AE5"/>
    <w:rsid w:val="00386F9D"/>
    <w:rsid w:val="003873A0"/>
    <w:rsid w:val="003875EB"/>
    <w:rsid w:val="00387B1A"/>
    <w:rsid w:val="00387BA9"/>
    <w:rsid w:val="00387C18"/>
    <w:rsid w:val="00387EE4"/>
    <w:rsid w:val="00390190"/>
    <w:rsid w:val="003905DB"/>
    <w:rsid w:val="00390C2F"/>
    <w:rsid w:val="00390CD1"/>
    <w:rsid w:val="003914E0"/>
    <w:rsid w:val="00391577"/>
    <w:rsid w:val="003923DE"/>
    <w:rsid w:val="00392A0D"/>
    <w:rsid w:val="00392C75"/>
    <w:rsid w:val="00393748"/>
    <w:rsid w:val="00393800"/>
    <w:rsid w:val="00393EA1"/>
    <w:rsid w:val="003941BF"/>
    <w:rsid w:val="00394318"/>
    <w:rsid w:val="00394BBF"/>
    <w:rsid w:val="00395073"/>
    <w:rsid w:val="003952DC"/>
    <w:rsid w:val="0039588A"/>
    <w:rsid w:val="00395C68"/>
    <w:rsid w:val="003960A5"/>
    <w:rsid w:val="003961EE"/>
    <w:rsid w:val="003963CE"/>
    <w:rsid w:val="00396FA9"/>
    <w:rsid w:val="003971DA"/>
    <w:rsid w:val="00397803"/>
    <w:rsid w:val="0039797E"/>
    <w:rsid w:val="00397D21"/>
    <w:rsid w:val="003A106F"/>
    <w:rsid w:val="003A1331"/>
    <w:rsid w:val="003A1A1E"/>
    <w:rsid w:val="003A1EB8"/>
    <w:rsid w:val="003A1F63"/>
    <w:rsid w:val="003A262C"/>
    <w:rsid w:val="003A2F96"/>
    <w:rsid w:val="003A3A81"/>
    <w:rsid w:val="003A442E"/>
    <w:rsid w:val="003A51D8"/>
    <w:rsid w:val="003A6341"/>
    <w:rsid w:val="003A6625"/>
    <w:rsid w:val="003A6754"/>
    <w:rsid w:val="003B006E"/>
    <w:rsid w:val="003B035D"/>
    <w:rsid w:val="003B0542"/>
    <w:rsid w:val="003B06D1"/>
    <w:rsid w:val="003B0AD5"/>
    <w:rsid w:val="003B0E6C"/>
    <w:rsid w:val="003B1550"/>
    <w:rsid w:val="003B19F8"/>
    <w:rsid w:val="003B1A6B"/>
    <w:rsid w:val="003B3015"/>
    <w:rsid w:val="003B32C8"/>
    <w:rsid w:val="003B346F"/>
    <w:rsid w:val="003B3FF6"/>
    <w:rsid w:val="003B43DE"/>
    <w:rsid w:val="003B5182"/>
    <w:rsid w:val="003B576E"/>
    <w:rsid w:val="003B5A66"/>
    <w:rsid w:val="003B5B0D"/>
    <w:rsid w:val="003B5E4E"/>
    <w:rsid w:val="003B623D"/>
    <w:rsid w:val="003B6263"/>
    <w:rsid w:val="003B6D37"/>
    <w:rsid w:val="003B6EAE"/>
    <w:rsid w:val="003B7009"/>
    <w:rsid w:val="003B7119"/>
    <w:rsid w:val="003B7156"/>
    <w:rsid w:val="003B765D"/>
    <w:rsid w:val="003B7B74"/>
    <w:rsid w:val="003C065C"/>
    <w:rsid w:val="003C0767"/>
    <w:rsid w:val="003C1284"/>
    <w:rsid w:val="003C137F"/>
    <w:rsid w:val="003C17E0"/>
    <w:rsid w:val="003C1A64"/>
    <w:rsid w:val="003C1F0C"/>
    <w:rsid w:val="003C2938"/>
    <w:rsid w:val="003C29D0"/>
    <w:rsid w:val="003C2DBD"/>
    <w:rsid w:val="003C3989"/>
    <w:rsid w:val="003C3C82"/>
    <w:rsid w:val="003C5CA1"/>
    <w:rsid w:val="003C5DC4"/>
    <w:rsid w:val="003C5EE5"/>
    <w:rsid w:val="003C5F49"/>
    <w:rsid w:val="003C6552"/>
    <w:rsid w:val="003C6842"/>
    <w:rsid w:val="003C6B03"/>
    <w:rsid w:val="003C7086"/>
    <w:rsid w:val="003C752B"/>
    <w:rsid w:val="003C7C18"/>
    <w:rsid w:val="003D0171"/>
    <w:rsid w:val="003D02D8"/>
    <w:rsid w:val="003D1252"/>
    <w:rsid w:val="003D12FE"/>
    <w:rsid w:val="003D1C5D"/>
    <w:rsid w:val="003D1D55"/>
    <w:rsid w:val="003D2117"/>
    <w:rsid w:val="003D26DF"/>
    <w:rsid w:val="003D2E36"/>
    <w:rsid w:val="003D4714"/>
    <w:rsid w:val="003D4AD6"/>
    <w:rsid w:val="003D4FCA"/>
    <w:rsid w:val="003D54EA"/>
    <w:rsid w:val="003D57B2"/>
    <w:rsid w:val="003D58C5"/>
    <w:rsid w:val="003D5B17"/>
    <w:rsid w:val="003D5C21"/>
    <w:rsid w:val="003D5C97"/>
    <w:rsid w:val="003D5CCB"/>
    <w:rsid w:val="003D6499"/>
    <w:rsid w:val="003D6B68"/>
    <w:rsid w:val="003D7112"/>
    <w:rsid w:val="003D746D"/>
    <w:rsid w:val="003D7BB2"/>
    <w:rsid w:val="003D7D54"/>
    <w:rsid w:val="003E0A59"/>
    <w:rsid w:val="003E0B15"/>
    <w:rsid w:val="003E0E9F"/>
    <w:rsid w:val="003E1A40"/>
    <w:rsid w:val="003E1B5C"/>
    <w:rsid w:val="003E1C74"/>
    <w:rsid w:val="003E1D8E"/>
    <w:rsid w:val="003E1E9C"/>
    <w:rsid w:val="003E1F25"/>
    <w:rsid w:val="003E1FA9"/>
    <w:rsid w:val="003E2170"/>
    <w:rsid w:val="003E23A2"/>
    <w:rsid w:val="003E2D65"/>
    <w:rsid w:val="003E30E8"/>
    <w:rsid w:val="003E3818"/>
    <w:rsid w:val="003E3E65"/>
    <w:rsid w:val="003E3E84"/>
    <w:rsid w:val="003E4404"/>
    <w:rsid w:val="003E515C"/>
    <w:rsid w:val="003E5221"/>
    <w:rsid w:val="003E5B33"/>
    <w:rsid w:val="003E5BC5"/>
    <w:rsid w:val="003E612E"/>
    <w:rsid w:val="003E6169"/>
    <w:rsid w:val="003E6194"/>
    <w:rsid w:val="003E6429"/>
    <w:rsid w:val="003E662C"/>
    <w:rsid w:val="003E6A05"/>
    <w:rsid w:val="003E6C86"/>
    <w:rsid w:val="003E727B"/>
    <w:rsid w:val="003F0534"/>
    <w:rsid w:val="003F0C82"/>
    <w:rsid w:val="003F10A9"/>
    <w:rsid w:val="003F17ED"/>
    <w:rsid w:val="003F1C02"/>
    <w:rsid w:val="003F1F5F"/>
    <w:rsid w:val="003F23CF"/>
    <w:rsid w:val="003F3A43"/>
    <w:rsid w:val="003F3ABE"/>
    <w:rsid w:val="003F4143"/>
    <w:rsid w:val="003F42F7"/>
    <w:rsid w:val="003F43BC"/>
    <w:rsid w:val="003F4417"/>
    <w:rsid w:val="003F4BF5"/>
    <w:rsid w:val="003F6105"/>
    <w:rsid w:val="003F648B"/>
    <w:rsid w:val="003F6B0F"/>
    <w:rsid w:val="003F712C"/>
    <w:rsid w:val="003F7277"/>
    <w:rsid w:val="003F740A"/>
    <w:rsid w:val="003F7581"/>
    <w:rsid w:val="003F7EC0"/>
    <w:rsid w:val="00400277"/>
    <w:rsid w:val="0040029A"/>
    <w:rsid w:val="004003E1"/>
    <w:rsid w:val="004006A3"/>
    <w:rsid w:val="004007A2"/>
    <w:rsid w:val="00400852"/>
    <w:rsid w:val="004009CB"/>
    <w:rsid w:val="00400AD5"/>
    <w:rsid w:val="00400C1F"/>
    <w:rsid w:val="00400C6A"/>
    <w:rsid w:val="00402B2B"/>
    <w:rsid w:val="00402B5D"/>
    <w:rsid w:val="00403527"/>
    <w:rsid w:val="004037A0"/>
    <w:rsid w:val="00403ACD"/>
    <w:rsid w:val="00403EAA"/>
    <w:rsid w:val="0040419E"/>
    <w:rsid w:val="00404F6E"/>
    <w:rsid w:val="004053AA"/>
    <w:rsid w:val="00405ED5"/>
    <w:rsid w:val="00405F92"/>
    <w:rsid w:val="00406380"/>
    <w:rsid w:val="00406BD7"/>
    <w:rsid w:val="00407012"/>
    <w:rsid w:val="004072DD"/>
    <w:rsid w:val="00407313"/>
    <w:rsid w:val="00407CC0"/>
    <w:rsid w:val="00407EDE"/>
    <w:rsid w:val="00410A0D"/>
    <w:rsid w:val="00410DCE"/>
    <w:rsid w:val="00410EBD"/>
    <w:rsid w:val="00411161"/>
    <w:rsid w:val="00411A9E"/>
    <w:rsid w:val="0041247D"/>
    <w:rsid w:val="00412BFB"/>
    <w:rsid w:val="004132AE"/>
    <w:rsid w:val="0041335F"/>
    <w:rsid w:val="00413DF1"/>
    <w:rsid w:val="0041431C"/>
    <w:rsid w:val="004143F9"/>
    <w:rsid w:val="00414413"/>
    <w:rsid w:val="00415A5B"/>
    <w:rsid w:val="00415A75"/>
    <w:rsid w:val="00415DD9"/>
    <w:rsid w:val="0041609A"/>
    <w:rsid w:val="0041615B"/>
    <w:rsid w:val="004161F5"/>
    <w:rsid w:val="004163F4"/>
    <w:rsid w:val="004166A3"/>
    <w:rsid w:val="0041768F"/>
    <w:rsid w:val="00420877"/>
    <w:rsid w:val="00421C82"/>
    <w:rsid w:val="00421F13"/>
    <w:rsid w:val="0042209B"/>
    <w:rsid w:val="00422D69"/>
    <w:rsid w:val="004236FF"/>
    <w:rsid w:val="00423F49"/>
    <w:rsid w:val="00424197"/>
    <w:rsid w:val="004247FA"/>
    <w:rsid w:val="00424B3A"/>
    <w:rsid w:val="00424C03"/>
    <w:rsid w:val="004251EF"/>
    <w:rsid w:val="0042586C"/>
    <w:rsid w:val="00425DE8"/>
    <w:rsid w:val="0042629E"/>
    <w:rsid w:val="004269E2"/>
    <w:rsid w:val="00426F53"/>
    <w:rsid w:val="00427EE4"/>
    <w:rsid w:val="00430AD9"/>
    <w:rsid w:val="00430E07"/>
    <w:rsid w:val="00431CF2"/>
    <w:rsid w:val="004324E3"/>
    <w:rsid w:val="00432BC4"/>
    <w:rsid w:val="0043301E"/>
    <w:rsid w:val="004331A2"/>
    <w:rsid w:val="0043354F"/>
    <w:rsid w:val="00433640"/>
    <w:rsid w:val="00433A73"/>
    <w:rsid w:val="00434234"/>
    <w:rsid w:val="00435842"/>
    <w:rsid w:val="00435FD3"/>
    <w:rsid w:val="004365E4"/>
    <w:rsid w:val="004367EC"/>
    <w:rsid w:val="00436B7B"/>
    <w:rsid w:val="00436FB4"/>
    <w:rsid w:val="00436FDF"/>
    <w:rsid w:val="0043773D"/>
    <w:rsid w:val="004379C5"/>
    <w:rsid w:val="004405AA"/>
    <w:rsid w:val="00441376"/>
    <w:rsid w:val="004415CB"/>
    <w:rsid w:val="00441CA1"/>
    <w:rsid w:val="00441FDD"/>
    <w:rsid w:val="00441FED"/>
    <w:rsid w:val="004424C5"/>
    <w:rsid w:val="00442567"/>
    <w:rsid w:val="0044278A"/>
    <w:rsid w:val="00442888"/>
    <w:rsid w:val="0044293D"/>
    <w:rsid w:val="00443428"/>
    <w:rsid w:val="00443787"/>
    <w:rsid w:val="00443839"/>
    <w:rsid w:val="00443C3F"/>
    <w:rsid w:val="00444D64"/>
    <w:rsid w:val="0044627B"/>
    <w:rsid w:val="00446B22"/>
    <w:rsid w:val="00447074"/>
    <w:rsid w:val="00447889"/>
    <w:rsid w:val="00447AF9"/>
    <w:rsid w:val="00450079"/>
    <w:rsid w:val="0045043F"/>
    <w:rsid w:val="004513BC"/>
    <w:rsid w:val="00451ACB"/>
    <w:rsid w:val="0045228A"/>
    <w:rsid w:val="00452866"/>
    <w:rsid w:val="00452F07"/>
    <w:rsid w:val="00453B5F"/>
    <w:rsid w:val="00453E4A"/>
    <w:rsid w:val="00453F32"/>
    <w:rsid w:val="00454381"/>
    <w:rsid w:val="00454EB5"/>
    <w:rsid w:val="004559B5"/>
    <w:rsid w:val="00457684"/>
    <w:rsid w:val="00457C89"/>
    <w:rsid w:val="004603B6"/>
    <w:rsid w:val="004605B6"/>
    <w:rsid w:val="00460C4B"/>
    <w:rsid w:val="004610D8"/>
    <w:rsid w:val="004614AB"/>
    <w:rsid w:val="00462319"/>
    <w:rsid w:val="00462734"/>
    <w:rsid w:val="00462C2A"/>
    <w:rsid w:val="00463344"/>
    <w:rsid w:val="0046366D"/>
    <w:rsid w:val="0046392F"/>
    <w:rsid w:val="00464119"/>
    <w:rsid w:val="004657EE"/>
    <w:rsid w:val="00465838"/>
    <w:rsid w:val="004659BF"/>
    <w:rsid w:val="0046630A"/>
    <w:rsid w:val="00466F8F"/>
    <w:rsid w:val="00467109"/>
    <w:rsid w:val="004675B5"/>
    <w:rsid w:val="00467715"/>
    <w:rsid w:val="0047006B"/>
    <w:rsid w:val="00470359"/>
    <w:rsid w:val="004703A3"/>
    <w:rsid w:val="00471998"/>
    <w:rsid w:val="00471AD5"/>
    <w:rsid w:val="00472495"/>
    <w:rsid w:val="004725E8"/>
    <w:rsid w:val="00472855"/>
    <w:rsid w:val="0047297C"/>
    <w:rsid w:val="004729B6"/>
    <w:rsid w:val="00472B47"/>
    <w:rsid w:val="00473A03"/>
    <w:rsid w:val="00474418"/>
    <w:rsid w:val="00474FF9"/>
    <w:rsid w:val="0047574E"/>
    <w:rsid w:val="00475CCD"/>
    <w:rsid w:val="00477A3C"/>
    <w:rsid w:val="00480410"/>
    <w:rsid w:val="00480994"/>
    <w:rsid w:val="00481371"/>
    <w:rsid w:val="00481A94"/>
    <w:rsid w:val="00481FA4"/>
    <w:rsid w:val="004822B7"/>
    <w:rsid w:val="00482933"/>
    <w:rsid w:val="004830FE"/>
    <w:rsid w:val="00483154"/>
    <w:rsid w:val="00483303"/>
    <w:rsid w:val="00483AC9"/>
    <w:rsid w:val="004845E8"/>
    <w:rsid w:val="00484B4E"/>
    <w:rsid w:val="00484DBD"/>
    <w:rsid w:val="00484F8C"/>
    <w:rsid w:val="004852B2"/>
    <w:rsid w:val="00485A58"/>
    <w:rsid w:val="00485C66"/>
    <w:rsid w:val="00485CF1"/>
    <w:rsid w:val="00485EAD"/>
    <w:rsid w:val="00486B3A"/>
    <w:rsid w:val="00487265"/>
    <w:rsid w:val="004878C9"/>
    <w:rsid w:val="00487A38"/>
    <w:rsid w:val="00487C6F"/>
    <w:rsid w:val="0049012C"/>
    <w:rsid w:val="00490B07"/>
    <w:rsid w:val="00490FDA"/>
    <w:rsid w:val="0049121B"/>
    <w:rsid w:val="00491B85"/>
    <w:rsid w:val="00491E4F"/>
    <w:rsid w:val="00492701"/>
    <w:rsid w:val="004927BE"/>
    <w:rsid w:val="00493630"/>
    <w:rsid w:val="004937FC"/>
    <w:rsid w:val="00493B83"/>
    <w:rsid w:val="00494137"/>
    <w:rsid w:val="004942AD"/>
    <w:rsid w:val="004945FA"/>
    <w:rsid w:val="004954CF"/>
    <w:rsid w:val="0049613E"/>
    <w:rsid w:val="004964AA"/>
    <w:rsid w:val="00496E80"/>
    <w:rsid w:val="00497672"/>
    <w:rsid w:val="0049776E"/>
    <w:rsid w:val="004A0658"/>
    <w:rsid w:val="004A0742"/>
    <w:rsid w:val="004A0790"/>
    <w:rsid w:val="004A085A"/>
    <w:rsid w:val="004A15B0"/>
    <w:rsid w:val="004A1A9D"/>
    <w:rsid w:val="004A1BE2"/>
    <w:rsid w:val="004A2853"/>
    <w:rsid w:val="004A3971"/>
    <w:rsid w:val="004A39F3"/>
    <w:rsid w:val="004A3A74"/>
    <w:rsid w:val="004A3B68"/>
    <w:rsid w:val="004A3C92"/>
    <w:rsid w:val="004A434F"/>
    <w:rsid w:val="004A48EA"/>
    <w:rsid w:val="004A4E2B"/>
    <w:rsid w:val="004A5C0E"/>
    <w:rsid w:val="004A5F14"/>
    <w:rsid w:val="004A62C7"/>
    <w:rsid w:val="004A6DA7"/>
    <w:rsid w:val="004A743E"/>
    <w:rsid w:val="004A7BA5"/>
    <w:rsid w:val="004A7DDB"/>
    <w:rsid w:val="004B05D2"/>
    <w:rsid w:val="004B089F"/>
    <w:rsid w:val="004B098E"/>
    <w:rsid w:val="004B0CD3"/>
    <w:rsid w:val="004B1579"/>
    <w:rsid w:val="004B2AC9"/>
    <w:rsid w:val="004B2D8C"/>
    <w:rsid w:val="004B2FFD"/>
    <w:rsid w:val="004B33D4"/>
    <w:rsid w:val="004B3D4D"/>
    <w:rsid w:val="004B4485"/>
    <w:rsid w:val="004B46E4"/>
    <w:rsid w:val="004B504D"/>
    <w:rsid w:val="004B55CF"/>
    <w:rsid w:val="004B5BCB"/>
    <w:rsid w:val="004B5CFB"/>
    <w:rsid w:val="004B5D05"/>
    <w:rsid w:val="004B5F71"/>
    <w:rsid w:val="004B5FB0"/>
    <w:rsid w:val="004B66A9"/>
    <w:rsid w:val="004B69F7"/>
    <w:rsid w:val="004B7087"/>
    <w:rsid w:val="004B7090"/>
    <w:rsid w:val="004B7250"/>
    <w:rsid w:val="004C08BF"/>
    <w:rsid w:val="004C0AD1"/>
    <w:rsid w:val="004C1541"/>
    <w:rsid w:val="004C1953"/>
    <w:rsid w:val="004C20A9"/>
    <w:rsid w:val="004C28DD"/>
    <w:rsid w:val="004C2E4B"/>
    <w:rsid w:val="004C3106"/>
    <w:rsid w:val="004C3585"/>
    <w:rsid w:val="004C407C"/>
    <w:rsid w:val="004C44BD"/>
    <w:rsid w:val="004C45DB"/>
    <w:rsid w:val="004C45EF"/>
    <w:rsid w:val="004C46D5"/>
    <w:rsid w:val="004C480F"/>
    <w:rsid w:val="004C50F2"/>
    <w:rsid w:val="004C5203"/>
    <w:rsid w:val="004C54B5"/>
    <w:rsid w:val="004C597B"/>
    <w:rsid w:val="004C5D82"/>
    <w:rsid w:val="004C603C"/>
    <w:rsid w:val="004C65A4"/>
    <w:rsid w:val="004C68D4"/>
    <w:rsid w:val="004C6E62"/>
    <w:rsid w:val="004C75E6"/>
    <w:rsid w:val="004C7E0C"/>
    <w:rsid w:val="004D034B"/>
    <w:rsid w:val="004D0397"/>
    <w:rsid w:val="004D085A"/>
    <w:rsid w:val="004D105A"/>
    <w:rsid w:val="004D1080"/>
    <w:rsid w:val="004D1B12"/>
    <w:rsid w:val="004D1B15"/>
    <w:rsid w:val="004D1E4D"/>
    <w:rsid w:val="004D1FA0"/>
    <w:rsid w:val="004D24D3"/>
    <w:rsid w:val="004D2AF3"/>
    <w:rsid w:val="004D2C10"/>
    <w:rsid w:val="004D3552"/>
    <w:rsid w:val="004D3586"/>
    <w:rsid w:val="004D4BA9"/>
    <w:rsid w:val="004D4DA8"/>
    <w:rsid w:val="004D4DF4"/>
    <w:rsid w:val="004D72A3"/>
    <w:rsid w:val="004D764E"/>
    <w:rsid w:val="004D768B"/>
    <w:rsid w:val="004D78D7"/>
    <w:rsid w:val="004E0445"/>
    <w:rsid w:val="004E0B92"/>
    <w:rsid w:val="004E1030"/>
    <w:rsid w:val="004E1202"/>
    <w:rsid w:val="004E1B93"/>
    <w:rsid w:val="004E1F43"/>
    <w:rsid w:val="004E2D90"/>
    <w:rsid w:val="004E37D4"/>
    <w:rsid w:val="004E3B48"/>
    <w:rsid w:val="004E3F59"/>
    <w:rsid w:val="004E40F1"/>
    <w:rsid w:val="004E4205"/>
    <w:rsid w:val="004E45D6"/>
    <w:rsid w:val="004E4CC7"/>
    <w:rsid w:val="004E4DFF"/>
    <w:rsid w:val="004E4F45"/>
    <w:rsid w:val="004E5AC1"/>
    <w:rsid w:val="004E705F"/>
    <w:rsid w:val="004E7131"/>
    <w:rsid w:val="004E7133"/>
    <w:rsid w:val="004E73D2"/>
    <w:rsid w:val="004E7C31"/>
    <w:rsid w:val="004E7FB7"/>
    <w:rsid w:val="004F0301"/>
    <w:rsid w:val="004F0B02"/>
    <w:rsid w:val="004F0C01"/>
    <w:rsid w:val="004F0C0A"/>
    <w:rsid w:val="004F0DCB"/>
    <w:rsid w:val="004F0F55"/>
    <w:rsid w:val="004F1A5A"/>
    <w:rsid w:val="004F20F9"/>
    <w:rsid w:val="004F2194"/>
    <w:rsid w:val="004F37A8"/>
    <w:rsid w:val="004F3B6F"/>
    <w:rsid w:val="004F4A3B"/>
    <w:rsid w:val="004F4E78"/>
    <w:rsid w:val="004F4FDF"/>
    <w:rsid w:val="004F5131"/>
    <w:rsid w:val="004F51AF"/>
    <w:rsid w:val="004F545F"/>
    <w:rsid w:val="004F5F6F"/>
    <w:rsid w:val="004F6103"/>
    <w:rsid w:val="004F6352"/>
    <w:rsid w:val="004F649D"/>
    <w:rsid w:val="004F6FE9"/>
    <w:rsid w:val="004F7727"/>
    <w:rsid w:val="004F7B2F"/>
    <w:rsid w:val="005000FB"/>
    <w:rsid w:val="0050011F"/>
    <w:rsid w:val="0050024C"/>
    <w:rsid w:val="005006B2"/>
    <w:rsid w:val="00500DCB"/>
    <w:rsid w:val="005012D7"/>
    <w:rsid w:val="005015EC"/>
    <w:rsid w:val="00501839"/>
    <w:rsid w:val="005023B8"/>
    <w:rsid w:val="005025FE"/>
    <w:rsid w:val="0050273E"/>
    <w:rsid w:val="005027DF"/>
    <w:rsid w:val="00502DC2"/>
    <w:rsid w:val="00503050"/>
    <w:rsid w:val="00503427"/>
    <w:rsid w:val="005037D0"/>
    <w:rsid w:val="00503AD6"/>
    <w:rsid w:val="00503C3F"/>
    <w:rsid w:val="00503F85"/>
    <w:rsid w:val="0050426B"/>
    <w:rsid w:val="005048D1"/>
    <w:rsid w:val="005051A3"/>
    <w:rsid w:val="005057C6"/>
    <w:rsid w:val="00505F4E"/>
    <w:rsid w:val="00506311"/>
    <w:rsid w:val="00506587"/>
    <w:rsid w:val="00506B5E"/>
    <w:rsid w:val="005070EC"/>
    <w:rsid w:val="005074A8"/>
    <w:rsid w:val="00507911"/>
    <w:rsid w:val="00507F4F"/>
    <w:rsid w:val="00510416"/>
    <w:rsid w:val="0051080F"/>
    <w:rsid w:val="00510EDE"/>
    <w:rsid w:val="0051100E"/>
    <w:rsid w:val="005110DB"/>
    <w:rsid w:val="005112B5"/>
    <w:rsid w:val="005112ED"/>
    <w:rsid w:val="00511663"/>
    <w:rsid w:val="00511A6A"/>
    <w:rsid w:val="0051218F"/>
    <w:rsid w:val="00512522"/>
    <w:rsid w:val="0051289D"/>
    <w:rsid w:val="00512B80"/>
    <w:rsid w:val="00512FF2"/>
    <w:rsid w:val="0051437F"/>
    <w:rsid w:val="0051455E"/>
    <w:rsid w:val="005145F0"/>
    <w:rsid w:val="00514C20"/>
    <w:rsid w:val="00516246"/>
    <w:rsid w:val="0051626B"/>
    <w:rsid w:val="0051703F"/>
    <w:rsid w:val="005176A1"/>
    <w:rsid w:val="00517918"/>
    <w:rsid w:val="0051797C"/>
    <w:rsid w:val="0052008A"/>
    <w:rsid w:val="0052029F"/>
    <w:rsid w:val="005202C1"/>
    <w:rsid w:val="0052033A"/>
    <w:rsid w:val="0052058D"/>
    <w:rsid w:val="00521459"/>
    <w:rsid w:val="0052157E"/>
    <w:rsid w:val="005217E2"/>
    <w:rsid w:val="00521BE4"/>
    <w:rsid w:val="00522047"/>
    <w:rsid w:val="0052231C"/>
    <w:rsid w:val="005224E7"/>
    <w:rsid w:val="005224F2"/>
    <w:rsid w:val="00522A6B"/>
    <w:rsid w:val="00522D2C"/>
    <w:rsid w:val="00522F6E"/>
    <w:rsid w:val="00523C8A"/>
    <w:rsid w:val="00523D68"/>
    <w:rsid w:val="00523FB2"/>
    <w:rsid w:val="00524B52"/>
    <w:rsid w:val="005251CA"/>
    <w:rsid w:val="00525B3E"/>
    <w:rsid w:val="00525B95"/>
    <w:rsid w:val="00525BE2"/>
    <w:rsid w:val="00525E92"/>
    <w:rsid w:val="00526246"/>
    <w:rsid w:val="00527649"/>
    <w:rsid w:val="0053029C"/>
    <w:rsid w:val="005303C8"/>
    <w:rsid w:val="00530B79"/>
    <w:rsid w:val="00530F05"/>
    <w:rsid w:val="0053102E"/>
    <w:rsid w:val="00531A40"/>
    <w:rsid w:val="00531D85"/>
    <w:rsid w:val="005320F1"/>
    <w:rsid w:val="005327F4"/>
    <w:rsid w:val="0053283C"/>
    <w:rsid w:val="00532A44"/>
    <w:rsid w:val="00532CBE"/>
    <w:rsid w:val="0053346C"/>
    <w:rsid w:val="00533D29"/>
    <w:rsid w:val="0053437B"/>
    <w:rsid w:val="005343FC"/>
    <w:rsid w:val="00535C61"/>
    <w:rsid w:val="00536039"/>
    <w:rsid w:val="005364ED"/>
    <w:rsid w:val="00536729"/>
    <w:rsid w:val="00536DE4"/>
    <w:rsid w:val="00536E26"/>
    <w:rsid w:val="00537AFA"/>
    <w:rsid w:val="00540373"/>
    <w:rsid w:val="005406E4"/>
    <w:rsid w:val="0054078F"/>
    <w:rsid w:val="005417ED"/>
    <w:rsid w:val="00541B1E"/>
    <w:rsid w:val="00541C72"/>
    <w:rsid w:val="00541FC5"/>
    <w:rsid w:val="00542414"/>
    <w:rsid w:val="005428E9"/>
    <w:rsid w:val="005428F7"/>
    <w:rsid w:val="0054342A"/>
    <w:rsid w:val="00543666"/>
    <w:rsid w:val="00543876"/>
    <w:rsid w:val="005439A0"/>
    <w:rsid w:val="0054412D"/>
    <w:rsid w:val="0054459F"/>
    <w:rsid w:val="00544A19"/>
    <w:rsid w:val="005456B5"/>
    <w:rsid w:val="00545846"/>
    <w:rsid w:val="00545E28"/>
    <w:rsid w:val="00546351"/>
    <w:rsid w:val="00546631"/>
    <w:rsid w:val="00546917"/>
    <w:rsid w:val="0054697C"/>
    <w:rsid w:val="00546FDE"/>
    <w:rsid w:val="005477FC"/>
    <w:rsid w:val="00547946"/>
    <w:rsid w:val="00550007"/>
    <w:rsid w:val="005503A7"/>
    <w:rsid w:val="0055046B"/>
    <w:rsid w:val="0055111A"/>
    <w:rsid w:val="00551859"/>
    <w:rsid w:val="00551D10"/>
    <w:rsid w:val="00552FF3"/>
    <w:rsid w:val="0055330B"/>
    <w:rsid w:val="00553B95"/>
    <w:rsid w:val="0055486B"/>
    <w:rsid w:val="00555094"/>
    <w:rsid w:val="00555C91"/>
    <w:rsid w:val="00555DDA"/>
    <w:rsid w:val="00556663"/>
    <w:rsid w:val="00557355"/>
    <w:rsid w:val="005574FA"/>
    <w:rsid w:val="005575F5"/>
    <w:rsid w:val="0055766D"/>
    <w:rsid w:val="00557CBC"/>
    <w:rsid w:val="00560291"/>
    <w:rsid w:val="005602D8"/>
    <w:rsid w:val="005619EA"/>
    <w:rsid w:val="00561E83"/>
    <w:rsid w:val="005620C8"/>
    <w:rsid w:val="0056275D"/>
    <w:rsid w:val="005628CD"/>
    <w:rsid w:val="00562969"/>
    <w:rsid w:val="005639E8"/>
    <w:rsid w:val="005642F1"/>
    <w:rsid w:val="00564689"/>
    <w:rsid w:val="00564786"/>
    <w:rsid w:val="005647FA"/>
    <w:rsid w:val="0056480A"/>
    <w:rsid w:val="00564D06"/>
    <w:rsid w:val="0056542F"/>
    <w:rsid w:val="0056647E"/>
    <w:rsid w:val="00567106"/>
    <w:rsid w:val="0056715C"/>
    <w:rsid w:val="005676A9"/>
    <w:rsid w:val="00567D63"/>
    <w:rsid w:val="00567E71"/>
    <w:rsid w:val="005702D5"/>
    <w:rsid w:val="0057058F"/>
    <w:rsid w:val="005708D9"/>
    <w:rsid w:val="005711D8"/>
    <w:rsid w:val="00571403"/>
    <w:rsid w:val="00571B2A"/>
    <w:rsid w:val="00572719"/>
    <w:rsid w:val="00572C5B"/>
    <w:rsid w:val="0057424F"/>
    <w:rsid w:val="0057469A"/>
    <w:rsid w:val="00574703"/>
    <w:rsid w:val="00574C80"/>
    <w:rsid w:val="0057542E"/>
    <w:rsid w:val="005757AD"/>
    <w:rsid w:val="005757DA"/>
    <w:rsid w:val="005757E6"/>
    <w:rsid w:val="00576579"/>
    <w:rsid w:val="005765CC"/>
    <w:rsid w:val="00580126"/>
    <w:rsid w:val="0058151A"/>
    <w:rsid w:val="00581804"/>
    <w:rsid w:val="00581B85"/>
    <w:rsid w:val="0058245E"/>
    <w:rsid w:val="00582D8D"/>
    <w:rsid w:val="005834B8"/>
    <w:rsid w:val="00583542"/>
    <w:rsid w:val="00583C04"/>
    <w:rsid w:val="00583E13"/>
    <w:rsid w:val="00583F12"/>
    <w:rsid w:val="00583FA4"/>
    <w:rsid w:val="005843A7"/>
    <w:rsid w:val="00584611"/>
    <w:rsid w:val="005846D2"/>
    <w:rsid w:val="005849C2"/>
    <w:rsid w:val="00584B1F"/>
    <w:rsid w:val="00584EFB"/>
    <w:rsid w:val="00585B2D"/>
    <w:rsid w:val="00586698"/>
    <w:rsid w:val="00586784"/>
    <w:rsid w:val="00586B37"/>
    <w:rsid w:val="005870AA"/>
    <w:rsid w:val="0058718D"/>
    <w:rsid w:val="00590CED"/>
    <w:rsid w:val="00590D1C"/>
    <w:rsid w:val="00590D48"/>
    <w:rsid w:val="00591A5B"/>
    <w:rsid w:val="00592B10"/>
    <w:rsid w:val="005939A2"/>
    <w:rsid w:val="00594400"/>
    <w:rsid w:val="005949B5"/>
    <w:rsid w:val="005956E8"/>
    <w:rsid w:val="005974EA"/>
    <w:rsid w:val="00597823"/>
    <w:rsid w:val="00597FB0"/>
    <w:rsid w:val="005A0839"/>
    <w:rsid w:val="005A1559"/>
    <w:rsid w:val="005A1C50"/>
    <w:rsid w:val="005A2A21"/>
    <w:rsid w:val="005A2C90"/>
    <w:rsid w:val="005A330C"/>
    <w:rsid w:val="005A35E7"/>
    <w:rsid w:val="005A38EB"/>
    <w:rsid w:val="005A3A86"/>
    <w:rsid w:val="005A3D9A"/>
    <w:rsid w:val="005A418C"/>
    <w:rsid w:val="005A41BB"/>
    <w:rsid w:val="005A4D17"/>
    <w:rsid w:val="005A4D41"/>
    <w:rsid w:val="005A500D"/>
    <w:rsid w:val="005A5C95"/>
    <w:rsid w:val="005A5FE0"/>
    <w:rsid w:val="005A69AC"/>
    <w:rsid w:val="005A6E9C"/>
    <w:rsid w:val="005A6F26"/>
    <w:rsid w:val="005A6F52"/>
    <w:rsid w:val="005A7156"/>
    <w:rsid w:val="005A7F85"/>
    <w:rsid w:val="005B03CB"/>
    <w:rsid w:val="005B06FF"/>
    <w:rsid w:val="005B0944"/>
    <w:rsid w:val="005B1631"/>
    <w:rsid w:val="005B1FE5"/>
    <w:rsid w:val="005B209D"/>
    <w:rsid w:val="005B3419"/>
    <w:rsid w:val="005B50A9"/>
    <w:rsid w:val="005B519C"/>
    <w:rsid w:val="005B538F"/>
    <w:rsid w:val="005B5DFE"/>
    <w:rsid w:val="005B6949"/>
    <w:rsid w:val="005B6B28"/>
    <w:rsid w:val="005B70BE"/>
    <w:rsid w:val="005B7D95"/>
    <w:rsid w:val="005C0154"/>
    <w:rsid w:val="005C0FDA"/>
    <w:rsid w:val="005C17E0"/>
    <w:rsid w:val="005C1C96"/>
    <w:rsid w:val="005C2166"/>
    <w:rsid w:val="005C2AB4"/>
    <w:rsid w:val="005C2D84"/>
    <w:rsid w:val="005C340D"/>
    <w:rsid w:val="005C3847"/>
    <w:rsid w:val="005C3AC9"/>
    <w:rsid w:val="005C4043"/>
    <w:rsid w:val="005C507B"/>
    <w:rsid w:val="005C5893"/>
    <w:rsid w:val="005C58AE"/>
    <w:rsid w:val="005C58FB"/>
    <w:rsid w:val="005C5BB4"/>
    <w:rsid w:val="005C5F48"/>
    <w:rsid w:val="005C5F93"/>
    <w:rsid w:val="005C61EB"/>
    <w:rsid w:val="005C6334"/>
    <w:rsid w:val="005C6D72"/>
    <w:rsid w:val="005C77FC"/>
    <w:rsid w:val="005C7C67"/>
    <w:rsid w:val="005D0120"/>
    <w:rsid w:val="005D06B6"/>
    <w:rsid w:val="005D0943"/>
    <w:rsid w:val="005D0A12"/>
    <w:rsid w:val="005D1477"/>
    <w:rsid w:val="005D14A0"/>
    <w:rsid w:val="005D152D"/>
    <w:rsid w:val="005D156D"/>
    <w:rsid w:val="005D16B7"/>
    <w:rsid w:val="005D222C"/>
    <w:rsid w:val="005D26FD"/>
    <w:rsid w:val="005D342F"/>
    <w:rsid w:val="005D3D01"/>
    <w:rsid w:val="005D4B1B"/>
    <w:rsid w:val="005D4F20"/>
    <w:rsid w:val="005D53F6"/>
    <w:rsid w:val="005D5E98"/>
    <w:rsid w:val="005D682B"/>
    <w:rsid w:val="005D6F4F"/>
    <w:rsid w:val="005D77FF"/>
    <w:rsid w:val="005D7861"/>
    <w:rsid w:val="005D790C"/>
    <w:rsid w:val="005E0963"/>
    <w:rsid w:val="005E0BFB"/>
    <w:rsid w:val="005E0C8C"/>
    <w:rsid w:val="005E0FD4"/>
    <w:rsid w:val="005E1145"/>
    <w:rsid w:val="005E1A08"/>
    <w:rsid w:val="005E1D3C"/>
    <w:rsid w:val="005E248F"/>
    <w:rsid w:val="005E27B8"/>
    <w:rsid w:val="005E2A78"/>
    <w:rsid w:val="005E2CD1"/>
    <w:rsid w:val="005E2FA2"/>
    <w:rsid w:val="005E31F0"/>
    <w:rsid w:val="005E3A61"/>
    <w:rsid w:val="005E3ADC"/>
    <w:rsid w:val="005E3BE4"/>
    <w:rsid w:val="005E3C0C"/>
    <w:rsid w:val="005E4C60"/>
    <w:rsid w:val="005E50E3"/>
    <w:rsid w:val="005E5255"/>
    <w:rsid w:val="005E56B6"/>
    <w:rsid w:val="005E6474"/>
    <w:rsid w:val="005E717D"/>
    <w:rsid w:val="005E7417"/>
    <w:rsid w:val="005E7D24"/>
    <w:rsid w:val="005E7DD9"/>
    <w:rsid w:val="005E7FDF"/>
    <w:rsid w:val="005F0CE4"/>
    <w:rsid w:val="005F12B5"/>
    <w:rsid w:val="005F14A0"/>
    <w:rsid w:val="005F1C7A"/>
    <w:rsid w:val="005F1CC8"/>
    <w:rsid w:val="005F26A7"/>
    <w:rsid w:val="005F290A"/>
    <w:rsid w:val="005F2CD6"/>
    <w:rsid w:val="005F31FC"/>
    <w:rsid w:val="005F346A"/>
    <w:rsid w:val="005F34F6"/>
    <w:rsid w:val="005F3FC5"/>
    <w:rsid w:val="005F4360"/>
    <w:rsid w:val="005F46DE"/>
    <w:rsid w:val="005F4A53"/>
    <w:rsid w:val="005F4B8B"/>
    <w:rsid w:val="005F5A36"/>
    <w:rsid w:val="005F5ABB"/>
    <w:rsid w:val="005F614D"/>
    <w:rsid w:val="005F63C5"/>
    <w:rsid w:val="005F66F1"/>
    <w:rsid w:val="005F6777"/>
    <w:rsid w:val="005F765D"/>
    <w:rsid w:val="005F76D9"/>
    <w:rsid w:val="0060039E"/>
    <w:rsid w:val="006004F0"/>
    <w:rsid w:val="0060059D"/>
    <w:rsid w:val="00600841"/>
    <w:rsid w:val="006009CD"/>
    <w:rsid w:val="00600F3B"/>
    <w:rsid w:val="00601764"/>
    <w:rsid w:val="00601803"/>
    <w:rsid w:val="00601944"/>
    <w:rsid w:val="00602414"/>
    <w:rsid w:val="006024FC"/>
    <w:rsid w:val="0060261E"/>
    <w:rsid w:val="00602A71"/>
    <w:rsid w:val="00603241"/>
    <w:rsid w:val="006038FE"/>
    <w:rsid w:val="00603D0B"/>
    <w:rsid w:val="0060499B"/>
    <w:rsid w:val="00604C11"/>
    <w:rsid w:val="006052B0"/>
    <w:rsid w:val="0060599C"/>
    <w:rsid w:val="00605B7E"/>
    <w:rsid w:val="0060630E"/>
    <w:rsid w:val="00606670"/>
    <w:rsid w:val="00606683"/>
    <w:rsid w:val="00606B6A"/>
    <w:rsid w:val="00606D13"/>
    <w:rsid w:val="00607663"/>
    <w:rsid w:val="00607685"/>
    <w:rsid w:val="00607F67"/>
    <w:rsid w:val="00610058"/>
    <w:rsid w:val="00610589"/>
    <w:rsid w:val="0061096A"/>
    <w:rsid w:val="00610C25"/>
    <w:rsid w:val="00610FD8"/>
    <w:rsid w:val="006110B1"/>
    <w:rsid w:val="00611E16"/>
    <w:rsid w:val="006125C5"/>
    <w:rsid w:val="00612762"/>
    <w:rsid w:val="00612D08"/>
    <w:rsid w:val="00612DC0"/>
    <w:rsid w:val="00613618"/>
    <w:rsid w:val="00613FE8"/>
    <w:rsid w:val="00614115"/>
    <w:rsid w:val="006141CA"/>
    <w:rsid w:val="00614763"/>
    <w:rsid w:val="006148C1"/>
    <w:rsid w:val="00614B0D"/>
    <w:rsid w:val="0061590F"/>
    <w:rsid w:val="00616DCF"/>
    <w:rsid w:val="00620970"/>
    <w:rsid w:val="00620DE5"/>
    <w:rsid w:val="00620E17"/>
    <w:rsid w:val="006210F3"/>
    <w:rsid w:val="006214EB"/>
    <w:rsid w:val="00621C8E"/>
    <w:rsid w:val="006224E1"/>
    <w:rsid w:val="0062264F"/>
    <w:rsid w:val="00623D1C"/>
    <w:rsid w:val="00623E10"/>
    <w:rsid w:val="0062428C"/>
    <w:rsid w:val="0062497D"/>
    <w:rsid w:val="00624CFF"/>
    <w:rsid w:val="00624F71"/>
    <w:rsid w:val="00625101"/>
    <w:rsid w:val="00625284"/>
    <w:rsid w:val="006252E5"/>
    <w:rsid w:val="00625312"/>
    <w:rsid w:val="00625337"/>
    <w:rsid w:val="00625977"/>
    <w:rsid w:val="00625AE6"/>
    <w:rsid w:val="00625E12"/>
    <w:rsid w:val="006269C0"/>
    <w:rsid w:val="006276CA"/>
    <w:rsid w:val="006277D3"/>
    <w:rsid w:val="00627FE9"/>
    <w:rsid w:val="00630088"/>
    <w:rsid w:val="00630336"/>
    <w:rsid w:val="00630433"/>
    <w:rsid w:val="00630857"/>
    <w:rsid w:val="006308E6"/>
    <w:rsid w:val="00630DDC"/>
    <w:rsid w:val="00631601"/>
    <w:rsid w:val="00631A8B"/>
    <w:rsid w:val="0063222E"/>
    <w:rsid w:val="00632253"/>
    <w:rsid w:val="00632676"/>
    <w:rsid w:val="00633551"/>
    <w:rsid w:val="0063383A"/>
    <w:rsid w:val="00633DAF"/>
    <w:rsid w:val="00633E77"/>
    <w:rsid w:val="00633F83"/>
    <w:rsid w:val="0063447A"/>
    <w:rsid w:val="00634E7B"/>
    <w:rsid w:val="00635B38"/>
    <w:rsid w:val="00635F60"/>
    <w:rsid w:val="006362EC"/>
    <w:rsid w:val="006365E6"/>
    <w:rsid w:val="00636E33"/>
    <w:rsid w:val="006403CD"/>
    <w:rsid w:val="00640D68"/>
    <w:rsid w:val="00640F45"/>
    <w:rsid w:val="00641804"/>
    <w:rsid w:val="00641A78"/>
    <w:rsid w:val="00641E68"/>
    <w:rsid w:val="006426EF"/>
    <w:rsid w:val="00642714"/>
    <w:rsid w:val="00643CC4"/>
    <w:rsid w:val="006443AD"/>
    <w:rsid w:val="00644855"/>
    <w:rsid w:val="00644AAD"/>
    <w:rsid w:val="006455CE"/>
    <w:rsid w:val="006469ED"/>
    <w:rsid w:val="00646DF6"/>
    <w:rsid w:val="00647D2A"/>
    <w:rsid w:val="006502D0"/>
    <w:rsid w:val="006508B1"/>
    <w:rsid w:val="006517A4"/>
    <w:rsid w:val="006517E5"/>
    <w:rsid w:val="006519D0"/>
    <w:rsid w:val="00651EC7"/>
    <w:rsid w:val="0065220A"/>
    <w:rsid w:val="0065268E"/>
    <w:rsid w:val="00652AAA"/>
    <w:rsid w:val="0065348A"/>
    <w:rsid w:val="00653DDF"/>
    <w:rsid w:val="006544E5"/>
    <w:rsid w:val="006548FC"/>
    <w:rsid w:val="00655841"/>
    <w:rsid w:val="006559D5"/>
    <w:rsid w:val="0065600F"/>
    <w:rsid w:val="0065609A"/>
    <w:rsid w:val="00656851"/>
    <w:rsid w:val="00656B7C"/>
    <w:rsid w:val="00657691"/>
    <w:rsid w:val="006576BA"/>
    <w:rsid w:val="00657749"/>
    <w:rsid w:val="00657872"/>
    <w:rsid w:val="00657A97"/>
    <w:rsid w:val="00657E9B"/>
    <w:rsid w:val="0066024A"/>
    <w:rsid w:val="00660815"/>
    <w:rsid w:val="00660BCD"/>
    <w:rsid w:val="006619A4"/>
    <w:rsid w:val="006634B9"/>
    <w:rsid w:val="0066363A"/>
    <w:rsid w:val="0066363F"/>
    <w:rsid w:val="00664B11"/>
    <w:rsid w:val="00665AED"/>
    <w:rsid w:val="00665C8A"/>
    <w:rsid w:val="00665FA6"/>
    <w:rsid w:val="00666417"/>
    <w:rsid w:val="00666814"/>
    <w:rsid w:val="006668D6"/>
    <w:rsid w:val="00666A41"/>
    <w:rsid w:val="00666B50"/>
    <w:rsid w:val="00667243"/>
    <w:rsid w:val="006701C7"/>
    <w:rsid w:val="00670B09"/>
    <w:rsid w:val="006713B3"/>
    <w:rsid w:val="0067155F"/>
    <w:rsid w:val="00672370"/>
    <w:rsid w:val="00672456"/>
    <w:rsid w:val="00672E50"/>
    <w:rsid w:val="0067340C"/>
    <w:rsid w:val="006735AB"/>
    <w:rsid w:val="006737B6"/>
    <w:rsid w:val="0067412A"/>
    <w:rsid w:val="00674190"/>
    <w:rsid w:val="00674199"/>
    <w:rsid w:val="00674865"/>
    <w:rsid w:val="006749F0"/>
    <w:rsid w:val="00674A82"/>
    <w:rsid w:val="006754E0"/>
    <w:rsid w:val="00675932"/>
    <w:rsid w:val="00675E3D"/>
    <w:rsid w:val="006760B1"/>
    <w:rsid w:val="00676150"/>
    <w:rsid w:val="0067679B"/>
    <w:rsid w:val="00676CF1"/>
    <w:rsid w:val="00677278"/>
    <w:rsid w:val="006800ED"/>
    <w:rsid w:val="00680A75"/>
    <w:rsid w:val="00680AB9"/>
    <w:rsid w:val="0068223D"/>
    <w:rsid w:val="006822DA"/>
    <w:rsid w:val="00682424"/>
    <w:rsid w:val="0068272F"/>
    <w:rsid w:val="006831E7"/>
    <w:rsid w:val="00683B64"/>
    <w:rsid w:val="00683C89"/>
    <w:rsid w:val="006842CB"/>
    <w:rsid w:val="00684A04"/>
    <w:rsid w:val="00684D63"/>
    <w:rsid w:val="00685269"/>
    <w:rsid w:val="00685ED3"/>
    <w:rsid w:val="0068642C"/>
    <w:rsid w:val="00687484"/>
    <w:rsid w:val="006875B0"/>
    <w:rsid w:val="00687847"/>
    <w:rsid w:val="00687BD4"/>
    <w:rsid w:val="00687E18"/>
    <w:rsid w:val="006905DE"/>
    <w:rsid w:val="00690B22"/>
    <w:rsid w:val="00690E9B"/>
    <w:rsid w:val="00691692"/>
    <w:rsid w:val="00691A5F"/>
    <w:rsid w:val="00692131"/>
    <w:rsid w:val="006923B4"/>
    <w:rsid w:val="00692418"/>
    <w:rsid w:val="00692656"/>
    <w:rsid w:val="00692833"/>
    <w:rsid w:val="00693C8A"/>
    <w:rsid w:val="00694090"/>
    <w:rsid w:val="006948EB"/>
    <w:rsid w:val="00694953"/>
    <w:rsid w:val="00694D15"/>
    <w:rsid w:val="00694E2E"/>
    <w:rsid w:val="006951E9"/>
    <w:rsid w:val="006952BD"/>
    <w:rsid w:val="0069537C"/>
    <w:rsid w:val="006958E7"/>
    <w:rsid w:val="00696542"/>
    <w:rsid w:val="00696EF0"/>
    <w:rsid w:val="00696F5A"/>
    <w:rsid w:val="0069700D"/>
    <w:rsid w:val="0069714F"/>
    <w:rsid w:val="00697296"/>
    <w:rsid w:val="006972D6"/>
    <w:rsid w:val="00697583"/>
    <w:rsid w:val="00697636"/>
    <w:rsid w:val="006A03C0"/>
    <w:rsid w:val="006A0510"/>
    <w:rsid w:val="006A0AE4"/>
    <w:rsid w:val="006A170B"/>
    <w:rsid w:val="006A1D9B"/>
    <w:rsid w:val="006A2063"/>
    <w:rsid w:val="006A2B6D"/>
    <w:rsid w:val="006A2D13"/>
    <w:rsid w:val="006A2D69"/>
    <w:rsid w:val="006A33A4"/>
    <w:rsid w:val="006A33CD"/>
    <w:rsid w:val="006A36BB"/>
    <w:rsid w:val="006A3833"/>
    <w:rsid w:val="006A38C8"/>
    <w:rsid w:val="006A3E6C"/>
    <w:rsid w:val="006A411A"/>
    <w:rsid w:val="006A443D"/>
    <w:rsid w:val="006A4500"/>
    <w:rsid w:val="006A4F46"/>
    <w:rsid w:val="006A5192"/>
    <w:rsid w:val="006A58F5"/>
    <w:rsid w:val="006A76B1"/>
    <w:rsid w:val="006A7853"/>
    <w:rsid w:val="006A78AD"/>
    <w:rsid w:val="006A7EC2"/>
    <w:rsid w:val="006B039E"/>
    <w:rsid w:val="006B0D28"/>
    <w:rsid w:val="006B0F72"/>
    <w:rsid w:val="006B0F97"/>
    <w:rsid w:val="006B14E1"/>
    <w:rsid w:val="006B1A4E"/>
    <w:rsid w:val="006B1C75"/>
    <w:rsid w:val="006B2B8D"/>
    <w:rsid w:val="006B2D7B"/>
    <w:rsid w:val="006B3716"/>
    <w:rsid w:val="006B3BFA"/>
    <w:rsid w:val="006B3C63"/>
    <w:rsid w:val="006B3F0A"/>
    <w:rsid w:val="006B4A68"/>
    <w:rsid w:val="006B5011"/>
    <w:rsid w:val="006B54D3"/>
    <w:rsid w:val="006B5F15"/>
    <w:rsid w:val="006B6692"/>
    <w:rsid w:val="006B6B12"/>
    <w:rsid w:val="006B7458"/>
    <w:rsid w:val="006B7D30"/>
    <w:rsid w:val="006C005F"/>
    <w:rsid w:val="006C0064"/>
    <w:rsid w:val="006C0427"/>
    <w:rsid w:val="006C082E"/>
    <w:rsid w:val="006C112C"/>
    <w:rsid w:val="006C16F6"/>
    <w:rsid w:val="006C18B8"/>
    <w:rsid w:val="006C1A62"/>
    <w:rsid w:val="006C1EB3"/>
    <w:rsid w:val="006C1F68"/>
    <w:rsid w:val="006C20D5"/>
    <w:rsid w:val="006C27BB"/>
    <w:rsid w:val="006C2B0C"/>
    <w:rsid w:val="006C3613"/>
    <w:rsid w:val="006C3861"/>
    <w:rsid w:val="006C3C2F"/>
    <w:rsid w:val="006C3C95"/>
    <w:rsid w:val="006C3FD8"/>
    <w:rsid w:val="006C4083"/>
    <w:rsid w:val="006C447D"/>
    <w:rsid w:val="006C5021"/>
    <w:rsid w:val="006C6059"/>
    <w:rsid w:val="006C60C9"/>
    <w:rsid w:val="006C6B42"/>
    <w:rsid w:val="006C6FEB"/>
    <w:rsid w:val="006D07CB"/>
    <w:rsid w:val="006D0E1A"/>
    <w:rsid w:val="006D0F35"/>
    <w:rsid w:val="006D1013"/>
    <w:rsid w:val="006D1DC1"/>
    <w:rsid w:val="006D2090"/>
    <w:rsid w:val="006D364F"/>
    <w:rsid w:val="006D3667"/>
    <w:rsid w:val="006D3C41"/>
    <w:rsid w:val="006D4588"/>
    <w:rsid w:val="006D4CFE"/>
    <w:rsid w:val="006D4DF9"/>
    <w:rsid w:val="006D4E7F"/>
    <w:rsid w:val="006D4FD7"/>
    <w:rsid w:val="006D57C0"/>
    <w:rsid w:val="006D5CCE"/>
    <w:rsid w:val="006D61EE"/>
    <w:rsid w:val="006D6A72"/>
    <w:rsid w:val="006D6CC2"/>
    <w:rsid w:val="006D7017"/>
    <w:rsid w:val="006D7899"/>
    <w:rsid w:val="006D78B8"/>
    <w:rsid w:val="006E112B"/>
    <w:rsid w:val="006E1281"/>
    <w:rsid w:val="006E12D4"/>
    <w:rsid w:val="006E1AB3"/>
    <w:rsid w:val="006E1DE2"/>
    <w:rsid w:val="006E1EA7"/>
    <w:rsid w:val="006E23B2"/>
    <w:rsid w:val="006E260A"/>
    <w:rsid w:val="006E2AAA"/>
    <w:rsid w:val="006E2AC1"/>
    <w:rsid w:val="006E3C14"/>
    <w:rsid w:val="006E42AF"/>
    <w:rsid w:val="006E4646"/>
    <w:rsid w:val="006E4722"/>
    <w:rsid w:val="006E5708"/>
    <w:rsid w:val="006E617E"/>
    <w:rsid w:val="006E64D4"/>
    <w:rsid w:val="006E6578"/>
    <w:rsid w:val="006E6858"/>
    <w:rsid w:val="006E70C3"/>
    <w:rsid w:val="006E7176"/>
    <w:rsid w:val="006E7B4C"/>
    <w:rsid w:val="006E7D8C"/>
    <w:rsid w:val="006E7E4A"/>
    <w:rsid w:val="006F0E05"/>
    <w:rsid w:val="006F0FFD"/>
    <w:rsid w:val="006F1125"/>
    <w:rsid w:val="006F14FA"/>
    <w:rsid w:val="006F1A07"/>
    <w:rsid w:val="006F1B06"/>
    <w:rsid w:val="006F22C8"/>
    <w:rsid w:val="006F2D40"/>
    <w:rsid w:val="006F4D54"/>
    <w:rsid w:val="006F58E3"/>
    <w:rsid w:val="006F633C"/>
    <w:rsid w:val="006F6894"/>
    <w:rsid w:val="006F6997"/>
    <w:rsid w:val="006F6CB8"/>
    <w:rsid w:val="006F6EDB"/>
    <w:rsid w:val="006F743E"/>
    <w:rsid w:val="006F772D"/>
    <w:rsid w:val="006F79B8"/>
    <w:rsid w:val="0070038A"/>
    <w:rsid w:val="0070179E"/>
    <w:rsid w:val="0070184F"/>
    <w:rsid w:val="007018D3"/>
    <w:rsid w:val="00701CE0"/>
    <w:rsid w:val="00701ED8"/>
    <w:rsid w:val="007020C1"/>
    <w:rsid w:val="007021E9"/>
    <w:rsid w:val="0070222D"/>
    <w:rsid w:val="00702350"/>
    <w:rsid w:val="00702760"/>
    <w:rsid w:val="007028D8"/>
    <w:rsid w:val="007028E6"/>
    <w:rsid w:val="007029E1"/>
    <w:rsid w:val="00703329"/>
    <w:rsid w:val="00703CB9"/>
    <w:rsid w:val="00703E55"/>
    <w:rsid w:val="00703F08"/>
    <w:rsid w:val="0070471A"/>
    <w:rsid w:val="00704C28"/>
    <w:rsid w:val="00705225"/>
    <w:rsid w:val="007052A6"/>
    <w:rsid w:val="0070531E"/>
    <w:rsid w:val="00705B3C"/>
    <w:rsid w:val="00705D43"/>
    <w:rsid w:val="00706786"/>
    <w:rsid w:val="00706EC8"/>
    <w:rsid w:val="007070CE"/>
    <w:rsid w:val="00707152"/>
    <w:rsid w:val="00710244"/>
    <w:rsid w:val="0071064E"/>
    <w:rsid w:val="0071102E"/>
    <w:rsid w:val="00711B1D"/>
    <w:rsid w:val="00711E43"/>
    <w:rsid w:val="00711F8A"/>
    <w:rsid w:val="007122F0"/>
    <w:rsid w:val="007123A2"/>
    <w:rsid w:val="007123CF"/>
    <w:rsid w:val="00712594"/>
    <w:rsid w:val="007134B0"/>
    <w:rsid w:val="00713527"/>
    <w:rsid w:val="00713629"/>
    <w:rsid w:val="0071372F"/>
    <w:rsid w:val="00713886"/>
    <w:rsid w:val="007145F4"/>
    <w:rsid w:val="00714F9B"/>
    <w:rsid w:val="007150B4"/>
    <w:rsid w:val="00715347"/>
    <w:rsid w:val="007160A9"/>
    <w:rsid w:val="00716911"/>
    <w:rsid w:val="00716AAD"/>
    <w:rsid w:val="00720052"/>
    <w:rsid w:val="0072074B"/>
    <w:rsid w:val="00720B56"/>
    <w:rsid w:val="00721626"/>
    <w:rsid w:val="007216CF"/>
    <w:rsid w:val="00721BC4"/>
    <w:rsid w:val="00721DDF"/>
    <w:rsid w:val="00722072"/>
    <w:rsid w:val="00722411"/>
    <w:rsid w:val="007224D3"/>
    <w:rsid w:val="00722756"/>
    <w:rsid w:val="007228F2"/>
    <w:rsid w:val="0072293A"/>
    <w:rsid w:val="00722DC6"/>
    <w:rsid w:val="007233EE"/>
    <w:rsid w:val="00723612"/>
    <w:rsid w:val="00724110"/>
    <w:rsid w:val="007243BB"/>
    <w:rsid w:val="007244E0"/>
    <w:rsid w:val="00724622"/>
    <w:rsid w:val="007251A8"/>
    <w:rsid w:val="007252D5"/>
    <w:rsid w:val="0072537B"/>
    <w:rsid w:val="007253D0"/>
    <w:rsid w:val="00725916"/>
    <w:rsid w:val="00725C9A"/>
    <w:rsid w:val="00725F39"/>
    <w:rsid w:val="007261EC"/>
    <w:rsid w:val="007266AD"/>
    <w:rsid w:val="007268C8"/>
    <w:rsid w:val="0072724B"/>
    <w:rsid w:val="00727658"/>
    <w:rsid w:val="00727736"/>
    <w:rsid w:val="0072774A"/>
    <w:rsid w:val="00727A57"/>
    <w:rsid w:val="0073016A"/>
    <w:rsid w:val="007304D9"/>
    <w:rsid w:val="00730FA7"/>
    <w:rsid w:val="00731217"/>
    <w:rsid w:val="007318B9"/>
    <w:rsid w:val="00732250"/>
    <w:rsid w:val="00732526"/>
    <w:rsid w:val="00733017"/>
    <w:rsid w:val="00734665"/>
    <w:rsid w:val="00734F4E"/>
    <w:rsid w:val="00735260"/>
    <w:rsid w:val="007358CF"/>
    <w:rsid w:val="00735F13"/>
    <w:rsid w:val="007360E1"/>
    <w:rsid w:val="00736945"/>
    <w:rsid w:val="00736D08"/>
    <w:rsid w:val="00736E00"/>
    <w:rsid w:val="0073706E"/>
    <w:rsid w:val="007373D1"/>
    <w:rsid w:val="0073789C"/>
    <w:rsid w:val="00737DCD"/>
    <w:rsid w:val="007406F6"/>
    <w:rsid w:val="007410D4"/>
    <w:rsid w:val="007416CE"/>
    <w:rsid w:val="00741A45"/>
    <w:rsid w:val="007422C1"/>
    <w:rsid w:val="007425B4"/>
    <w:rsid w:val="007429BD"/>
    <w:rsid w:val="00742F0C"/>
    <w:rsid w:val="00744265"/>
    <w:rsid w:val="00744911"/>
    <w:rsid w:val="00744D46"/>
    <w:rsid w:val="007456AF"/>
    <w:rsid w:val="007459D3"/>
    <w:rsid w:val="00746740"/>
    <w:rsid w:val="00746B7F"/>
    <w:rsid w:val="007470D5"/>
    <w:rsid w:val="00747564"/>
    <w:rsid w:val="00747706"/>
    <w:rsid w:val="0075011C"/>
    <w:rsid w:val="007501CB"/>
    <w:rsid w:val="0075033E"/>
    <w:rsid w:val="00750647"/>
    <w:rsid w:val="00751A99"/>
    <w:rsid w:val="00751C72"/>
    <w:rsid w:val="007527DF"/>
    <w:rsid w:val="0075299E"/>
    <w:rsid w:val="007533BF"/>
    <w:rsid w:val="00753FC1"/>
    <w:rsid w:val="00754524"/>
    <w:rsid w:val="007568FC"/>
    <w:rsid w:val="00756913"/>
    <w:rsid w:val="007569FD"/>
    <w:rsid w:val="00756E09"/>
    <w:rsid w:val="00757613"/>
    <w:rsid w:val="0076056E"/>
    <w:rsid w:val="007607B1"/>
    <w:rsid w:val="007611CD"/>
    <w:rsid w:val="00761849"/>
    <w:rsid w:val="007618B4"/>
    <w:rsid w:val="00761A90"/>
    <w:rsid w:val="00761B8B"/>
    <w:rsid w:val="00761D0F"/>
    <w:rsid w:val="00762621"/>
    <w:rsid w:val="00763150"/>
    <w:rsid w:val="0076417F"/>
    <w:rsid w:val="007648BB"/>
    <w:rsid w:val="00764FA3"/>
    <w:rsid w:val="007651CA"/>
    <w:rsid w:val="00765744"/>
    <w:rsid w:val="00765758"/>
    <w:rsid w:val="00765AE2"/>
    <w:rsid w:val="00765D2C"/>
    <w:rsid w:val="00765D96"/>
    <w:rsid w:val="00766312"/>
    <w:rsid w:val="00766CD3"/>
    <w:rsid w:val="00766DCE"/>
    <w:rsid w:val="00767251"/>
    <w:rsid w:val="00767493"/>
    <w:rsid w:val="00767A1F"/>
    <w:rsid w:val="00767CF9"/>
    <w:rsid w:val="00770022"/>
    <w:rsid w:val="007700AD"/>
    <w:rsid w:val="00770854"/>
    <w:rsid w:val="00770CE5"/>
    <w:rsid w:val="007711D7"/>
    <w:rsid w:val="007713DF"/>
    <w:rsid w:val="00771981"/>
    <w:rsid w:val="00771D27"/>
    <w:rsid w:val="00772640"/>
    <w:rsid w:val="0077322F"/>
    <w:rsid w:val="00773344"/>
    <w:rsid w:val="00773B10"/>
    <w:rsid w:val="00773DAC"/>
    <w:rsid w:val="007742FD"/>
    <w:rsid w:val="0077451B"/>
    <w:rsid w:val="007745D6"/>
    <w:rsid w:val="00774653"/>
    <w:rsid w:val="0077490C"/>
    <w:rsid w:val="00774CCA"/>
    <w:rsid w:val="00774D6C"/>
    <w:rsid w:val="00775617"/>
    <w:rsid w:val="00776A09"/>
    <w:rsid w:val="0077745B"/>
    <w:rsid w:val="00777B22"/>
    <w:rsid w:val="00777E51"/>
    <w:rsid w:val="007801AE"/>
    <w:rsid w:val="00780613"/>
    <w:rsid w:val="007806C9"/>
    <w:rsid w:val="00781A9F"/>
    <w:rsid w:val="00781E7F"/>
    <w:rsid w:val="00782066"/>
    <w:rsid w:val="00783310"/>
    <w:rsid w:val="00783431"/>
    <w:rsid w:val="0078354A"/>
    <w:rsid w:val="0078374F"/>
    <w:rsid w:val="00784580"/>
    <w:rsid w:val="00785121"/>
    <w:rsid w:val="0078533D"/>
    <w:rsid w:val="007859A8"/>
    <w:rsid w:val="0078795C"/>
    <w:rsid w:val="00787F38"/>
    <w:rsid w:val="00787F9C"/>
    <w:rsid w:val="00790429"/>
    <w:rsid w:val="00790646"/>
    <w:rsid w:val="00790A67"/>
    <w:rsid w:val="00790FD0"/>
    <w:rsid w:val="00791E28"/>
    <w:rsid w:val="00791F3C"/>
    <w:rsid w:val="007921A4"/>
    <w:rsid w:val="00792D3B"/>
    <w:rsid w:val="00793BBC"/>
    <w:rsid w:val="00793D0E"/>
    <w:rsid w:val="00794107"/>
    <w:rsid w:val="00794C5F"/>
    <w:rsid w:val="00795322"/>
    <w:rsid w:val="007953E5"/>
    <w:rsid w:val="0079543E"/>
    <w:rsid w:val="0079574C"/>
    <w:rsid w:val="0079599B"/>
    <w:rsid w:val="00795A5E"/>
    <w:rsid w:val="00795C38"/>
    <w:rsid w:val="00795F34"/>
    <w:rsid w:val="0079668D"/>
    <w:rsid w:val="00796D10"/>
    <w:rsid w:val="0079726A"/>
    <w:rsid w:val="0079728C"/>
    <w:rsid w:val="007973A5"/>
    <w:rsid w:val="007974BA"/>
    <w:rsid w:val="007A00AC"/>
    <w:rsid w:val="007A03FC"/>
    <w:rsid w:val="007A0961"/>
    <w:rsid w:val="007A0F76"/>
    <w:rsid w:val="007A1086"/>
    <w:rsid w:val="007A1F6E"/>
    <w:rsid w:val="007A22B3"/>
    <w:rsid w:val="007A2DD0"/>
    <w:rsid w:val="007A31C4"/>
    <w:rsid w:val="007A3295"/>
    <w:rsid w:val="007A3E83"/>
    <w:rsid w:val="007A49C0"/>
    <w:rsid w:val="007A4A6D"/>
    <w:rsid w:val="007A5215"/>
    <w:rsid w:val="007A53C2"/>
    <w:rsid w:val="007A5BC8"/>
    <w:rsid w:val="007A5D6F"/>
    <w:rsid w:val="007A62A5"/>
    <w:rsid w:val="007A6544"/>
    <w:rsid w:val="007A671D"/>
    <w:rsid w:val="007A7CC4"/>
    <w:rsid w:val="007A7EC4"/>
    <w:rsid w:val="007B07B5"/>
    <w:rsid w:val="007B09A3"/>
    <w:rsid w:val="007B0BDD"/>
    <w:rsid w:val="007B0D5C"/>
    <w:rsid w:val="007B1556"/>
    <w:rsid w:val="007B1735"/>
    <w:rsid w:val="007B20F9"/>
    <w:rsid w:val="007B2E67"/>
    <w:rsid w:val="007B32B3"/>
    <w:rsid w:val="007B35E3"/>
    <w:rsid w:val="007B3A29"/>
    <w:rsid w:val="007B3EDB"/>
    <w:rsid w:val="007B4008"/>
    <w:rsid w:val="007B42A6"/>
    <w:rsid w:val="007B45C0"/>
    <w:rsid w:val="007B48C5"/>
    <w:rsid w:val="007B4C9F"/>
    <w:rsid w:val="007B4F48"/>
    <w:rsid w:val="007B5E59"/>
    <w:rsid w:val="007B65FB"/>
    <w:rsid w:val="007B6954"/>
    <w:rsid w:val="007B7309"/>
    <w:rsid w:val="007B74F5"/>
    <w:rsid w:val="007B76F1"/>
    <w:rsid w:val="007B78C1"/>
    <w:rsid w:val="007B78FB"/>
    <w:rsid w:val="007B7E9C"/>
    <w:rsid w:val="007C031E"/>
    <w:rsid w:val="007C0E2B"/>
    <w:rsid w:val="007C12A2"/>
    <w:rsid w:val="007C18D8"/>
    <w:rsid w:val="007C1AB2"/>
    <w:rsid w:val="007C1F61"/>
    <w:rsid w:val="007C231E"/>
    <w:rsid w:val="007C2B5E"/>
    <w:rsid w:val="007C2C41"/>
    <w:rsid w:val="007C3662"/>
    <w:rsid w:val="007C37EC"/>
    <w:rsid w:val="007C3C88"/>
    <w:rsid w:val="007C3DB0"/>
    <w:rsid w:val="007C62AF"/>
    <w:rsid w:val="007C6EF2"/>
    <w:rsid w:val="007C74BF"/>
    <w:rsid w:val="007C765F"/>
    <w:rsid w:val="007C771C"/>
    <w:rsid w:val="007C7B79"/>
    <w:rsid w:val="007D02EA"/>
    <w:rsid w:val="007D0302"/>
    <w:rsid w:val="007D05CF"/>
    <w:rsid w:val="007D068C"/>
    <w:rsid w:val="007D0895"/>
    <w:rsid w:val="007D17F3"/>
    <w:rsid w:val="007D1B24"/>
    <w:rsid w:val="007D1BCF"/>
    <w:rsid w:val="007D1DAB"/>
    <w:rsid w:val="007D1DE6"/>
    <w:rsid w:val="007D214A"/>
    <w:rsid w:val="007D2C35"/>
    <w:rsid w:val="007D3A34"/>
    <w:rsid w:val="007D3CBA"/>
    <w:rsid w:val="007D3DF8"/>
    <w:rsid w:val="007D3F7C"/>
    <w:rsid w:val="007D4183"/>
    <w:rsid w:val="007D4D06"/>
    <w:rsid w:val="007D528C"/>
    <w:rsid w:val="007D55F0"/>
    <w:rsid w:val="007D68E2"/>
    <w:rsid w:val="007D75CF"/>
    <w:rsid w:val="007D75FC"/>
    <w:rsid w:val="007D7DA5"/>
    <w:rsid w:val="007E0440"/>
    <w:rsid w:val="007E082B"/>
    <w:rsid w:val="007E12F2"/>
    <w:rsid w:val="007E20A6"/>
    <w:rsid w:val="007E219B"/>
    <w:rsid w:val="007E22F2"/>
    <w:rsid w:val="007E37F7"/>
    <w:rsid w:val="007E48E4"/>
    <w:rsid w:val="007E547A"/>
    <w:rsid w:val="007E59C1"/>
    <w:rsid w:val="007E5A64"/>
    <w:rsid w:val="007E6599"/>
    <w:rsid w:val="007E6DC5"/>
    <w:rsid w:val="007E6F2B"/>
    <w:rsid w:val="007E72EA"/>
    <w:rsid w:val="007E77AC"/>
    <w:rsid w:val="007E782E"/>
    <w:rsid w:val="007E7D73"/>
    <w:rsid w:val="007F016D"/>
    <w:rsid w:val="007F03E8"/>
    <w:rsid w:val="007F066D"/>
    <w:rsid w:val="007F0828"/>
    <w:rsid w:val="007F0D3F"/>
    <w:rsid w:val="007F0E84"/>
    <w:rsid w:val="007F0EC2"/>
    <w:rsid w:val="007F13E1"/>
    <w:rsid w:val="007F1C61"/>
    <w:rsid w:val="007F1C9E"/>
    <w:rsid w:val="007F1E30"/>
    <w:rsid w:val="007F2D39"/>
    <w:rsid w:val="007F2E4C"/>
    <w:rsid w:val="007F3234"/>
    <w:rsid w:val="007F33BD"/>
    <w:rsid w:val="007F3842"/>
    <w:rsid w:val="007F3FB9"/>
    <w:rsid w:val="007F4776"/>
    <w:rsid w:val="007F4A06"/>
    <w:rsid w:val="007F4D82"/>
    <w:rsid w:val="007F4E93"/>
    <w:rsid w:val="007F53D6"/>
    <w:rsid w:val="007F5433"/>
    <w:rsid w:val="007F5E69"/>
    <w:rsid w:val="007F5ED6"/>
    <w:rsid w:val="007F619B"/>
    <w:rsid w:val="007F6AB6"/>
    <w:rsid w:val="007F6B4A"/>
    <w:rsid w:val="007F6E12"/>
    <w:rsid w:val="007F7512"/>
    <w:rsid w:val="007F7D02"/>
    <w:rsid w:val="007F7FC1"/>
    <w:rsid w:val="0080080C"/>
    <w:rsid w:val="00800D68"/>
    <w:rsid w:val="00801646"/>
    <w:rsid w:val="00801A0C"/>
    <w:rsid w:val="00801B35"/>
    <w:rsid w:val="0080208A"/>
    <w:rsid w:val="00802C1D"/>
    <w:rsid w:val="00802C87"/>
    <w:rsid w:val="008033B6"/>
    <w:rsid w:val="0080353E"/>
    <w:rsid w:val="00803733"/>
    <w:rsid w:val="00803953"/>
    <w:rsid w:val="0080514A"/>
    <w:rsid w:val="00805A60"/>
    <w:rsid w:val="008060B3"/>
    <w:rsid w:val="008061CE"/>
    <w:rsid w:val="00806AF4"/>
    <w:rsid w:val="00806D0E"/>
    <w:rsid w:val="0080708D"/>
    <w:rsid w:val="008073BD"/>
    <w:rsid w:val="008074E9"/>
    <w:rsid w:val="00807605"/>
    <w:rsid w:val="00810458"/>
    <w:rsid w:val="0081101B"/>
    <w:rsid w:val="00811243"/>
    <w:rsid w:val="0081179C"/>
    <w:rsid w:val="00811E53"/>
    <w:rsid w:val="00812897"/>
    <w:rsid w:val="0081294B"/>
    <w:rsid w:val="00812D65"/>
    <w:rsid w:val="0081353B"/>
    <w:rsid w:val="00813C9D"/>
    <w:rsid w:val="008140D2"/>
    <w:rsid w:val="0081480E"/>
    <w:rsid w:val="00815190"/>
    <w:rsid w:val="00815F48"/>
    <w:rsid w:val="008160E3"/>
    <w:rsid w:val="0081612D"/>
    <w:rsid w:val="00816304"/>
    <w:rsid w:val="00816E87"/>
    <w:rsid w:val="00816F8E"/>
    <w:rsid w:val="008202D7"/>
    <w:rsid w:val="008204EF"/>
    <w:rsid w:val="00820664"/>
    <w:rsid w:val="0082131C"/>
    <w:rsid w:val="0082132E"/>
    <w:rsid w:val="008214F7"/>
    <w:rsid w:val="00821785"/>
    <w:rsid w:val="0082194E"/>
    <w:rsid w:val="00821974"/>
    <w:rsid w:val="00821A3A"/>
    <w:rsid w:val="00821B67"/>
    <w:rsid w:val="008221F7"/>
    <w:rsid w:val="00822516"/>
    <w:rsid w:val="0082325F"/>
    <w:rsid w:val="00823BE8"/>
    <w:rsid w:val="00823EED"/>
    <w:rsid w:val="008242CF"/>
    <w:rsid w:val="0082441A"/>
    <w:rsid w:val="008244B9"/>
    <w:rsid w:val="00824757"/>
    <w:rsid w:val="00824C0C"/>
    <w:rsid w:val="00824CBF"/>
    <w:rsid w:val="0082581F"/>
    <w:rsid w:val="00826B64"/>
    <w:rsid w:val="00830119"/>
    <w:rsid w:val="008304EC"/>
    <w:rsid w:val="00830BBF"/>
    <w:rsid w:val="00830C06"/>
    <w:rsid w:val="00830E2B"/>
    <w:rsid w:val="0083127D"/>
    <w:rsid w:val="00831A4B"/>
    <w:rsid w:val="00831BE9"/>
    <w:rsid w:val="0083251A"/>
    <w:rsid w:val="0083279C"/>
    <w:rsid w:val="008329CD"/>
    <w:rsid w:val="00832F05"/>
    <w:rsid w:val="008330FE"/>
    <w:rsid w:val="00833F72"/>
    <w:rsid w:val="00834B64"/>
    <w:rsid w:val="00834BBB"/>
    <w:rsid w:val="00834C63"/>
    <w:rsid w:val="008352B3"/>
    <w:rsid w:val="00836147"/>
    <w:rsid w:val="00836349"/>
    <w:rsid w:val="00836602"/>
    <w:rsid w:val="00836648"/>
    <w:rsid w:val="00836DC0"/>
    <w:rsid w:val="00836FD0"/>
    <w:rsid w:val="00837CFA"/>
    <w:rsid w:val="00840114"/>
    <w:rsid w:val="0084048B"/>
    <w:rsid w:val="00840781"/>
    <w:rsid w:val="008409EC"/>
    <w:rsid w:val="00840F95"/>
    <w:rsid w:val="00840FAF"/>
    <w:rsid w:val="00841ACD"/>
    <w:rsid w:val="008424CB"/>
    <w:rsid w:val="00842921"/>
    <w:rsid w:val="00843D73"/>
    <w:rsid w:val="00843EAF"/>
    <w:rsid w:val="008448FC"/>
    <w:rsid w:val="00844BFC"/>
    <w:rsid w:val="00844FBA"/>
    <w:rsid w:val="008450F9"/>
    <w:rsid w:val="008456F1"/>
    <w:rsid w:val="00845A7B"/>
    <w:rsid w:val="00845BC1"/>
    <w:rsid w:val="00845C8D"/>
    <w:rsid w:val="0084600F"/>
    <w:rsid w:val="00846A14"/>
    <w:rsid w:val="00846B28"/>
    <w:rsid w:val="00846EFE"/>
    <w:rsid w:val="0084717A"/>
    <w:rsid w:val="0084792E"/>
    <w:rsid w:val="008501FD"/>
    <w:rsid w:val="00850D77"/>
    <w:rsid w:val="00850DD8"/>
    <w:rsid w:val="00850FF0"/>
    <w:rsid w:val="0085108D"/>
    <w:rsid w:val="0085112B"/>
    <w:rsid w:val="008512DC"/>
    <w:rsid w:val="008513EE"/>
    <w:rsid w:val="00851902"/>
    <w:rsid w:val="00851F19"/>
    <w:rsid w:val="00852098"/>
    <w:rsid w:val="0085211F"/>
    <w:rsid w:val="00852392"/>
    <w:rsid w:val="00852524"/>
    <w:rsid w:val="0085272A"/>
    <w:rsid w:val="00852D14"/>
    <w:rsid w:val="00853896"/>
    <w:rsid w:val="00854B8E"/>
    <w:rsid w:val="00855144"/>
    <w:rsid w:val="00855CCC"/>
    <w:rsid w:val="008563EA"/>
    <w:rsid w:val="008569ED"/>
    <w:rsid w:val="0085795F"/>
    <w:rsid w:val="00857B25"/>
    <w:rsid w:val="00860960"/>
    <w:rsid w:val="008609B0"/>
    <w:rsid w:val="008618B9"/>
    <w:rsid w:val="008618CE"/>
    <w:rsid w:val="00862876"/>
    <w:rsid w:val="00862C25"/>
    <w:rsid w:val="00863AB9"/>
    <w:rsid w:val="00863B6E"/>
    <w:rsid w:val="00863D7D"/>
    <w:rsid w:val="0086411C"/>
    <w:rsid w:val="008643C8"/>
    <w:rsid w:val="0086471F"/>
    <w:rsid w:val="008649B5"/>
    <w:rsid w:val="0086536A"/>
    <w:rsid w:val="008661F2"/>
    <w:rsid w:val="008668F7"/>
    <w:rsid w:val="008700BC"/>
    <w:rsid w:val="00870938"/>
    <w:rsid w:val="00870950"/>
    <w:rsid w:val="00870BC8"/>
    <w:rsid w:val="0087103D"/>
    <w:rsid w:val="008711D6"/>
    <w:rsid w:val="008712D5"/>
    <w:rsid w:val="00871391"/>
    <w:rsid w:val="00871BA1"/>
    <w:rsid w:val="008722EB"/>
    <w:rsid w:val="008723F9"/>
    <w:rsid w:val="0087354B"/>
    <w:rsid w:val="0087403D"/>
    <w:rsid w:val="008748EC"/>
    <w:rsid w:val="00875031"/>
    <w:rsid w:val="0087591C"/>
    <w:rsid w:val="00875EBD"/>
    <w:rsid w:val="008764FA"/>
    <w:rsid w:val="00876A96"/>
    <w:rsid w:val="00876CDA"/>
    <w:rsid w:val="00876F83"/>
    <w:rsid w:val="0087746B"/>
    <w:rsid w:val="0087751D"/>
    <w:rsid w:val="0087794A"/>
    <w:rsid w:val="00877B84"/>
    <w:rsid w:val="00880037"/>
    <w:rsid w:val="0088009A"/>
    <w:rsid w:val="0088043C"/>
    <w:rsid w:val="00880A91"/>
    <w:rsid w:val="0088164B"/>
    <w:rsid w:val="0088171E"/>
    <w:rsid w:val="00881C9D"/>
    <w:rsid w:val="00882C40"/>
    <w:rsid w:val="00883FBB"/>
    <w:rsid w:val="0088421C"/>
    <w:rsid w:val="0088428D"/>
    <w:rsid w:val="008847C3"/>
    <w:rsid w:val="00884889"/>
    <w:rsid w:val="00884952"/>
    <w:rsid w:val="00884EC9"/>
    <w:rsid w:val="00885322"/>
    <w:rsid w:val="00885783"/>
    <w:rsid w:val="00885810"/>
    <w:rsid w:val="008864A1"/>
    <w:rsid w:val="0088695F"/>
    <w:rsid w:val="00887BC5"/>
    <w:rsid w:val="00887CAF"/>
    <w:rsid w:val="00887F9A"/>
    <w:rsid w:val="008904EB"/>
    <w:rsid w:val="008906C9"/>
    <w:rsid w:val="008907BA"/>
    <w:rsid w:val="008911FF"/>
    <w:rsid w:val="0089142B"/>
    <w:rsid w:val="00891B62"/>
    <w:rsid w:val="00892AF0"/>
    <w:rsid w:val="00892B07"/>
    <w:rsid w:val="00892EFC"/>
    <w:rsid w:val="00893059"/>
    <w:rsid w:val="00893077"/>
    <w:rsid w:val="008936F8"/>
    <w:rsid w:val="008938BB"/>
    <w:rsid w:val="00893BAE"/>
    <w:rsid w:val="008948B5"/>
    <w:rsid w:val="0089563E"/>
    <w:rsid w:val="00895902"/>
    <w:rsid w:val="00895D0F"/>
    <w:rsid w:val="00896DCC"/>
    <w:rsid w:val="008973AB"/>
    <w:rsid w:val="00897DEA"/>
    <w:rsid w:val="008A01C0"/>
    <w:rsid w:val="008A04E3"/>
    <w:rsid w:val="008A1ACE"/>
    <w:rsid w:val="008A2158"/>
    <w:rsid w:val="008A2BB3"/>
    <w:rsid w:val="008A2FE0"/>
    <w:rsid w:val="008A318A"/>
    <w:rsid w:val="008A334F"/>
    <w:rsid w:val="008A3610"/>
    <w:rsid w:val="008A3A5F"/>
    <w:rsid w:val="008A3BAC"/>
    <w:rsid w:val="008A40CF"/>
    <w:rsid w:val="008A4AC2"/>
    <w:rsid w:val="008A5837"/>
    <w:rsid w:val="008A5C5A"/>
    <w:rsid w:val="008A5C8B"/>
    <w:rsid w:val="008A5CBA"/>
    <w:rsid w:val="008A629E"/>
    <w:rsid w:val="008A62EE"/>
    <w:rsid w:val="008A6309"/>
    <w:rsid w:val="008A6ACA"/>
    <w:rsid w:val="008A78CB"/>
    <w:rsid w:val="008A7B3E"/>
    <w:rsid w:val="008A7DE6"/>
    <w:rsid w:val="008B002E"/>
    <w:rsid w:val="008B005E"/>
    <w:rsid w:val="008B01ED"/>
    <w:rsid w:val="008B05EA"/>
    <w:rsid w:val="008B0E13"/>
    <w:rsid w:val="008B0F16"/>
    <w:rsid w:val="008B10A8"/>
    <w:rsid w:val="008B13EF"/>
    <w:rsid w:val="008B13F5"/>
    <w:rsid w:val="008B2360"/>
    <w:rsid w:val="008B2B14"/>
    <w:rsid w:val="008B3536"/>
    <w:rsid w:val="008B3E81"/>
    <w:rsid w:val="008B42D6"/>
    <w:rsid w:val="008B444F"/>
    <w:rsid w:val="008B451F"/>
    <w:rsid w:val="008B4CDC"/>
    <w:rsid w:val="008B4DE8"/>
    <w:rsid w:val="008B5026"/>
    <w:rsid w:val="008B530C"/>
    <w:rsid w:val="008B5751"/>
    <w:rsid w:val="008B622D"/>
    <w:rsid w:val="008B6284"/>
    <w:rsid w:val="008B6355"/>
    <w:rsid w:val="008B63DB"/>
    <w:rsid w:val="008B656F"/>
    <w:rsid w:val="008B6FED"/>
    <w:rsid w:val="008B7053"/>
    <w:rsid w:val="008B73E9"/>
    <w:rsid w:val="008B7490"/>
    <w:rsid w:val="008B7BFA"/>
    <w:rsid w:val="008B7E57"/>
    <w:rsid w:val="008C048B"/>
    <w:rsid w:val="008C065E"/>
    <w:rsid w:val="008C07E3"/>
    <w:rsid w:val="008C1B86"/>
    <w:rsid w:val="008C200A"/>
    <w:rsid w:val="008C2F6A"/>
    <w:rsid w:val="008C304C"/>
    <w:rsid w:val="008C31B2"/>
    <w:rsid w:val="008C38EF"/>
    <w:rsid w:val="008C44BE"/>
    <w:rsid w:val="008C45DF"/>
    <w:rsid w:val="008C50EB"/>
    <w:rsid w:val="008C50F2"/>
    <w:rsid w:val="008C5181"/>
    <w:rsid w:val="008C530E"/>
    <w:rsid w:val="008C572D"/>
    <w:rsid w:val="008C5738"/>
    <w:rsid w:val="008C71A8"/>
    <w:rsid w:val="008C77DE"/>
    <w:rsid w:val="008C7A52"/>
    <w:rsid w:val="008D04F0"/>
    <w:rsid w:val="008D0767"/>
    <w:rsid w:val="008D0F96"/>
    <w:rsid w:val="008D12FB"/>
    <w:rsid w:val="008D1F12"/>
    <w:rsid w:val="008D1F36"/>
    <w:rsid w:val="008D20B5"/>
    <w:rsid w:val="008D223A"/>
    <w:rsid w:val="008D225F"/>
    <w:rsid w:val="008D234A"/>
    <w:rsid w:val="008D241E"/>
    <w:rsid w:val="008D39A1"/>
    <w:rsid w:val="008D3EB8"/>
    <w:rsid w:val="008D40DC"/>
    <w:rsid w:val="008D45FD"/>
    <w:rsid w:val="008D53A2"/>
    <w:rsid w:val="008D5AAA"/>
    <w:rsid w:val="008D5F2B"/>
    <w:rsid w:val="008D635C"/>
    <w:rsid w:val="008D695B"/>
    <w:rsid w:val="008D70BE"/>
    <w:rsid w:val="008D7288"/>
    <w:rsid w:val="008D7DAC"/>
    <w:rsid w:val="008E0067"/>
    <w:rsid w:val="008E04B6"/>
    <w:rsid w:val="008E0862"/>
    <w:rsid w:val="008E16E4"/>
    <w:rsid w:val="008E19BA"/>
    <w:rsid w:val="008E1D09"/>
    <w:rsid w:val="008E1EB4"/>
    <w:rsid w:val="008E25AA"/>
    <w:rsid w:val="008E2D69"/>
    <w:rsid w:val="008E3BE7"/>
    <w:rsid w:val="008E3D7B"/>
    <w:rsid w:val="008E3EA2"/>
    <w:rsid w:val="008E4597"/>
    <w:rsid w:val="008E4A2D"/>
    <w:rsid w:val="008E5CE5"/>
    <w:rsid w:val="008E5CFA"/>
    <w:rsid w:val="008E5DB7"/>
    <w:rsid w:val="008E5E95"/>
    <w:rsid w:val="008E66B8"/>
    <w:rsid w:val="008E73DE"/>
    <w:rsid w:val="008E7FB5"/>
    <w:rsid w:val="008F17A2"/>
    <w:rsid w:val="008F20C6"/>
    <w:rsid w:val="008F22DC"/>
    <w:rsid w:val="008F2970"/>
    <w:rsid w:val="008F2F48"/>
    <w:rsid w:val="008F3500"/>
    <w:rsid w:val="008F3892"/>
    <w:rsid w:val="008F3E17"/>
    <w:rsid w:val="008F43F1"/>
    <w:rsid w:val="008F4E1D"/>
    <w:rsid w:val="008F4E3A"/>
    <w:rsid w:val="008F6063"/>
    <w:rsid w:val="008F6525"/>
    <w:rsid w:val="008F67C2"/>
    <w:rsid w:val="008F704A"/>
    <w:rsid w:val="008F7525"/>
    <w:rsid w:val="008F760C"/>
    <w:rsid w:val="008F7789"/>
    <w:rsid w:val="00900B45"/>
    <w:rsid w:val="00900B97"/>
    <w:rsid w:val="00900D72"/>
    <w:rsid w:val="00900E9E"/>
    <w:rsid w:val="00901654"/>
    <w:rsid w:val="0090204C"/>
    <w:rsid w:val="00902449"/>
    <w:rsid w:val="00903080"/>
    <w:rsid w:val="009030F2"/>
    <w:rsid w:val="009033D7"/>
    <w:rsid w:val="009039D9"/>
    <w:rsid w:val="009041F4"/>
    <w:rsid w:val="009048D7"/>
    <w:rsid w:val="00905BD4"/>
    <w:rsid w:val="00905C06"/>
    <w:rsid w:val="00905CEE"/>
    <w:rsid w:val="00906B25"/>
    <w:rsid w:val="00906BC9"/>
    <w:rsid w:val="00907230"/>
    <w:rsid w:val="0090759D"/>
    <w:rsid w:val="009075F3"/>
    <w:rsid w:val="009107E0"/>
    <w:rsid w:val="009109EA"/>
    <w:rsid w:val="009112EC"/>
    <w:rsid w:val="00911E88"/>
    <w:rsid w:val="00911EA4"/>
    <w:rsid w:val="009120AB"/>
    <w:rsid w:val="00913744"/>
    <w:rsid w:val="00913ADD"/>
    <w:rsid w:val="00913E78"/>
    <w:rsid w:val="00913EBE"/>
    <w:rsid w:val="00914239"/>
    <w:rsid w:val="00915512"/>
    <w:rsid w:val="00915751"/>
    <w:rsid w:val="009159B0"/>
    <w:rsid w:val="00915A7F"/>
    <w:rsid w:val="00915A8B"/>
    <w:rsid w:val="0091699B"/>
    <w:rsid w:val="00916C8E"/>
    <w:rsid w:val="00916F4A"/>
    <w:rsid w:val="00917BB3"/>
    <w:rsid w:val="009204B8"/>
    <w:rsid w:val="00921477"/>
    <w:rsid w:val="009218BF"/>
    <w:rsid w:val="0092214E"/>
    <w:rsid w:val="00922180"/>
    <w:rsid w:val="00922426"/>
    <w:rsid w:val="009228EB"/>
    <w:rsid w:val="00922BCC"/>
    <w:rsid w:val="00923C34"/>
    <w:rsid w:val="00923DA6"/>
    <w:rsid w:val="00923F47"/>
    <w:rsid w:val="009240F1"/>
    <w:rsid w:val="00924225"/>
    <w:rsid w:val="0092431B"/>
    <w:rsid w:val="009246EF"/>
    <w:rsid w:val="0092477D"/>
    <w:rsid w:val="0092493D"/>
    <w:rsid w:val="00924B60"/>
    <w:rsid w:val="00924E3C"/>
    <w:rsid w:val="00925594"/>
    <w:rsid w:val="00925EE3"/>
    <w:rsid w:val="009263F7"/>
    <w:rsid w:val="009273E3"/>
    <w:rsid w:val="009275C0"/>
    <w:rsid w:val="00927FEB"/>
    <w:rsid w:val="00930250"/>
    <w:rsid w:val="009308EB"/>
    <w:rsid w:val="00930D17"/>
    <w:rsid w:val="00930E94"/>
    <w:rsid w:val="00931267"/>
    <w:rsid w:val="009313BF"/>
    <w:rsid w:val="00931E3B"/>
    <w:rsid w:val="00932370"/>
    <w:rsid w:val="00932833"/>
    <w:rsid w:val="0093304F"/>
    <w:rsid w:val="00933107"/>
    <w:rsid w:val="00933F43"/>
    <w:rsid w:val="009340D3"/>
    <w:rsid w:val="00934B0E"/>
    <w:rsid w:val="00934C09"/>
    <w:rsid w:val="00934CBD"/>
    <w:rsid w:val="009355CE"/>
    <w:rsid w:val="009364C5"/>
    <w:rsid w:val="0093655C"/>
    <w:rsid w:val="00936821"/>
    <w:rsid w:val="00936E23"/>
    <w:rsid w:val="00936EBB"/>
    <w:rsid w:val="0093788B"/>
    <w:rsid w:val="00937C2E"/>
    <w:rsid w:val="00937D02"/>
    <w:rsid w:val="00940760"/>
    <w:rsid w:val="00940A8C"/>
    <w:rsid w:val="00940F86"/>
    <w:rsid w:val="009426E1"/>
    <w:rsid w:val="0094290C"/>
    <w:rsid w:val="00942C1A"/>
    <w:rsid w:val="00942F27"/>
    <w:rsid w:val="009434EF"/>
    <w:rsid w:val="009441BA"/>
    <w:rsid w:val="00944599"/>
    <w:rsid w:val="0094460F"/>
    <w:rsid w:val="009447A3"/>
    <w:rsid w:val="00944BA3"/>
    <w:rsid w:val="009458EA"/>
    <w:rsid w:val="00945AEE"/>
    <w:rsid w:val="00945CC0"/>
    <w:rsid w:val="009466D3"/>
    <w:rsid w:val="00946F5E"/>
    <w:rsid w:val="009475A0"/>
    <w:rsid w:val="009475CA"/>
    <w:rsid w:val="00947763"/>
    <w:rsid w:val="0094788B"/>
    <w:rsid w:val="00947A6C"/>
    <w:rsid w:val="00947A76"/>
    <w:rsid w:val="00947F99"/>
    <w:rsid w:val="009502E0"/>
    <w:rsid w:val="009503B5"/>
    <w:rsid w:val="00950C22"/>
    <w:rsid w:val="00950DC9"/>
    <w:rsid w:val="00950FCF"/>
    <w:rsid w:val="00951146"/>
    <w:rsid w:val="00952A75"/>
    <w:rsid w:val="00952FDE"/>
    <w:rsid w:val="009541FF"/>
    <w:rsid w:val="009546C2"/>
    <w:rsid w:val="00954EA8"/>
    <w:rsid w:val="00956B81"/>
    <w:rsid w:val="009573DF"/>
    <w:rsid w:val="0095777C"/>
    <w:rsid w:val="00957D71"/>
    <w:rsid w:val="009610E6"/>
    <w:rsid w:val="009611BF"/>
    <w:rsid w:val="009612BB"/>
    <w:rsid w:val="009619C9"/>
    <w:rsid w:val="00961A86"/>
    <w:rsid w:val="009620CE"/>
    <w:rsid w:val="00962287"/>
    <w:rsid w:val="009626E7"/>
    <w:rsid w:val="00962968"/>
    <w:rsid w:val="00962A0B"/>
    <w:rsid w:val="00962A31"/>
    <w:rsid w:val="00962ACF"/>
    <w:rsid w:val="00962CD3"/>
    <w:rsid w:val="00962DED"/>
    <w:rsid w:val="00962E97"/>
    <w:rsid w:val="009638E7"/>
    <w:rsid w:val="00963ED8"/>
    <w:rsid w:val="00964523"/>
    <w:rsid w:val="0096479D"/>
    <w:rsid w:val="00964939"/>
    <w:rsid w:val="00964E09"/>
    <w:rsid w:val="0096573D"/>
    <w:rsid w:val="009662DD"/>
    <w:rsid w:val="009667C7"/>
    <w:rsid w:val="009669EB"/>
    <w:rsid w:val="00966A44"/>
    <w:rsid w:val="00966BC5"/>
    <w:rsid w:val="009677D7"/>
    <w:rsid w:val="0097041B"/>
    <w:rsid w:val="0097060D"/>
    <w:rsid w:val="00970663"/>
    <w:rsid w:val="0097082C"/>
    <w:rsid w:val="009709E2"/>
    <w:rsid w:val="00970CF3"/>
    <w:rsid w:val="00970D73"/>
    <w:rsid w:val="00971C5D"/>
    <w:rsid w:val="0097279D"/>
    <w:rsid w:val="00972D3C"/>
    <w:rsid w:val="00972F1E"/>
    <w:rsid w:val="009735B2"/>
    <w:rsid w:val="0097372B"/>
    <w:rsid w:val="00973AF2"/>
    <w:rsid w:val="00973BE8"/>
    <w:rsid w:val="00973EE5"/>
    <w:rsid w:val="009744A2"/>
    <w:rsid w:val="0097484A"/>
    <w:rsid w:val="009749A6"/>
    <w:rsid w:val="009765D1"/>
    <w:rsid w:val="00976CE0"/>
    <w:rsid w:val="00976EBE"/>
    <w:rsid w:val="0097776F"/>
    <w:rsid w:val="00977914"/>
    <w:rsid w:val="00977A96"/>
    <w:rsid w:val="00977B26"/>
    <w:rsid w:val="00977E38"/>
    <w:rsid w:val="009808D7"/>
    <w:rsid w:val="00980A98"/>
    <w:rsid w:val="00980C9E"/>
    <w:rsid w:val="00980F08"/>
    <w:rsid w:val="00981243"/>
    <w:rsid w:val="00981587"/>
    <w:rsid w:val="00981EC0"/>
    <w:rsid w:val="009825C4"/>
    <w:rsid w:val="009829F3"/>
    <w:rsid w:val="00983702"/>
    <w:rsid w:val="0098399C"/>
    <w:rsid w:val="00983A93"/>
    <w:rsid w:val="00984E86"/>
    <w:rsid w:val="00985098"/>
    <w:rsid w:val="0098561C"/>
    <w:rsid w:val="009856EE"/>
    <w:rsid w:val="00985E57"/>
    <w:rsid w:val="009862DB"/>
    <w:rsid w:val="00986773"/>
    <w:rsid w:val="00986A66"/>
    <w:rsid w:val="00986BF1"/>
    <w:rsid w:val="00986BF6"/>
    <w:rsid w:val="009871C6"/>
    <w:rsid w:val="00990389"/>
    <w:rsid w:val="00990CC6"/>
    <w:rsid w:val="00991035"/>
    <w:rsid w:val="0099131F"/>
    <w:rsid w:val="0099148A"/>
    <w:rsid w:val="009914B0"/>
    <w:rsid w:val="00992175"/>
    <w:rsid w:val="00992684"/>
    <w:rsid w:val="009927A5"/>
    <w:rsid w:val="00992C07"/>
    <w:rsid w:val="00992CD0"/>
    <w:rsid w:val="00993936"/>
    <w:rsid w:val="00993EC1"/>
    <w:rsid w:val="0099488B"/>
    <w:rsid w:val="009948B8"/>
    <w:rsid w:val="00994C12"/>
    <w:rsid w:val="00994D57"/>
    <w:rsid w:val="009957F9"/>
    <w:rsid w:val="0099652B"/>
    <w:rsid w:val="009972BF"/>
    <w:rsid w:val="00997CFE"/>
    <w:rsid w:val="009A00CB"/>
    <w:rsid w:val="009A0222"/>
    <w:rsid w:val="009A07C9"/>
    <w:rsid w:val="009A0E9D"/>
    <w:rsid w:val="009A0EA1"/>
    <w:rsid w:val="009A1B01"/>
    <w:rsid w:val="009A1E90"/>
    <w:rsid w:val="009A201D"/>
    <w:rsid w:val="009A2280"/>
    <w:rsid w:val="009A35DF"/>
    <w:rsid w:val="009A3CD9"/>
    <w:rsid w:val="009A41E9"/>
    <w:rsid w:val="009A5293"/>
    <w:rsid w:val="009A58F5"/>
    <w:rsid w:val="009A5B2B"/>
    <w:rsid w:val="009A6ADF"/>
    <w:rsid w:val="009A6E6F"/>
    <w:rsid w:val="009A713F"/>
    <w:rsid w:val="009A76F3"/>
    <w:rsid w:val="009A78CF"/>
    <w:rsid w:val="009A7E67"/>
    <w:rsid w:val="009B07D1"/>
    <w:rsid w:val="009B112B"/>
    <w:rsid w:val="009B1DD3"/>
    <w:rsid w:val="009B1E64"/>
    <w:rsid w:val="009B2BEF"/>
    <w:rsid w:val="009B2F69"/>
    <w:rsid w:val="009B39A0"/>
    <w:rsid w:val="009B3BB0"/>
    <w:rsid w:val="009B4358"/>
    <w:rsid w:val="009B543C"/>
    <w:rsid w:val="009B58D2"/>
    <w:rsid w:val="009B5BE5"/>
    <w:rsid w:val="009B5CC3"/>
    <w:rsid w:val="009B61AE"/>
    <w:rsid w:val="009B77E7"/>
    <w:rsid w:val="009B78B5"/>
    <w:rsid w:val="009B7A9E"/>
    <w:rsid w:val="009C0102"/>
    <w:rsid w:val="009C0809"/>
    <w:rsid w:val="009C093F"/>
    <w:rsid w:val="009C0CCD"/>
    <w:rsid w:val="009C13AD"/>
    <w:rsid w:val="009C1401"/>
    <w:rsid w:val="009C28B6"/>
    <w:rsid w:val="009C3674"/>
    <w:rsid w:val="009C382F"/>
    <w:rsid w:val="009C398A"/>
    <w:rsid w:val="009C44E7"/>
    <w:rsid w:val="009C4FA5"/>
    <w:rsid w:val="009C5291"/>
    <w:rsid w:val="009C56CA"/>
    <w:rsid w:val="009C5C52"/>
    <w:rsid w:val="009C6E5B"/>
    <w:rsid w:val="009C740A"/>
    <w:rsid w:val="009C7888"/>
    <w:rsid w:val="009D0241"/>
    <w:rsid w:val="009D0D91"/>
    <w:rsid w:val="009D0EE4"/>
    <w:rsid w:val="009D1383"/>
    <w:rsid w:val="009D169B"/>
    <w:rsid w:val="009D19BF"/>
    <w:rsid w:val="009D210A"/>
    <w:rsid w:val="009D216E"/>
    <w:rsid w:val="009D2DB5"/>
    <w:rsid w:val="009D3EFB"/>
    <w:rsid w:val="009D40D7"/>
    <w:rsid w:val="009D4D50"/>
    <w:rsid w:val="009D507B"/>
    <w:rsid w:val="009D53A2"/>
    <w:rsid w:val="009D550E"/>
    <w:rsid w:val="009D5969"/>
    <w:rsid w:val="009D613D"/>
    <w:rsid w:val="009D6589"/>
    <w:rsid w:val="009D65AD"/>
    <w:rsid w:val="009D6626"/>
    <w:rsid w:val="009E07FC"/>
    <w:rsid w:val="009E0971"/>
    <w:rsid w:val="009E0987"/>
    <w:rsid w:val="009E1CEA"/>
    <w:rsid w:val="009E1F03"/>
    <w:rsid w:val="009E1FF9"/>
    <w:rsid w:val="009E2878"/>
    <w:rsid w:val="009E2AC4"/>
    <w:rsid w:val="009E2B90"/>
    <w:rsid w:val="009E2F74"/>
    <w:rsid w:val="009E2FC5"/>
    <w:rsid w:val="009E30B3"/>
    <w:rsid w:val="009E3714"/>
    <w:rsid w:val="009E4EE7"/>
    <w:rsid w:val="009E503C"/>
    <w:rsid w:val="009E594D"/>
    <w:rsid w:val="009E668B"/>
    <w:rsid w:val="009E6EF2"/>
    <w:rsid w:val="009E71F0"/>
    <w:rsid w:val="009E7FA2"/>
    <w:rsid w:val="009F0925"/>
    <w:rsid w:val="009F0B7C"/>
    <w:rsid w:val="009F0C81"/>
    <w:rsid w:val="009F1188"/>
    <w:rsid w:val="009F12BF"/>
    <w:rsid w:val="009F1508"/>
    <w:rsid w:val="009F16F9"/>
    <w:rsid w:val="009F1724"/>
    <w:rsid w:val="009F1AD4"/>
    <w:rsid w:val="009F1C55"/>
    <w:rsid w:val="009F2561"/>
    <w:rsid w:val="009F2B68"/>
    <w:rsid w:val="009F329C"/>
    <w:rsid w:val="009F37B7"/>
    <w:rsid w:val="009F3A49"/>
    <w:rsid w:val="009F3E90"/>
    <w:rsid w:val="009F4697"/>
    <w:rsid w:val="009F4744"/>
    <w:rsid w:val="009F510C"/>
    <w:rsid w:val="009F525F"/>
    <w:rsid w:val="009F5293"/>
    <w:rsid w:val="009F5ABD"/>
    <w:rsid w:val="009F65B3"/>
    <w:rsid w:val="009F6698"/>
    <w:rsid w:val="009F6BC6"/>
    <w:rsid w:val="009F74F1"/>
    <w:rsid w:val="009F779F"/>
    <w:rsid w:val="009F7940"/>
    <w:rsid w:val="00A0040F"/>
    <w:rsid w:val="00A00460"/>
    <w:rsid w:val="00A0057A"/>
    <w:rsid w:val="00A007E9"/>
    <w:rsid w:val="00A01931"/>
    <w:rsid w:val="00A01BF4"/>
    <w:rsid w:val="00A0280A"/>
    <w:rsid w:val="00A02DE7"/>
    <w:rsid w:val="00A04067"/>
    <w:rsid w:val="00A044A0"/>
    <w:rsid w:val="00A046AD"/>
    <w:rsid w:val="00A04826"/>
    <w:rsid w:val="00A04B41"/>
    <w:rsid w:val="00A05441"/>
    <w:rsid w:val="00A057CB"/>
    <w:rsid w:val="00A05B84"/>
    <w:rsid w:val="00A05CE6"/>
    <w:rsid w:val="00A06A8E"/>
    <w:rsid w:val="00A06E0A"/>
    <w:rsid w:val="00A06E0B"/>
    <w:rsid w:val="00A0723D"/>
    <w:rsid w:val="00A0738B"/>
    <w:rsid w:val="00A073CF"/>
    <w:rsid w:val="00A075C0"/>
    <w:rsid w:val="00A1036A"/>
    <w:rsid w:val="00A104AD"/>
    <w:rsid w:val="00A10E34"/>
    <w:rsid w:val="00A10F71"/>
    <w:rsid w:val="00A111E9"/>
    <w:rsid w:val="00A11DD7"/>
    <w:rsid w:val="00A11EB9"/>
    <w:rsid w:val="00A120A6"/>
    <w:rsid w:val="00A125C5"/>
    <w:rsid w:val="00A127B1"/>
    <w:rsid w:val="00A12F13"/>
    <w:rsid w:val="00A135EB"/>
    <w:rsid w:val="00A144D5"/>
    <w:rsid w:val="00A151D0"/>
    <w:rsid w:val="00A1537F"/>
    <w:rsid w:val="00A15408"/>
    <w:rsid w:val="00A15D80"/>
    <w:rsid w:val="00A15DB1"/>
    <w:rsid w:val="00A16476"/>
    <w:rsid w:val="00A16669"/>
    <w:rsid w:val="00A16D9D"/>
    <w:rsid w:val="00A17180"/>
    <w:rsid w:val="00A171E0"/>
    <w:rsid w:val="00A1732A"/>
    <w:rsid w:val="00A176D1"/>
    <w:rsid w:val="00A17EDC"/>
    <w:rsid w:val="00A17EE2"/>
    <w:rsid w:val="00A211D8"/>
    <w:rsid w:val="00A21A78"/>
    <w:rsid w:val="00A22677"/>
    <w:rsid w:val="00A22BBD"/>
    <w:rsid w:val="00A22D74"/>
    <w:rsid w:val="00A236EE"/>
    <w:rsid w:val="00A2395D"/>
    <w:rsid w:val="00A23B55"/>
    <w:rsid w:val="00A242FD"/>
    <w:rsid w:val="00A24377"/>
    <w:rsid w:val="00A2451C"/>
    <w:rsid w:val="00A24B0C"/>
    <w:rsid w:val="00A24B52"/>
    <w:rsid w:val="00A252A4"/>
    <w:rsid w:val="00A25D7C"/>
    <w:rsid w:val="00A25FB1"/>
    <w:rsid w:val="00A2618B"/>
    <w:rsid w:val="00A26238"/>
    <w:rsid w:val="00A2651E"/>
    <w:rsid w:val="00A26CFB"/>
    <w:rsid w:val="00A30E44"/>
    <w:rsid w:val="00A31267"/>
    <w:rsid w:val="00A3149E"/>
    <w:rsid w:val="00A3282F"/>
    <w:rsid w:val="00A32EFD"/>
    <w:rsid w:val="00A330B9"/>
    <w:rsid w:val="00A33BA1"/>
    <w:rsid w:val="00A34685"/>
    <w:rsid w:val="00A35714"/>
    <w:rsid w:val="00A357F2"/>
    <w:rsid w:val="00A357F8"/>
    <w:rsid w:val="00A35948"/>
    <w:rsid w:val="00A364E8"/>
    <w:rsid w:val="00A37482"/>
    <w:rsid w:val="00A374F9"/>
    <w:rsid w:val="00A37508"/>
    <w:rsid w:val="00A40321"/>
    <w:rsid w:val="00A4034D"/>
    <w:rsid w:val="00A41FC0"/>
    <w:rsid w:val="00A424F1"/>
    <w:rsid w:val="00A4273D"/>
    <w:rsid w:val="00A4362F"/>
    <w:rsid w:val="00A43E11"/>
    <w:rsid w:val="00A44770"/>
    <w:rsid w:val="00A457F6"/>
    <w:rsid w:val="00A45940"/>
    <w:rsid w:val="00A45A00"/>
    <w:rsid w:val="00A45B9B"/>
    <w:rsid w:val="00A45FC8"/>
    <w:rsid w:val="00A46453"/>
    <w:rsid w:val="00A468AD"/>
    <w:rsid w:val="00A4743A"/>
    <w:rsid w:val="00A50248"/>
    <w:rsid w:val="00A508A2"/>
    <w:rsid w:val="00A50C3C"/>
    <w:rsid w:val="00A50C6E"/>
    <w:rsid w:val="00A51181"/>
    <w:rsid w:val="00A5165D"/>
    <w:rsid w:val="00A51C5B"/>
    <w:rsid w:val="00A51EDB"/>
    <w:rsid w:val="00A523FA"/>
    <w:rsid w:val="00A52AC8"/>
    <w:rsid w:val="00A538C7"/>
    <w:rsid w:val="00A53F75"/>
    <w:rsid w:val="00A5437F"/>
    <w:rsid w:val="00A54A57"/>
    <w:rsid w:val="00A54F82"/>
    <w:rsid w:val="00A54FB0"/>
    <w:rsid w:val="00A56603"/>
    <w:rsid w:val="00A567F1"/>
    <w:rsid w:val="00A56B91"/>
    <w:rsid w:val="00A56CFC"/>
    <w:rsid w:val="00A56E67"/>
    <w:rsid w:val="00A57132"/>
    <w:rsid w:val="00A57492"/>
    <w:rsid w:val="00A579D8"/>
    <w:rsid w:val="00A60433"/>
    <w:rsid w:val="00A60B8B"/>
    <w:rsid w:val="00A60EEF"/>
    <w:rsid w:val="00A60FA2"/>
    <w:rsid w:val="00A610CE"/>
    <w:rsid w:val="00A61298"/>
    <w:rsid w:val="00A61ED8"/>
    <w:rsid w:val="00A62038"/>
    <w:rsid w:val="00A6366D"/>
    <w:rsid w:val="00A63D77"/>
    <w:rsid w:val="00A65A6D"/>
    <w:rsid w:val="00A65EE7"/>
    <w:rsid w:val="00A6654D"/>
    <w:rsid w:val="00A679A2"/>
    <w:rsid w:val="00A67B5F"/>
    <w:rsid w:val="00A67D16"/>
    <w:rsid w:val="00A70133"/>
    <w:rsid w:val="00A7052E"/>
    <w:rsid w:val="00A70789"/>
    <w:rsid w:val="00A70B67"/>
    <w:rsid w:val="00A7139C"/>
    <w:rsid w:val="00A71C63"/>
    <w:rsid w:val="00A71F1B"/>
    <w:rsid w:val="00A72351"/>
    <w:rsid w:val="00A7294E"/>
    <w:rsid w:val="00A72C59"/>
    <w:rsid w:val="00A72FED"/>
    <w:rsid w:val="00A7319F"/>
    <w:rsid w:val="00A736F9"/>
    <w:rsid w:val="00A739A4"/>
    <w:rsid w:val="00A73B12"/>
    <w:rsid w:val="00A73E29"/>
    <w:rsid w:val="00A74514"/>
    <w:rsid w:val="00A7461D"/>
    <w:rsid w:val="00A74828"/>
    <w:rsid w:val="00A74A25"/>
    <w:rsid w:val="00A74D8D"/>
    <w:rsid w:val="00A74E36"/>
    <w:rsid w:val="00A754FC"/>
    <w:rsid w:val="00A75A20"/>
    <w:rsid w:val="00A76333"/>
    <w:rsid w:val="00A770A6"/>
    <w:rsid w:val="00A771CB"/>
    <w:rsid w:val="00A77510"/>
    <w:rsid w:val="00A775B2"/>
    <w:rsid w:val="00A776E8"/>
    <w:rsid w:val="00A77729"/>
    <w:rsid w:val="00A77893"/>
    <w:rsid w:val="00A77901"/>
    <w:rsid w:val="00A77CAA"/>
    <w:rsid w:val="00A77EAC"/>
    <w:rsid w:val="00A77EE2"/>
    <w:rsid w:val="00A8027C"/>
    <w:rsid w:val="00A806B7"/>
    <w:rsid w:val="00A80782"/>
    <w:rsid w:val="00A80BAD"/>
    <w:rsid w:val="00A81012"/>
    <w:rsid w:val="00A810B3"/>
    <w:rsid w:val="00A813B1"/>
    <w:rsid w:val="00A8151E"/>
    <w:rsid w:val="00A81FF0"/>
    <w:rsid w:val="00A82187"/>
    <w:rsid w:val="00A821C2"/>
    <w:rsid w:val="00A82916"/>
    <w:rsid w:val="00A832D8"/>
    <w:rsid w:val="00A83C2E"/>
    <w:rsid w:val="00A83C88"/>
    <w:rsid w:val="00A83EE9"/>
    <w:rsid w:val="00A8428C"/>
    <w:rsid w:val="00A84F1D"/>
    <w:rsid w:val="00A850AF"/>
    <w:rsid w:val="00A85234"/>
    <w:rsid w:val="00A8528B"/>
    <w:rsid w:val="00A8534E"/>
    <w:rsid w:val="00A855C1"/>
    <w:rsid w:val="00A857ED"/>
    <w:rsid w:val="00A857FE"/>
    <w:rsid w:val="00A85870"/>
    <w:rsid w:val="00A859EC"/>
    <w:rsid w:val="00A85A24"/>
    <w:rsid w:val="00A864D7"/>
    <w:rsid w:val="00A867A2"/>
    <w:rsid w:val="00A86F14"/>
    <w:rsid w:val="00A86FB9"/>
    <w:rsid w:val="00A87BD9"/>
    <w:rsid w:val="00A87C2B"/>
    <w:rsid w:val="00A87C78"/>
    <w:rsid w:val="00A9006C"/>
    <w:rsid w:val="00A911A5"/>
    <w:rsid w:val="00A918F3"/>
    <w:rsid w:val="00A91DC2"/>
    <w:rsid w:val="00A91DEE"/>
    <w:rsid w:val="00A91F58"/>
    <w:rsid w:val="00A92034"/>
    <w:rsid w:val="00A921AF"/>
    <w:rsid w:val="00A9248B"/>
    <w:rsid w:val="00A92B3B"/>
    <w:rsid w:val="00A92E92"/>
    <w:rsid w:val="00A935B3"/>
    <w:rsid w:val="00A9366C"/>
    <w:rsid w:val="00A9381C"/>
    <w:rsid w:val="00A94FE2"/>
    <w:rsid w:val="00A95524"/>
    <w:rsid w:val="00A9678D"/>
    <w:rsid w:val="00A968AC"/>
    <w:rsid w:val="00A96C87"/>
    <w:rsid w:val="00A9732D"/>
    <w:rsid w:val="00A97843"/>
    <w:rsid w:val="00A97A0C"/>
    <w:rsid w:val="00A97BA3"/>
    <w:rsid w:val="00AA0353"/>
    <w:rsid w:val="00AA0B0F"/>
    <w:rsid w:val="00AA14F6"/>
    <w:rsid w:val="00AA19B6"/>
    <w:rsid w:val="00AA1CF4"/>
    <w:rsid w:val="00AA1E3F"/>
    <w:rsid w:val="00AA2404"/>
    <w:rsid w:val="00AA240E"/>
    <w:rsid w:val="00AA2B8C"/>
    <w:rsid w:val="00AA3398"/>
    <w:rsid w:val="00AA3429"/>
    <w:rsid w:val="00AA3712"/>
    <w:rsid w:val="00AA3888"/>
    <w:rsid w:val="00AA3A08"/>
    <w:rsid w:val="00AA3A3D"/>
    <w:rsid w:val="00AA3BF6"/>
    <w:rsid w:val="00AA46CC"/>
    <w:rsid w:val="00AA4F08"/>
    <w:rsid w:val="00AA4FCF"/>
    <w:rsid w:val="00AA5050"/>
    <w:rsid w:val="00AA58E9"/>
    <w:rsid w:val="00AA6090"/>
    <w:rsid w:val="00AA60CA"/>
    <w:rsid w:val="00AA63A9"/>
    <w:rsid w:val="00AA6B18"/>
    <w:rsid w:val="00AB00D7"/>
    <w:rsid w:val="00AB051C"/>
    <w:rsid w:val="00AB189C"/>
    <w:rsid w:val="00AB2733"/>
    <w:rsid w:val="00AB31AF"/>
    <w:rsid w:val="00AB32EB"/>
    <w:rsid w:val="00AB3346"/>
    <w:rsid w:val="00AB34E5"/>
    <w:rsid w:val="00AB36C4"/>
    <w:rsid w:val="00AB376A"/>
    <w:rsid w:val="00AB3A86"/>
    <w:rsid w:val="00AB4330"/>
    <w:rsid w:val="00AB4E0E"/>
    <w:rsid w:val="00AB4E70"/>
    <w:rsid w:val="00AB4ECA"/>
    <w:rsid w:val="00AB5239"/>
    <w:rsid w:val="00AB5371"/>
    <w:rsid w:val="00AB5703"/>
    <w:rsid w:val="00AB59C5"/>
    <w:rsid w:val="00AB5C80"/>
    <w:rsid w:val="00AB5CFC"/>
    <w:rsid w:val="00AB5E41"/>
    <w:rsid w:val="00AB6CE9"/>
    <w:rsid w:val="00AB6DF6"/>
    <w:rsid w:val="00AB751C"/>
    <w:rsid w:val="00AB7B18"/>
    <w:rsid w:val="00AB7E13"/>
    <w:rsid w:val="00AB7F50"/>
    <w:rsid w:val="00AC0427"/>
    <w:rsid w:val="00AC0A9A"/>
    <w:rsid w:val="00AC0F7B"/>
    <w:rsid w:val="00AC0F8F"/>
    <w:rsid w:val="00AC14B8"/>
    <w:rsid w:val="00AC1C95"/>
    <w:rsid w:val="00AC1D9C"/>
    <w:rsid w:val="00AC2BA8"/>
    <w:rsid w:val="00AC2EE0"/>
    <w:rsid w:val="00AC2F72"/>
    <w:rsid w:val="00AC3224"/>
    <w:rsid w:val="00AC32B2"/>
    <w:rsid w:val="00AC330D"/>
    <w:rsid w:val="00AC3A45"/>
    <w:rsid w:val="00AC426D"/>
    <w:rsid w:val="00AC4D8F"/>
    <w:rsid w:val="00AC508C"/>
    <w:rsid w:val="00AC50A8"/>
    <w:rsid w:val="00AC5644"/>
    <w:rsid w:val="00AC5A44"/>
    <w:rsid w:val="00AC63D3"/>
    <w:rsid w:val="00AC6F5B"/>
    <w:rsid w:val="00AC7307"/>
    <w:rsid w:val="00AC7467"/>
    <w:rsid w:val="00AC786C"/>
    <w:rsid w:val="00AC7BBE"/>
    <w:rsid w:val="00AC7C21"/>
    <w:rsid w:val="00AC7C4E"/>
    <w:rsid w:val="00AD06E6"/>
    <w:rsid w:val="00AD0955"/>
    <w:rsid w:val="00AD09B1"/>
    <w:rsid w:val="00AD09BF"/>
    <w:rsid w:val="00AD0BCE"/>
    <w:rsid w:val="00AD17EC"/>
    <w:rsid w:val="00AD1CE2"/>
    <w:rsid w:val="00AD2035"/>
    <w:rsid w:val="00AD20B8"/>
    <w:rsid w:val="00AD221C"/>
    <w:rsid w:val="00AD27B5"/>
    <w:rsid w:val="00AD28FD"/>
    <w:rsid w:val="00AD2E73"/>
    <w:rsid w:val="00AD336F"/>
    <w:rsid w:val="00AD364A"/>
    <w:rsid w:val="00AD3A0A"/>
    <w:rsid w:val="00AD3BE3"/>
    <w:rsid w:val="00AD3FFE"/>
    <w:rsid w:val="00AD4651"/>
    <w:rsid w:val="00AD47C0"/>
    <w:rsid w:val="00AD5CE0"/>
    <w:rsid w:val="00AD6EE9"/>
    <w:rsid w:val="00AD7252"/>
    <w:rsid w:val="00AD75FB"/>
    <w:rsid w:val="00AE06BC"/>
    <w:rsid w:val="00AE0FA2"/>
    <w:rsid w:val="00AE1037"/>
    <w:rsid w:val="00AE10E4"/>
    <w:rsid w:val="00AE1309"/>
    <w:rsid w:val="00AE1781"/>
    <w:rsid w:val="00AE19AA"/>
    <w:rsid w:val="00AE1A81"/>
    <w:rsid w:val="00AE2356"/>
    <w:rsid w:val="00AE37AF"/>
    <w:rsid w:val="00AE3806"/>
    <w:rsid w:val="00AE4410"/>
    <w:rsid w:val="00AE4579"/>
    <w:rsid w:val="00AE5D76"/>
    <w:rsid w:val="00AE61D3"/>
    <w:rsid w:val="00AE718D"/>
    <w:rsid w:val="00AE724A"/>
    <w:rsid w:val="00AE724B"/>
    <w:rsid w:val="00AE7317"/>
    <w:rsid w:val="00AE7938"/>
    <w:rsid w:val="00AE7A12"/>
    <w:rsid w:val="00AF04C7"/>
    <w:rsid w:val="00AF05C4"/>
    <w:rsid w:val="00AF05F9"/>
    <w:rsid w:val="00AF0D89"/>
    <w:rsid w:val="00AF129A"/>
    <w:rsid w:val="00AF164D"/>
    <w:rsid w:val="00AF19FF"/>
    <w:rsid w:val="00AF1B3D"/>
    <w:rsid w:val="00AF3310"/>
    <w:rsid w:val="00AF3559"/>
    <w:rsid w:val="00AF3ECA"/>
    <w:rsid w:val="00AF4768"/>
    <w:rsid w:val="00AF55E8"/>
    <w:rsid w:val="00AF5D2F"/>
    <w:rsid w:val="00AF5DB4"/>
    <w:rsid w:val="00AF5FEC"/>
    <w:rsid w:val="00AF6997"/>
    <w:rsid w:val="00AF728B"/>
    <w:rsid w:val="00AF7666"/>
    <w:rsid w:val="00AF7B3A"/>
    <w:rsid w:val="00B00695"/>
    <w:rsid w:val="00B00E34"/>
    <w:rsid w:val="00B011F1"/>
    <w:rsid w:val="00B01778"/>
    <w:rsid w:val="00B02269"/>
    <w:rsid w:val="00B022F0"/>
    <w:rsid w:val="00B02750"/>
    <w:rsid w:val="00B02B22"/>
    <w:rsid w:val="00B02CA5"/>
    <w:rsid w:val="00B03D46"/>
    <w:rsid w:val="00B03DD5"/>
    <w:rsid w:val="00B03E9A"/>
    <w:rsid w:val="00B03F10"/>
    <w:rsid w:val="00B05272"/>
    <w:rsid w:val="00B05C4C"/>
    <w:rsid w:val="00B06093"/>
    <w:rsid w:val="00B065ED"/>
    <w:rsid w:val="00B069AA"/>
    <w:rsid w:val="00B06D43"/>
    <w:rsid w:val="00B06E69"/>
    <w:rsid w:val="00B06F7D"/>
    <w:rsid w:val="00B075AD"/>
    <w:rsid w:val="00B105A0"/>
    <w:rsid w:val="00B11ECE"/>
    <w:rsid w:val="00B1230B"/>
    <w:rsid w:val="00B12632"/>
    <w:rsid w:val="00B13F36"/>
    <w:rsid w:val="00B1437E"/>
    <w:rsid w:val="00B145B1"/>
    <w:rsid w:val="00B14FDC"/>
    <w:rsid w:val="00B154AE"/>
    <w:rsid w:val="00B15D45"/>
    <w:rsid w:val="00B15D54"/>
    <w:rsid w:val="00B16208"/>
    <w:rsid w:val="00B16BF2"/>
    <w:rsid w:val="00B16E65"/>
    <w:rsid w:val="00B17141"/>
    <w:rsid w:val="00B17160"/>
    <w:rsid w:val="00B17223"/>
    <w:rsid w:val="00B17452"/>
    <w:rsid w:val="00B17889"/>
    <w:rsid w:val="00B20010"/>
    <w:rsid w:val="00B200CA"/>
    <w:rsid w:val="00B20727"/>
    <w:rsid w:val="00B20C3E"/>
    <w:rsid w:val="00B2116D"/>
    <w:rsid w:val="00B213F4"/>
    <w:rsid w:val="00B21516"/>
    <w:rsid w:val="00B2212B"/>
    <w:rsid w:val="00B226D3"/>
    <w:rsid w:val="00B2272E"/>
    <w:rsid w:val="00B23E6E"/>
    <w:rsid w:val="00B23F2F"/>
    <w:rsid w:val="00B240A0"/>
    <w:rsid w:val="00B242B7"/>
    <w:rsid w:val="00B244AC"/>
    <w:rsid w:val="00B250A3"/>
    <w:rsid w:val="00B25284"/>
    <w:rsid w:val="00B255D1"/>
    <w:rsid w:val="00B259B2"/>
    <w:rsid w:val="00B25D06"/>
    <w:rsid w:val="00B26E48"/>
    <w:rsid w:val="00B26EEC"/>
    <w:rsid w:val="00B2720F"/>
    <w:rsid w:val="00B27430"/>
    <w:rsid w:val="00B274D9"/>
    <w:rsid w:val="00B30279"/>
    <w:rsid w:val="00B310F2"/>
    <w:rsid w:val="00B31575"/>
    <w:rsid w:val="00B32234"/>
    <w:rsid w:val="00B32271"/>
    <w:rsid w:val="00B32E25"/>
    <w:rsid w:val="00B339CC"/>
    <w:rsid w:val="00B33D2B"/>
    <w:rsid w:val="00B340AA"/>
    <w:rsid w:val="00B3500B"/>
    <w:rsid w:val="00B35048"/>
    <w:rsid w:val="00B35570"/>
    <w:rsid w:val="00B35C3E"/>
    <w:rsid w:val="00B35F57"/>
    <w:rsid w:val="00B37CAD"/>
    <w:rsid w:val="00B37DDF"/>
    <w:rsid w:val="00B37E67"/>
    <w:rsid w:val="00B405D0"/>
    <w:rsid w:val="00B41109"/>
    <w:rsid w:val="00B41115"/>
    <w:rsid w:val="00B413D3"/>
    <w:rsid w:val="00B41FA9"/>
    <w:rsid w:val="00B42011"/>
    <w:rsid w:val="00B42527"/>
    <w:rsid w:val="00B427F4"/>
    <w:rsid w:val="00B4289A"/>
    <w:rsid w:val="00B42A8E"/>
    <w:rsid w:val="00B431C6"/>
    <w:rsid w:val="00B445D6"/>
    <w:rsid w:val="00B445F4"/>
    <w:rsid w:val="00B45016"/>
    <w:rsid w:val="00B45086"/>
    <w:rsid w:val="00B45A90"/>
    <w:rsid w:val="00B45B4C"/>
    <w:rsid w:val="00B45D44"/>
    <w:rsid w:val="00B4623C"/>
    <w:rsid w:val="00B469E9"/>
    <w:rsid w:val="00B47B0D"/>
    <w:rsid w:val="00B47B70"/>
    <w:rsid w:val="00B5028E"/>
    <w:rsid w:val="00B50457"/>
    <w:rsid w:val="00B50669"/>
    <w:rsid w:val="00B50A57"/>
    <w:rsid w:val="00B50DE1"/>
    <w:rsid w:val="00B520EE"/>
    <w:rsid w:val="00B52815"/>
    <w:rsid w:val="00B52C25"/>
    <w:rsid w:val="00B53268"/>
    <w:rsid w:val="00B537AF"/>
    <w:rsid w:val="00B53B62"/>
    <w:rsid w:val="00B542CF"/>
    <w:rsid w:val="00B54AB0"/>
    <w:rsid w:val="00B54D74"/>
    <w:rsid w:val="00B54EFD"/>
    <w:rsid w:val="00B559BD"/>
    <w:rsid w:val="00B5603B"/>
    <w:rsid w:val="00B570DB"/>
    <w:rsid w:val="00B57A06"/>
    <w:rsid w:val="00B57A14"/>
    <w:rsid w:val="00B57C18"/>
    <w:rsid w:val="00B60131"/>
    <w:rsid w:val="00B60BD2"/>
    <w:rsid w:val="00B61044"/>
    <w:rsid w:val="00B61424"/>
    <w:rsid w:val="00B6178A"/>
    <w:rsid w:val="00B61C6E"/>
    <w:rsid w:val="00B61CDC"/>
    <w:rsid w:val="00B6247A"/>
    <w:rsid w:val="00B6294B"/>
    <w:rsid w:val="00B63C00"/>
    <w:rsid w:val="00B64C42"/>
    <w:rsid w:val="00B64CAC"/>
    <w:rsid w:val="00B651C4"/>
    <w:rsid w:val="00B6583D"/>
    <w:rsid w:val="00B6591C"/>
    <w:rsid w:val="00B65BE2"/>
    <w:rsid w:val="00B66B21"/>
    <w:rsid w:val="00B66D0A"/>
    <w:rsid w:val="00B679B8"/>
    <w:rsid w:val="00B67C81"/>
    <w:rsid w:val="00B70166"/>
    <w:rsid w:val="00B7017B"/>
    <w:rsid w:val="00B70E32"/>
    <w:rsid w:val="00B71B89"/>
    <w:rsid w:val="00B71B8C"/>
    <w:rsid w:val="00B71CF2"/>
    <w:rsid w:val="00B71EEC"/>
    <w:rsid w:val="00B7263C"/>
    <w:rsid w:val="00B72AF8"/>
    <w:rsid w:val="00B73150"/>
    <w:rsid w:val="00B738FF"/>
    <w:rsid w:val="00B73F6E"/>
    <w:rsid w:val="00B7465F"/>
    <w:rsid w:val="00B74B8B"/>
    <w:rsid w:val="00B74D38"/>
    <w:rsid w:val="00B74F5A"/>
    <w:rsid w:val="00B74FF0"/>
    <w:rsid w:val="00B7506E"/>
    <w:rsid w:val="00B7536E"/>
    <w:rsid w:val="00B7542D"/>
    <w:rsid w:val="00B755A3"/>
    <w:rsid w:val="00B7566C"/>
    <w:rsid w:val="00B759F2"/>
    <w:rsid w:val="00B76175"/>
    <w:rsid w:val="00B76A1B"/>
    <w:rsid w:val="00B76C1A"/>
    <w:rsid w:val="00B76FD5"/>
    <w:rsid w:val="00B77E77"/>
    <w:rsid w:val="00B80352"/>
    <w:rsid w:val="00B8079F"/>
    <w:rsid w:val="00B80BBC"/>
    <w:rsid w:val="00B80CFF"/>
    <w:rsid w:val="00B80D3F"/>
    <w:rsid w:val="00B80D56"/>
    <w:rsid w:val="00B819DC"/>
    <w:rsid w:val="00B83066"/>
    <w:rsid w:val="00B832E2"/>
    <w:rsid w:val="00B83402"/>
    <w:rsid w:val="00B8365E"/>
    <w:rsid w:val="00B84334"/>
    <w:rsid w:val="00B84FAA"/>
    <w:rsid w:val="00B850D6"/>
    <w:rsid w:val="00B8547D"/>
    <w:rsid w:val="00B85896"/>
    <w:rsid w:val="00B85A91"/>
    <w:rsid w:val="00B85DF3"/>
    <w:rsid w:val="00B85EB3"/>
    <w:rsid w:val="00B86BEF"/>
    <w:rsid w:val="00B875FA"/>
    <w:rsid w:val="00B90197"/>
    <w:rsid w:val="00B905C3"/>
    <w:rsid w:val="00B9063E"/>
    <w:rsid w:val="00B909B8"/>
    <w:rsid w:val="00B90EB9"/>
    <w:rsid w:val="00B90FDA"/>
    <w:rsid w:val="00B9140F"/>
    <w:rsid w:val="00B91474"/>
    <w:rsid w:val="00B918CC"/>
    <w:rsid w:val="00B91C0E"/>
    <w:rsid w:val="00B91EFE"/>
    <w:rsid w:val="00B91FEE"/>
    <w:rsid w:val="00B92985"/>
    <w:rsid w:val="00B92A5E"/>
    <w:rsid w:val="00B92AB6"/>
    <w:rsid w:val="00B92BEB"/>
    <w:rsid w:val="00B92D23"/>
    <w:rsid w:val="00B92D24"/>
    <w:rsid w:val="00B93484"/>
    <w:rsid w:val="00B93488"/>
    <w:rsid w:val="00B938AF"/>
    <w:rsid w:val="00B93E8A"/>
    <w:rsid w:val="00B93ED1"/>
    <w:rsid w:val="00B94100"/>
    <w:rsid w:val="00B95350"/>
    <w:rsid w:val="00B95AD8"/>
    <w:rsid w:val="00B95F4F"/>
    <w:rsid w:val="00B95FE9"/>
    <w:rsid w:val="00B96622"/>
    <w:rsid w:val="00B96E17"/>
    <w:rsid w:val="00B974BB"/>
    <w:rsid w:val="00B97D04"/>
    <w:rsid w:val="00BA0416"/>
    <w:rsid w:val="00BA08B9"/>
    <w:rsid w:val="00BA0BA2"/>
    <w:rsid w:val="00BA1357"/>
    <w:rsid w:val="00BA13D3"/>
    <w:rsid w:val="00BA17E1"/>
    <w:rsid w:val="00BA2C93"/>
    <w:rsid w:val="00BA2EBF"/>
    <w:rsid w:val="00BA30F4"/>
    <w:rsid w:val="00BA3BEE"/>
    <w:rsid w:val="00BA47F5"/>
    <w:rsid w:val="00BA4CAF"/>
    <w:rsid w:val="00BA515D"/>
    <w:rsid w:val="00BA53C9"/>
    <w:rsid w:val="00BA544B"/>
    <w:rsid w:val="00BA5538"/>
    <w:rsid w:val="00BA55F0"/>
    <w:rsid w:val="00BA5B82"/>
    <w:rsid w:val="00BA5C8E"/>
    <w:rsid w:val="00BA5E93"/>
    <w:rsid w:val="00BA66B6"/>
    <w:rsid w:val="00BA6E69"/>
    <w:rsid w:val="00BA7FC0"/>
    <w:rsid w:val="00BB0328"/>
    <w:rsid w:val="00BB0CD4"/>
    <w:rsid w:val="00BB0E1F"/>
    <w:rsid w:val="00BB0E2D"/>
    <w:rsid w:val="00BB0FC3"/>
    <w:rsid w:val="00BB1807"/>
    <w:rsid w:val="00BB1938"/>
    <w:rsid w:val="00BB2080"/>
    <w:rsid w:val="00BB2436"/>
    <w:rsid w:val="00BB27F5"/>
    <w:rsid w:val="00BB34C3"/>
    <w:rsid w:val="00BB37E7"/>
    <w:rsid w:val="00BB4827"/>
    <w:rsid w:val="00BB4CA1"/>
    <w:rsid w:val="00BB4DC2"/>
    <w:rsid w:val="00BB4FCC"/>
    <w:rsid w:val="00BB53E3"/>
    <w:rsid w:val="00BB5D4F"/>
    <w:rsid w:val="00BB5F44"/>
    <w:rsid w:val="00BB5F7F"/>
    <w:rsid w:val="00BB60EA"/>
    <w:rsid w:val="00BB654B"/>
    <w:rsid w:val="00BB6DD9"/>
    <w:rsid w:val="00BB7329"/>
    <w:rsid w:val="00BB7742"/>
    <w:rsid w:val="00BB7D19"/>
    <w:rsid w:val="00BB7D2C"/>
    <w:rsid w:val="00BC0465"/>
    <w:rsid w:val="00BC0D01"/>
    <w:rsid w:val="00BC1E32"/>
    <w:rsid w:val="00BC1F46"/>
    <w:rsid w:val="00BC1FDD"/>
    <w:rsid w:val="00BC2409"/>
    <w:rsid w:val="00BC2F6B"/>
    <w:rsid w:val="00BC34E5"/>
    <w:rsid w:val="00BC3DE4"/>
    <w:rsid w:val="00BC4320"/>
    <w:rsid w:val="00BC4375"/>
    <w:rsid w:val="00BC47AA"/>
    <w:rsid w:val="00BC522B"/>
    <w:rsid w:val="00BC546D"/>
    <w:rsid w:val="00BC57F2"/>
    <w:rsid w:val="00BC5B2E"/>
    <w:rsid w:val="00BC5E0E"/>
    <w:rsid w:val="00BC5EF5"/>
    <w:rsid w:val="00BC6062"/>
    <w:rsid w:val="00BC6078"/>
    <w:rsid w:val="00BC6290"/>
    <w:rsid w:val="00BC67A7"/>
    <w:rsid w:val="00BC6E2B"/>
    <w:rsid w:val="00BC7542"/>
    <w:rsid w:val="00BC75FA"/>
    <w:rsid w:val="00BC76B2"/>
    <w:rsid w:val="00BC7F1B"/>
    <w:rsid w:val="00BD158A"/>
    <w:rsid w:val="00BD1AF7"/>
    <w:rsid w:val="00BD2AF6"/>
    <w:rsid w:val="00BD3149"/>
    <w:rsid w:val="00BD33F5"/>
    <w:rsid w:val="00BD48FD"/>
    <w:rsid w:val="00BD4F52"/>
    <w:rsid w:val="00BD4FF8"/>
    <w:rsid w:val="00BD519C"/>
    <w:rsid w:val="00BD5544"/>
    <w:rsid w:val="00BD5BF1"/>
    <w:rsid w:val="00BD5C47"/>
    <w:rsid w:val="00BD5F33"/>
    <w:rsid w:val="00BD6349"/>
    <w:rsid w:val="00BD652B"/>
    <w:rsid w:val="00BD65D2"/>
    <w:rsid w:val="00BD6CC3"/>
    <w:rsid w:val="00BD6EA7"/>
    <w:rsid w:val="00BD6EAD"/>
    <w:rsid w:val="00BD7578"/>
    <w:rsid w:val="00BE0308"/>
    <w:rsid w:val="00BE07B7"/>
    <w:rsid w:val="00BE13A8"/>
    <w:rsid w:val="00BE35CF"/>
    <w:rsid w:val="00BE3901"/>
    <w:rsid w:val="00BE39CE"/>
    <w:rsid w:val="00BE3CEC"/>
    <w:rsid w:val="00BE447B"/>
    <w:rsid w:val="00BE4F49"/>
    <w:rsid w:val="00BE50AF"/>
    <w:rsid w:val="00BE563D"/>
    <w:rsid w:val="00BE5D59"/>
    <w:rsid w:val="00BE5E1A"/>
    <w:rsid w:val="00BE681E"/>
    <w:rsid w:val="00BE706C"/>
    <w:rsid w:val="00BE7B41"/>
    <w:rsid w:val="00BF0243"/>
    <w:rsid w:val="00BF032F"/>
    <w:rsid w:val="00BF096E"/>
    <w:rsid w:val="00BF0DA7"/>
    <w:rsid w:val="00BF111F"/>
    <w:rsid w:val="00BF2866"/>
    <w:rsid w:val="00BF3135"/>
    <w:rsid w:val="00BF3476"/>
    <w:rsid w:val="00BF3E6E"/>
    <w:rsid w:val="00BF3FEF"/>
    <w:rsid w:val="00BF4238"/>
    <w:rsid w:val="00BF550C"/>
    <w:rsid w:val="00BF596E"/>
    <w:rsid w:val="00BF6689"/>
    <w:rsid w:val="00BF691D"/>
    <w:rsid w:val="00BF7494"/>
    <w:rsid w:val="00BF78AD"/>
    <w:rsid w:val="00BF7FBD"/>
    <w:rsid w:val="00C00161"/>
    <w:rsid w:val="00C00211"/>
    <w:rsid w:val="00C005B8"/>
    <w:rsid w:val="00C00891"/>
    <w:rsid w:val="00C00B6B"/>
    <w:rsid w:val="00C01307"/>
    <w:rsid w:val="00C0186B"/>
    <w:rsid w:val="00C01D03"/>
    <w:rsid w:val="00C02308"/>
    <w:rsid w:val="00C02793"/>
    <w:rsid w:val="00C030B0"/>
    <w:rsid w:val="00C0314E"/>
    <w:rsid w:val="00C04284"/>
    <w:rsid w:val="00C04446"/>
    <w:rsid w:val="00C044C2"/>
    <w:rsid w:val="00C04D4F"/>
    <w:rsid w:val="00C04E43"/>
    <w:rsid w:val="00C04F7C"/>
    <w:rsid w:val="00C04F9C"/>
    <w:rsid w:val="00C053B8"/>
    <w:rsid w:val="00C05BE2"/>
    <w:rsid w:val="00C05D53"/>
    <w:rsid w:val="00C06BFC"/>
    <w:rsid w:val="00C06E3E"/>
    <w:rsid w:val="00C0706D"/>
    <w:rsid w:val="00C10693"/>
    <w:rsid w:val="00C1092C"/>
    <w:rsid w:val="00C10AE0"/>
    <w:rsid w:val="00C10E98"/>
    <w:rsid w:val="00C10F7B"/>
    <w:rsid w:val="00C1120B"/>
    <w:rsid w:val="00C112DE"/>
    <w:rsid w:val="00C115D3"/>
    <w:rsid w:val="00C11F83"/>
    <w:rsid w:val="00C12027"/>
    <w:rsid w:val="00C123E9"/>
    <w:rsid w:val="00C12992"/>
    <w:rsid w:val="00C12ACE"/>
    <w:rsid w:val="00C13330"/>
    <w:rsid w:val="00C13E8A"/>
    <w:rsid w:val="00C143EB"/>
    <w:rsid w:val="00C1444C"/>
    <w:rsid w:val="00C14BC0"/>
    <w:rsid w:val="00C14DBB"/>
    <w:rsid w:val="00C154BA"/>
    <w:rsid w:val="00C1558F"/>
    <w:rsid w:val="00C15CC7"/>
    <w:rsid w:val="00C16520"/>
    <w:rsid w:val="00C16A4E"/>
    <w:rsid w:val="00C16CE1"/>
    <w:rsid w:val="00C17099"/>
    <w:rsid w:val="00C174BB"/>
    <w:rsid w:val="00C17A10"/>
    <w:rsid w:val="00C17B3D"/>
    <w:rsid w:val="00C17E7D"/>
    <w:rsid w:val="00C17F80"/>
    <w:rsid w:val="00C20067"/>
    <w:rsid w:val="00C2007E"/>
    <w:rsid w:val="00C200D7"/>
    <w:rsid w:val="00C2055A"/>
    <w:rsid w:val="00C20D9E"/>
    <w:rsid w:val="00C211A8"/>
    <w:rsid w:val="00C21312"/>
    <w:rsid w:val="00C22A9C"/>
    <w:rsid w:val="00C22B46"/>
    <w:rsid w:val="00C22FB2"/>
    <w:rsid w:val="00C230F1"/>
    <w:rsid w:val="00C237A7"/>
    <w:rsid w:val="00C23974"/>
    <w:rsid w:val="00C243B1"/>
    <w:rsid w:val="00C243E2"/>
    <w:rsid w:val="00C2481B"/>
    <w:rsid w:val="00C24E95"/>
    <w:rsid w:val="00C250D5"/>
    <w:rsid w:val="00C256DE"/>
    <w:rsid w:val="00C25CD1"/>
    <w:rsid w:val="00C25DA1"/>
    <w:rsid w:val="00C26034"/>
    <w:rsid w:val="00C26672"/>
    <w:rsid w:val="00C26FB3"/>
    <w:rsid w:val="00C2724F"/>
    <w:rsid w:val="00C27B81"/>
    <w:rsid w:val="00C27D7C"/>
    <w:rsid w:val="00C300AE"/>
    <w:rsid w:val="00C303BE"/>
    <w:rsid w:val="00C30C7B"/>
    <w:rsid w:val="00C310C6"/>
    <w:rsid w:val="00C31370"/>
    <w:rsid w:val="00C31421"/>
    <w:rsid w:val="00C317BB"/>
    <w:rsid w:val="00C31863"/>
    <w:rsid w:val="00C31D4B"/>
    <w:rsid w:val="00C31D79"/>
    <w:rsid w:val="00C3286D"/>
    <w:rsid w:val="00C328AE"/>
    <w:rsid w:val="00C3298D"/>
    <w:rsid w:val="00C32A85"/>
    <w:rsid w:val="00C333DA"/>
    <w:rsid w:val="00C33D81"/>
    <w:rsid w:val="00C34410"/>
    <w:rsid w:val="00C34DE9"/>
    <w:rsid w:val="00C3518A"/>
    <w:rsid w:val="00C35666"/>
    <w:rsid w:val="00C35AF9"/>
    <w:rsid w:val="00C3694A"/>
    <w:rsid w:val="00C36E9D"/>
    <w:rsid w:val="00C374AE"/>
    <w:rsid w:val="00C3794F"/>
    <w:rsid w:val="00C37BA9"/>
    <w:rsid w:val="00C37D08"/>
    <w:rsid w:val="00C40C25"/>
    <w:rsid w:val="00C41121"/>
    <w:rsid w:val="00C4169C"/>
    <w:rsid w:val="00C41E23"/>
    <w:rsid w:val="00C426FF"/>
    <w:rsid w:val="00C42FDB"/>
    <w:rsid w:val="00C4431B"/>
    <w:rsid w:val="00C4444B"/>
    <w:rsid w:val="00C448FE"/>
    <w:rsid w:val="00C4498B"/>
    <w:rsid w:val="00C45159"/>
    <w:rsid w:val="00C4557B"/>
    <w:rsid w:val="00C455C6"/>
    <w:rsid w:val="00C4565B"/>
    <w:rsid w:val="00C46DE3"/>
    <w:rsid w:val="00C47E2F"/>
    <w:rsid w:val="00C504C2"/>
    <w:rsid w:val="00C506C9"/>
    <w:rsid w:val="00C5133E"/>
    <w:rsid w:val="00C51621"/>
    <w:rsid w:val="00C5193F"/>
    <w:rsid w:val="00C51EEB"/>
    <w:rsid w:val="00C5254C"/>
    <w:rsid w:val="00C52A54"/>
    <w:rsid w:val="00C53245"/>
    <w:rsid w:val="00C5335B"/>
    <w:rsid w:val="00C535B8"/>
    <w:rsid w:val="00C538BF"/>
    <w:rsid w:val="00C53D02"/>
    <w:rsid w:val="00C54294"/>
    <w:rsid w:val="00C5499C"/>
    <w:rsid w:val="00C55B81"/>
    <w:rsid w:val="00C56820"/>
    <w:rsid w:val="00C56A8C"/>
    <w:rsid w:val="00C56EF5"/>
    <w:rsid w:val="00C57686"/>
    <w:rsid w:val="00C60CA2"/>
    <w:rsid w:val="00C60F7F"/>
    <w:rsid w:val="00C625CE"/>
    <w:rsid w:val="00C6261D"/>
    <w:rsid w:val="00C62949"/>
    <w:rsid w:val="00C632D6"/>
    <w:rsid w:val="00C63575"/>
    <w:rsid w:val="00C63B02"/>
    <w:rsid w:val="00C6419A"/>
    <w:rsid w:val="00C64500"/>
    <w:rsid w:val="00C64692"/>
    <w:rsid w:val="00C647D2"/>
    <w:rsid w:val="00C64829"/>
    <w:rsid w:val="00C655F5"/>
    <w:rsid w:val="00C65783"/>
    <w:rsid w:val="00C65B8A"/>
    <w:rsid w:val="00C65E51"/>
    <w:rsid w:val="00C6639B"/>
    <w:rsid w:val="00C66536"/>
    <w:rsid w:val="00C66743"/>
    <w:rsid w:val="00C66A66"/>
    <w:rsid w:val="00C6720D"/>
    <w:rsid w:val="00C674BC"/>
    <w:rsid w:val="00C6772A"/>
    <w:rsid w:val="00C7092B"/>
    <w:rsid w:val="00C70A99"/>
    <w:rsid w:val="00C70C3C"/>
    <w:rsid w:val="00C70C9A"/>
    <w:rsid w:val="00C71209"/>
    <w:rsid w:val="00C71249"/>
    <w:rsid w:val="00C7128C"/>
    <w:rsid w:val="00C715E7"/>
    <w:rsid w:val="00C71E1E"/>
    <w:rsid w:val="00C71E26"/>
    <w:rsid w:val="00C72BD9"/>
    <w:rsid w:val="00C73B8A"/>
    <w:rsid w:val="00C7483E"/>
    <w:rsid w:val="00C74D23"/>
    <w:rsid w:val="00C76000"/>
    <w:rsid w:val="00C7605B"/>
    <w:rsid w:val="00C76597"/>
    <w:rsid w:val="00C76D39"/>
    <w:rsid w:val="00C76E2D"/>
    <w:rsid w:val="00C76E7A"/>
    <w:rsid w:val="00C76F85"/>
    <w:rsid w:val="00C775E4"/>
    <w:rsid w:val="00C800E3"/>
    <w:rsid w:val="00C812E1"/>
    <w:rsid w:val="00C81311"/>
    <w:rsid w:val="00C81648"/>
    <w:rsid w:val="00C81C90"/>
    <w:rsid w:val="00C81E8B"/>
    <w:rsid w:val="00C8253E"/>
    <w:rsid w:val="00C825C2"/>
    <w:rsid w:val="00C82AF8"/>
    <w:rsid w:val="00C837FB"/>
    <w:rsid w:val="00C83C85"/>
    <w:rsid w:val="00C8438B"/>
    <w:rsid w:val="00C85F1F"/>
    <w:rsid w:val="00C86158"/>
    <w:rsid w:val="00C864E7"/>
    <w:rsid w:val="00C8670E"/>
    <w:rsid w:val="00C86869"/>
    <w:rsid w:val="00C872B8"/>
    <w:rsid w:val="00C878C2"/>
    <w:rsid w:val="00C87C80"/>
    <w:rsid w:val="00C87FA5"/>
    <w:rsid w:val="00C906BE"/>
    <w:rsid w:val="00C911F6"/>
    <w:rsid w:val="00C918F0"/>
    <w:rsid w:val="00C92898"/>
    <w:rsid w:val="00C9296E"/>
    <w:rsid w:val="00C93965"/>
    <w:rsid w:val="00C93B05"/>
    <w:rsid w:val="00C9417D"/>
    <w:rsid w:val="00C943B7"/>
    <w:rsid w:val="00C94455"/>
    <w:rsid w:val="00C94936"/>
    <w:rsid w:val="00C94CAD"/>
    <w:rsid w:val="00C95153"/>
    <w:rsid w:val="00C9543B"/>
    <w:rsid w:val="00C95728"/>
    <w:rsid w:val="00C96150"/>
    <w:rsid w:val="00C9672F"/>
    <w:rsid w:val="00C96AF7"/>
    <w:rsid w:val="00C97008"/>
    <w:rsid w:val="00C976FA"/>
    <w:rsid w:val="00C97835"/>
    <w:rsid w:val="00C97B4F"/>
    <w:rsid w:val="00C97F3F"/>
    <w:rsid w:val="00CA08C1"/>
    <w:rsid w:val="00CA09C2"/>
    <w:rsid w:val="00CA0ACD"/>
    <w:rsid w:val="00CA122A"/>
    <w:rsid w:val="00CA14DE"/>
    <w:rsid w:val="00CA1C5A"/>
    <w:rsid w:val="00CA1FA8"/>
    <w:rsid w:val="00CA20A0"/>
    <w:rsid w:val="00CA2535"/>
    <w:rsid w:val="00CA32E4"/>
    <w:rsid w:val="00CA421B"/>
    <w:rsid w:val="00CA4268"/>
    <w:rsid w:val="00CA4340"/>
    <w:rsid w:val="00CA46CF"/>
    <w:rsid w:val="00CA4E05"/>
    <w:rsid w:val="00CA4F3A"/>
    <w:rsid w:val="00CA55BC"/>
    <w:rsid w:val="00CA59A2"/>
    <w:rsid w:val="00CA5E7D"/>
    <w:rsid w:val="00CA6250"/>
    <w:rsid w:val="00CA6435"/>
    <w:rsid w:val="00CA67A5"/>
    <w:rsid w:val="00CA6975"/>
    <w:rsid w:val="00CA6977"/>
    <w:rsid w:val="00CA704E"/>
    <w:rsid w:val="00CA70D7"/>
    <w:rsid w:val="00CA72AE"/>
    <w:rsid w:val="00CA764C"/>
    <w:rsid w:val="00CA76E9"/>
    <w:rsid w:val="00CB055B"/>
    <w:rsid w:val="00CB0E72"/>
    <w:rsid w:val="00CB0F29"/>
    <w:rsid w:val="00CB112D"/>
    <w:rsid w:val="00CB16D1"/>
    <w:rsid w:val="00CB1D74"/>
    <w:rsid w:val="00CB2767"/>
    <w:rsid w:val="00CB27D2"/>
    <w:rsid w:val="00CB29BD"/>
    <w:rsid w:val="00CB3281"/>
    <w:rsid w:val="00CB40A9"/>
    <w:rsid w:val="00CB456A"/>
    <w:rsid w:val="00CB4B16"/>
    <w:rsid w:val="00CB4C4C"/>
    <w:rsid w:val="00CB5656"/>
    <w:rsid w:val="00CB5D6E"/>
    <w:rsid w:val="00CB6938"/>
    <w:rsid w:val="00CB72A0"/>
    <w:rsid w:val="00CB7DFA"/>
    <w:rsid w:val="00CC053B"/>
    <w:rsid w:val="00CC0687"/>
    <w:rsid w:val="00CC0DFE"/>
    <w:rsid w:val="00CC14B3"/>
    <w:rsid w:val="00CC18C6"/>
    <w:rsid w:val="00CC23C0"/>
    <w:rsid w:val="00CC2CDB"/>
    <w:rsid w:val="00CC2D48"/>
    <w:rsid w:val="00CC35CD"/>
    <w:rsid w:val="00CC36DB"/>
    <w:rsid w:val="00CC3EF6"/>
    <w:rsid w:val="00CC409B"/>
    <w:rsid w:val="00CC49DB"/>
    <w:rsid w:val="00CC4DD7"/>
    <w:rsid w:val="00CC4EA3"/>
    <w:rsid w:val="00CC53A7"/>
    <w:rsid w:val="00CC56E6"/>
    <w:rsid w:val="00CC58E8"/>
    <w:rsid w:val="00CC64C4"/>
    <w:rsid w:val="00CC6871"/>
    <w:rsid w:val="00CC703D"/>
    <w:rsid w:val="00CC768C"/>
    <w:rsid w:val="00CC79DE"/>
    <w:rsid w:val="00CC7C17"/>
    <w:rsid w:val="00CC7F72"/>
    <w:rsid w:val="00CD00CA"/>
    <w:rsid w:val="00CD03B7"/>
    <w:rsid w:val="00CD08E1"/>
    <w:rsid w:val="00CD1C2E"/>
    <w:rsid w:val="00CD1DDA"/>
    <w:rsid w:val="00CD1F59"/>
    <w:rsid w:val="00CD20DB"/>
    <w:rsid w:val="00CD2C5A"/>
    <w:rsid w:val="00CD2CF2"/>
    <w:rsid w:val="00CD2D86"/>
    <w:rsid w:val="00CD2F21"/>
    <w:rsid w:val="00CD3E12"/>
    <w:rsid w:val="00CD4471"/>
    <w:rsid w:val="00CD44A6"/>
    <w:rsid w:val="00CD49E0"/>
    <w:rsid w:val="00CD4A1E"/>
    <w:rsid w:val="00CD535C"/>
    <w:rsid w:val="00CD5F12"/>
    <w:rsid w:val="00CD5FD7"/>
    <w:rsid w:val="00CD6981"/>
    <w:rsid w:val="00CD6F4A"/>
    <w:rsid w:val="00CE05A0"/>
    <w:rsid w:val="00CE088F"/>
    <w:rsid w:val="00CE0C4E"/>
    <w:rsid w:val="00CE0F6B"/>
    <w:rsid w:val="00CE126E"/>
    <w:rsid w:val="00CE1477"/>
    <w:rsid w:val="00CE1C60"/>
    <w:rsid w:val="00CE21B5"/>
    <w:rsid w:val="00CE29C7"/>
    <w:rsid w:val="00CE2DB1"/>
    <w:rsid w:val="00CE3647"/>
    <w:rsid w:val="00CE370F"/>
    <w:rsid w:val="00CE3A14"/>
    <w:rsid w:val="00CE410D"/>
    <w:rsid w:val="00CE4739"/>
    <w:rsid w:val="00CE478E"/>
    <w:rsid w:val="00CE486B"/>
    <w:rsid w:val="00CE4D13"/>
    <w:rsid w:val="00CE4DC6"/>
    <w:rsid w:val="00CE5238"/>
    <w:rsid w:val="00CE53D5"/>
    <w:rsid w:val="00CE5CA3"/>
    <w:rsid w:val="00CE5F5A"/>
    <w:rsid w:val="00CE73C5"/>
    <w:rsid w:val="00CE7514"/>
    <w:rsid w:val="00CE7C48"/>
    <w:rsid w:val="00CE7C74"/>
    <w:rsid w:val="00CF027F"/>
    <w:rsid w:val="00CF049D"/>
    <w:rsid w:val="00CF0AA0"/>
    <w:rsid w:val="00CF17B8"/>
    <w:rsid w:val="00CF1E68"/>
    <w:rsid w:val="00CF21BE"/>
    <w:rsid w:val="00CF2C39"/>
    <w:rsid w:val="00CF3823"/>
    <w:rsid w:val="00CF382E"/>
    <w:rsid w:val="00CF3B33"/>
    <w:rsid w:val="00CF404F"/>
    <w:rsid w:val="00CF4378"/>
    <w:rsid w:val="00CF442B"/>
    <w:rsid w:val="00CF4AE5"/>
    <w:rsid w:val="00CF4E40"/>
    <w:rsid w:val="00CF63FE"/>
    <w:rsid w:val="00CF6F98"/>
    <w:rsid w:val="00CF709A"/>
    <w:rsid w:val="00CF729F"/>
    <w:rsid w:val="00CF793E"/>
    <w:rsid w:val="00CF7E9C"/>
    <w:rsid w:val="00CF7FFB"/>
    <w:rsid w:val="00D0020C"/>
    <w:rsid w:val="00D006CE"/>
    <w:rsid w:val="00D01148"/>
    <w:rsid w:val="00D01565"/>
    <w:rsid w:val="00D015B8"/>
    <w:rsid w:val="00D020E3"/>
    <w:rsid w:val="00D0215A"/>
    <w:rsid w:val="00D0215E"/>
    <w:rsid w:val="00D02201"/>
    <w:rsid w:val="00D02358"/>
    <w:rsid w:val="00D02409"/>
    <w:rsid w:val="00D0294B"/>
    <w:rsid w:val="00D034EE"/>
    <w:rsid w:val="00D03F4F"/>
    <w:rsid w:val="00D04605"/>
    <w:rsid w:val="00D0465E"/>
    <w:rsid w:val="00D04B64"/>
    <w:rsid w:val="00D05180"/>
    <w:rsid w:val="00D05E33"/>
    <w:rsid w:val="00D0699B"/>
    <w:rsid w:val="00D06CB9"/>
    <w:rsid w:val="00D0747B"/>
    <w:rsid w:val="00D07806"/>
    <w:rsid w:val="00D10415"/>
    <w:rsid w:val="00D10F9A"/>
    <w:rsid w:val="00D11D69"/>
    <w:rsid w:val="00D12903"/>
    <w:rsid w:val="00D12EB4"/>
    <w:rsid w:val="00D13602"/>
    <w:rsid w:val="00D13A1B"/>
    <w:rsid w:val="00D14264"/>
    <w:rsid w:val="00D14743"/>
    <w:rsid w:val="00D15159"/>
    <w:rsid w:val="00D15308"/>
    <w:rsid w:val="00D15ECD"/>
    <w:rsid w:val="00D168F7"/>
    <w:rsid w:val="00D1777A"/>
    <w:rsid w:val="00D1789B"/>
    <w:rsid w:val="00D17904"/>
    <w:rsid w:val="00D179B8"/>
    <w:rsid w:val="00D17DB2"/>
    <w:rsid w:val="00D20198"/>
    <w:rsid w:val="00D20326"/>
    <w:rsid w:val="00D20588"/>
    <w:rsid w:val="00D208CE"/>
    <w:rsid w:val="00D20F09"/>
    <w:rsid w:val="00D2124F"/>
    <w:rsid w:val="00D21348"/>
    <w:rsid w:val="00D21BB1"/>
    <w:rsid w:val="00D223D9"/>
    <w:rsid w:val="00D22939"/>
    <w:rsid w:val="00D230D3"/>
    <w:rsid w:val="00D23340"/>
    <w:rsid w:val="00D23860"/>
    <w:rsid w:val="00D248DE"/>
    <w:rsid w:val="00D249CB"/>
    <w:rsid w:val="00D24EC1"/>
    <w:rsid w:val="00D2508E"/>
    <w:rsid w:val="00D25849"/>
    <w:rsid w:val="00D259AE"/>
    <w:rsid w:val="00D25BBF"/>
    <w:rsid w:val="00D25DA4"/>
    <w:rsid w:val="00D2677F"/>
    <w:rsid w:val="00D2678F"/>
    <w:rsid w:val="00D26CA7"/>
    <w:rsid w:val="00D26CC7"/>
    <w:rsid w:val="00D26D4B"/>
    <w:rsid w:val="00D276E3"/>
    <w:rsid w:val="00D27F73"/>
    <w:rsid w:val="00D27F7D"/>
    <w:rsid w:val="00D301AB"/>
    <w:rsid w:val="00D302AB"/>
    <w:rsid w:val="00D308D5"/>
    <w:rsid w:val="00D3094D"/>
    <w:rsid w:val="00D30990"/>
    <w:rsid w:val="00D309AC"/>
    <w:rsid w:val="00D30AF6"/>
    <w:rsid w:val="00D30ECD"/>
    <w:rsid w:val="00D3170D"/>
    <w:rsid w:val="00D32189"/>
    <w:rsid w:val="00D323A6"/>
    <w:rsid w:val="00D32582"/>
    <w:rsid w:val="00D32B62"/>
    <w:rsid w:val="00D32E9A"/>
    <w:rsid w:val="00D334B7"/>
    <w:rsid w:val="00D3378D"/>
    <w:rsid w:val="00D33976"/>
    <w:rsid w:val="00D33A09"/>
    <w:rsid w:val="00D33A4B"/>
    <w:rsid w:val="00D33F0F"/>
    <w:rsid w:val="00D341D3"/>
    <w:rsid w:val="00D342D7"/>
    <w:rsid w:val="00D3440F"/>
    <w:rsid w:val="00D352A2"/>
    <w:rsid w:val="00D35E4A"/>
    <w:rsid w:val="00D35F25"/>
    <w:rsid w:val="00D364E2"/>
    <w:rsid w:val="00D36623"/>
    <w:rsid w:val="00D36D22"/>
    <w:rsid w:val="00D374D2"/>
    <w:rsid w:val="00D378F6"/>
    <w:rsid w:val="00D37DEA"/>
    <w:rsid w:val="00D37FF5"/>
    <w:rsid w:val="00D400DF"/>
    <w:rsid w:val="00D403E4"/>
    <w:rsid w:val="00D40783"/>
    <w:rsid w:val="00D41101"/>
    <w:rsid w:val="00D42032"/>
    <w:rsid w:val="00D42DAC"/>
    <w:rsid w:val="00D433D5"/>
    <w:rsid w:val="00D43B24"/>
    <w:rsid w:val="00D43B27"/>
    <w:rsid w:val="00D442A4"/>
    <w:rsid w:val="00D44CA5"/>
    <w:rsid w:val="00D45077"/>
    <w:rsid w:val="00D45432"/>
    <w:rsid w:val="00D45693"/>
    <w:rsid w:val="00D45788"/>
    <w:rsid w:val="00D45904"/>
    <w:rsid w:val="00D45E50"/>
    <w:rsid w:val="00D46851"/>
    <w:rsid w:val="00D4686F"/>
    <w:rsid w:val="00D46E00"/>
    <w:rsid w:val="00D46F02"/>
    <w:rsid w:val="00D471FD"/>
    <w:rsid w:val="00D47AE8"/>
    <w:rsid w:val="00D47F7E"/>
    <w:rsid w:val="00D507BA"/>
    <w:rsid w:val="00D50CF7"/>
    <w:rsid w:val="00D51113"/>
    <w:rsid w:val="00D51317"/>
    <w:rsid w:val="00D51451"/>
    <w:rsid w:val="00D524B6"/>
    <w:rsid w:val="00D52DDE"/>
    <w:rsid w:val="00D530ED"/>
    <w:rsid w:val="00D531D3"/>
    <w:rsid w:val="00D539A7"/>
    <w:rsid w:val="00D54158"/>
    <w:rsid w:val="00D54543"/>
    <w:rsid w:val="00D5483B"/>
    <w:rsid w:val="00D55501"/>
    <w:rsid w:val="00D55A61"/>
    <w:rsid w:val="00D5636D"/>
    <w:rsid w:val="00D56B6C"/>
    <w:rsid w:val="00D56EB0"/>
    <w:rsid w:val="00D57001"/>
    <w:rsid w:val="00D5797A"/>
    <w:rsid w:val="00D57AEB"/>
    <w:rsid w:val="00D6051B"/>
    <w:rsid w:val="00D60675"/>
    <w:rsid w:val="00D60E8B"/>
    <w:rsid w:val="00D60FA5"/>
    <w:rsid w:val="00D61365"/>
    <w:rsid w:val="00D6192A"/>
    <w:rsid w:val="00D61DD4"/>
    <w:rsid w:val="00D61E07"/>
    <w:rsid w:val="00D62751"/>
    <w:rsid w:val="00D629F2"/>
    <w:rsid w:val="00D62DBA"/>
    <w:rsid w:val="00D63F01"/>
    <w:rsid w:val="00D64A5B"/>
    <w:rsid w:val="00D65013"/>
    <w:rsid w:val="00D65240"/>
    <w:rsid w:val="00D65ACD"/>
    <w:rsid w:val="00D65EB7"/>
    <w:rsid w:val="00D66BF1"/>
    <w:rsid w:val="00D67096"/>
    <w:rsid w:val="00D67F50"/>
    <w:rsid w:val="00D7072C"/>
    <w:rsid w:val="00D70C5C"/>
    <w:rsid w:val="00D717E0"/>
    <w:rsid w:val="00D7182E"/>
    <w:rsid w:val="00D72A73"/>
    <w:rsid w:val="00D73247"/>
    <w:rsid w:val="00D73517"/>
    <w:rsid w:val="00D73665"/>
    <w:rsid w:val="00D73C0E"/>
    <w:rsid w:val="00D7415B"/>
    <w:rsid w:val="00D745B5"/>
    <w:rsid w:val="00D747C7"/>
    <w:rsid w:val="00D74904"/>
    <w:rsid w:val="00D74989"/>
    <w:rsid w:val="00D76307"/>
    <w:rsid w:val="00D768B5"/>
    <w:rsid w:val="00D76CD7"/>
    <w:rsid w:val="00D76D73"/>
    <w:rsid w:val="00D77110"/>
    <w:rsid w:val="00D7744A"/>
    <w:rsid w:val="00D7764E"/>
    <w:rsid w:val="00D77D53"/>
    <w:rsid w:val="00D803A4"/>
    <w:rsid w:val="00D80990"/>
    <w:rsid w:val="00D80991"/>
    <w:rsid w:val="00D8148F"/>
    <w:rsid w:val="00D814B6"/>
    <w:rsid w:val="00D822A1"/>
    <w:rsid w:val="00D822DA"/>
    <w:rsid w:val="00D8261D"/>
    <w:rsid w:val="00D82700"/>
    <w:rsid w:val="00D82DD6"/>
    <w:rsid w:val="00D84379"/>
    <w:rsid w:val="00D852E2"/>
    <w:rsid w:val="00D8542D"/>
    <w:rsid w:val="00D8576E"/>
    <w:rsid w:val="00D8595F"/>
    <w:rsid w:val="00D85E7A"/>
    <w:rsid w:val="00D865AD"/>
    <w:rsid w:val="00D86F86"/>
    <w:rsid w:val="00D874F9"/>
    <w:rsid w:val="00D87DB3"/>
    <w:rsid w:val="00D87FBF"/>
    <w:rsid w:val="00D9059E"/>
    <w:rsid w:val="00D907C7"/>
    <w:rsid w:val="00D90872"/>
    <w:rsid w:val="00D910C1"/>
    <w:rsid w:val="00D919A6"/>
    <w:rsid w:val="00D91DC2"/>
    <w:rsid w:val="00D92280"/>
    <w:rsid w:val="00D92B59"/>
    <w:rsid w:val="00D9321D"/>
    <w:rsid w:val="00D9380C"/>
    <w:rsid w:val="00D93B34"/>
    <w:rsid w:val="00D93DDF"/>
    <w:rsid w:val="00D94429"/>
    <w:rsid w:val="00D95719"/>
    <w:rsid w:val="00D962DB"/>
    <w:rsid w:val="00D96788"/>
    <w:rsid w:val="00D9716A"/>
    <w:rsid w:val="00D97ECB"/>
    <w:rsid w:val="00DA03FF"/>
    <w:rsid w:val="00DA0869"/>
    <w:rsid w:val="00DA0E45"/>
    <w:rsid w:val="00DA0FBB"/>
    <w:rsid w:val="00DA12DF"/>
    <w:rsid w:val="00DA1458"/>
    <w:rsid w:val="00DA1B47"/>
    <w:rsid w:val="00DA1B92"/>
    <w:rsid w:val="00DA1BD1"/>
    <w:rsid w:val="00DA1E2E"/>
    <w:rsid w:val="00DA2525"/>
    <w:rsid w:val="00DA28FA"/>
    <w:rsid w:val="00DA2958"/>
    <w:rsid w:val="00DA3F59"/>
    <w:rsid w:val="00DA48B3"/>
    <w:rsid w:val="00DA515F"/>
    <w:rsid w:val="00DA52CA"/>
    <w:rsid w:val="00DA596E"/>
    <w:rsid w:val="00DA5A70"/>
    <w:rsid w:val="00DA60F4"/>
    <w:rsid w:val="00DA63BE"/>
    <w:rsid w:val="00DA6567"/>
    <w:rsid w:val="00DA6A81"/>
    <w:rsid w:val="00DA6AE4"/>
    <w:rsid w:val="00DA6CC8"/>
    <w:rsid w:val="00DA7812"/>
    <w:rsid w:val="00DA7C0D"/>
    <w:rsid w:val="00DB00B7"/>
    <w:rsid w:val="00DB06DC"/>
    <w:rsid w:val="00DB0E31"/>
    <w:rsid w:val="00DB11B1"/>
    <w:rsid w:val="00DB1F9A"/>
    <w:rsid w:val="00DB206E"/>
    <w:rsid w:val="00DB32DC"/>
    <w:rsid w:val="00DB56C3"/>
    <w:rsid w:val="00DB57C4"/>
    <w:rsid w:val="00DB5C63"/>
    <w:rsid w:val="00DB64F4"/>
    <w:rsid w:val="00DB6A84"/>
    <w:rsid w:val="00DB6ACC"/>
    <w:rsid w:val="00DB724F"/>
    <w:rsid w:val="00DB731A"/>
    <w:rsid w:val="00DB7326"/>
    <w:rsid w:val="00DB74A5"/>
    <w:rsid w:val="00DB75DA"/>
    <w:rsid w:val="00DB7CB3"/>
    <w:rsid w:val="00DB7F11"/>
    <w:rsid w:val="00DC0E35"/>
    <w:rsid w:val="00DC10AB"/>
    <w:rsid w:val="00DC1ABA"/>
    <w:rsid w:val="00DC2615"/>
    <w:rsid w:val="00DC2EAD"/>
    <w:rsid w:val="00DC303B"/>
    <w:rsid w:val="00DC3129"/>
    <w:rsid w:val="00DC3199"/>
    <w:rsid w:val="00DC3969"/>
    <w:rsid w:val="00DC408D"/>
    <w:rsid w:val="00DC4516"/>
    <w:rsid w:val="00DC4517"/>
    <w:rsid w:val="00DC4C1D"/>
    <w:rsid w:val="00DC53A5"/>
    <w:rsid w:val="00DC5748"/>
    <w:rsid w:val="00DC5AB7"/>
    <w:rsid w:val="00DC6080"/>
    <w:rsid w:val="00DC61C6"/>
    <w:rsid w:val="00DC6927"/>
    <w:rsid w:val="00DC6A71"/>
    <w:rsid w:val="00DC6CA8"/>
    <w:rsid w:val="00DC7799"/>
    <w:rsid w:val="00DC7A18"/>
    <w:rsid w:val="00DC7D5F"/>
    <w:rsid w:val="00DD0F6B"/>
    <w:rsid w:val="00DD12BF"/>
    <w:rsid w:val="00DD1FC4"/>
    <w:rsid w:val="00DD2180"/>
    <w:rsid w:val="00DD254C"/>
    <w:rsid w:val="00DD3074"/>
    <w:rsid w:val="00DD37C4"/>
    <w:rsid w:val="00DD37EC"/>
    <w:rsid w:val="00DD3A93"/>
    <w:rsid w:val="00DD3BF5"/>
    <w:rsid w:val="00DD4748"/>
    <w:rsid w:val="00DD4822"/>
    <w:rsid w:val="00DD4A63"/>
    <w:rsid w:val="00DD4E12"/>
    <w:rsid w:val="00DD4F1D"/>
    <w:rsid w:val="00DD5777"/>
    <w:rsid w:val="00DD57F6"/>
    <w:rsid w:val="00DD5D38"/>
    <w:rsid w:val="00DD63D5"/>
    <w:rsid w:val="00DD6651"/>
    <w:rsid w:val="00DD7141"/>
    <w:rsid w:val="00DD7F1C"/>
    <w:rsid w:val="00DE0962"/>
    <w:rsid w:val="00DE0AE2"/>
    <w:rsid w:val="00DE0BA9"/>
    <w:rsid w:val="00DE109B"/>
    <w:rsid w:val="00DE12AA"/>
    <w:rsid w:val="00DE1445"/>
    <w:rsid w:val="00DE17C6"/>
    <w:rsid w:val="00DE30BD"/>
    <w:rsid w:val="00DE3595"/>
    <w:rsid w:val="00DE39F4"/>
    <w:rsid w:val="00DE3AFE"/>
    <w:rsid w:val="00DE4433"/>
    <w:rsid w:val="00DE4F85"/>
    <w:rsid w:val="00DE4FBD"/>
    <w:rsid w:val="00DE5061"/>
    <w:rsid w:val="00DE52D6"/>
    <w:rsid w:val="00DE5BC1"/>
    <w:rsid w:val="00DE6017"/>
    <w:rsid w:val="00DE602F"/>
    <w:rsid w:val="00DE62CE"/>
    <w:rsid w:val="00DE6754"/>
    <w:rsid w:val="00DE6BA6"/>
    <w:rsid w:val="00DE7242"/>
    <w:rsid w:val="00DE7505"/>
    <w:rsid w:val="00DE782B"/>
    <w:rsid w:val="00DE78ED"/>
    <w:rsid w:val="00DE796C"/>
    <w:rsid w:val="00DF0F68"/>
    <w:rsid w:val="00DF1E86"/>
    <w:rsid w:val="00DF22C5"/>
    <w:rsid w:val="00DF243F"/>
    <w:rsid w:val="00DF27C1"/>
    <w:rsid w:val="00DF2A82"/>
    <w:rsid w:val="00DF2D47"/>
    <w:rsid w:val="00DF2D52"/>
    <w:rsid w:val="00DF323E"/>
    <w:rsid w:val="00DF33CB"/>
    <w:rsid w:val="00DF3E93"/>
    <w:rsid w:val="00DF4240"/>
    <w:rsid w:val="00DF4869"/>
    <w:rsid w:val="00DF48A2"/>
    <w:rsid w:val="00DF49FB"/>
    <w:rsid w:val="00DF538F"/>
    <w:rsid w:val="00DF58D6"/>
    <w:rsid w:val="00DF5AA6"/>
    <w:rsid w:val="00DF5B23"/>
    <w:rsid w:val="00DF61EA"/>
    <w:rsid w:val="00DF636E"/>
    <w:rsid w:val="00DF6713"/>
    <w:rsid w:val="00DF6B5C"/>
    <w:rsid w:val="00DF6C30"/>
    <w:rsid w:val="00DF7550"/>
    <w:rsid w:val="00DF7B31"/>
    <w:rsid w:val="00DF7BAC"/>
    <w:rsid w:val="00DF7E0F"/>
    <w:rsid w:val="00E005F8"/>
    <w:rsid w:val="00E00F4B"/>
    <w:rsid w:val="00E015C9"/>
    <w:rsid w:val="00E0237E"/>
    <w:rsid w:val="00E023C1"/>
    <w:rsid w:val="00E026A2"/>
    <w:rsid w:val="00E0283B"/>
    <w:rsid w:val="00E02A00"/>
    <w:rsid w:val="00E02A19"/>
    <w:rsid w:val="00E02C87"/>
    <w:rsid w:val="00E03385"/>
    <w:rsid w:val="00E0357D"/>
    <w:rsid w:val="00E03E42"/>
    <w:rsid w:val="00E03E6F"/>
    <w:rsid w:val="00E03FF6"/>
    <w:rsid w:val="00E04569"/>
    <w:rsid w:val="00E04790"/>
    <w:rsid w:val="00E04791"/>
    <w:rsid w:val="00E0482E"/>
    <w:rsid w:val="00E04A01"/>
    <w:rsid w:val="00E04A34"/>
    <w:rsid w:val="00E04EBE"/>
    <w:rsid w:val="00E050EB"/>
    <w:rsid w:val="00E05E38"/>
    <w:rsid w:val="00E060C5"/>
    <w:rsid w:val="00E06C4C"/>
    <w:rsid w:val="00E07754"/>
    <w:rsid w:val="00E07AA5"/>
    <w:rsid w:val="00E07FA2"/>
    <w:rsid w:val="00E07FBB"/>
    <w:rsid w:val="00E10CD1"/>
    <w:rsid w:val="00E11203"/>
    <w:rsid w:val="00E114D8"/>
    <w:rsid w:val="00E11704"/>
    <w:rsid w:val="00E11FF2"/>
    <w:rsid w:val="00E12134"/>
    <w:rsid w:val="00E12687"/>
    <w:rsid w:val="00E12C2B"/>
    <w:rsid w:val="00E13A64"/>
    <w:rsid w:val="00E13D99"/>
    <w:rsid w:val="00E13DFD"/>
    <w:rsid w:val="00E141A7"/>
    <w:rsid w:val="00E1522A"/>
    <w:rsid w:val="00E16545"/>
    <w:rsid w:val="00E16848"/>
    <w:rsid w:val="00E16E17"/>
    <w:rsid w:val="00E16EDB"/>
    <w:rsid w:val="00E1705B"/>
    <w:rsid w:val="00E1748F"/>
    <w:rsid w:val="00E17501"/>
    <w:rsid w:val="00E1790E"/>
    <w:rsid w:val="00E17EFE"/>
    <w:rsid w:val="00E2033C"/>
    <w:rsid w:val="00E20402"/>
    <w:rsid w:val="00E20DC7"/>
    <w:rsid w:val="00E20E64"/>
    <w:rsid w:val="00E20F9C"/>
    <w:rsid w:val="00E21DF9"/>
    <w:rsid w:val="00E22AC4"/>
    <w:rsid w:val="00E2363A"/>
    <w:rsid w:val="00E23918"/>
    <w:rsid w:val="00E23B9C"/>
    <w:rsid w:val="00E249A4"/>
    <w:rsid w:val="00E24FDC"/>
    <w:rsid w:val="00E250D8"/>
    <w:rsid w:val="00E251AE"/>
    <w:rsid w:val="00E2530C"/>
    <w:rsid w:val="00E2632B"/>
    <w:rsid w:val="00E2676C"/>
    <w:rsid w:val="00E26782"/>
    <w:rsid w:val="00E26DDE"/>
    <w:rsid w:val="00E273E2"/>
    <w:rsid w:val="00E27412"/>
    <w:rsid w:val="00E27562"/>
    <w:rsid w:val="00E27B8A"/>
    <w:rsid w:val="00E30961"/>
    <w:rsid w:val="00E309A9"/>
    <w:rsid w:val="00E30AD6"/>
    <w:rsid w:val="00E315D3"/>
    <w:rsid w:val="00E3199B"/>
    <w:rsid w:val="00E31F2F"/>
    <w:rsid w:val="00E32CD5"/>
    <w:rsid w:val="00E33E94"/>
    <w:rsid w:val="00E33EDD"/>
    <w:rsid w:val="00E34630"/>
    <w:rsid w:val="00E34A1A"/>
    <w:rsid w:val="00E34A75"/>
    <w:rsid w:val="00E34D34"/>
    <w:rsid w:val="00E353AB"/>
    <w:rsid w:val="00E35961"/>
    <w:rsid w:val="00E35AC9"/>
    <w:rsid w:val="00E367AA"/>
    <w:rsid w:val="00E37068"/>
    <w:rsid w:val="00E371F5"/>
    <w:rsid w:val="00E4016E"/>
    <w:rsid w:val="00E4044E"/>
    <w:rsid w:val="00E408F2"/>
    <w:rsid w:val="00E40A2E"/>
    <w:rsid w:val="00E40DC8"/>
    <w:rsid w:val="00E41C81"/>
    <w:rsid w:val="00E41D25"/>
    <w:rsid w:val="00E41D59"/>
    <w:rsid w:val="00E42302"/>
    <w:rsid w:val="00E43634"/>
    <w:rsid w:val="00E4386D"/>
    <w:rsid w:val="00E43FEE"/>
    <w:rsid w:val="00E4404C"/>
    <w:rsid w:val="00E44C1A"/>
    <w:rsid w:val="00E44F93"/>
    <w:rsid w:val="00E45E17"/>
    <w:rsid w:val="00E46577"/>
    <w:rsid w:val="00E4726B"/>
    <w:rsid w:val="00E47488"/>
    <w:rsid w:val="00E476F0"/>
    <w:rsid w:val="00E476F1"/>
    <w:rsid w:val="00E477AF"/>
    <w:rsid w:val="00E5034D"/>
    <w:rsid w:val="00E515B2"/>
    <w:rsid w:val="00E5180A"/>
    <w:rsid w:val="00E51BE5"/>
    <w:rsid w:val="00E51D9C"/>
    <w:rsid w:val="00E52DCF"/>
    <w:rsid w:val="00E52E53"/>
    <w:rsid w:val="00E5312F"/>
    <w:rsid w:val="00E5387D"/>
    <w:rsid w:val="00E53DBC"/>
    <w:rsid w:val="00E53EA0"/>
    <w:rsid w:val="00E55578"/>
    <w:rsid w:val="00E55BDD"/>
    <w:rsid w:val="00E55BF2"/>
    <w:rsid w:val="00E55CA0"/>
    <w:rsid w:val="00E55FAB"/>
    <w:rsid w:val="00E566BC"/>
    <w:rsid w:val="00E56CA9"/>
    <w:rsid w:val="00E5750A"/>
    <w:rsid w:val="00E577C4"/>
    <w:rsid w:val="00E57C9D"/>
    <w:rsid w:val="00E57D8A"/>
    <w:rsid w:val="00E6004C"/>
    <w:rsid w:val="00E60110"/>
    <w:rsid w:val="00E6034B"/>
    <w:rsid w:val="00E60498"/>
    <w:rsid w:val="00E608C0"/>
    <w:rsid w:val="00E60ADD"/>
    <w:rsid w:val="00E60B52"/>
    <w:rsid w:val="00E60E34"/>
    <w:rsid w:val="00E615D0"/>
    <w:rsid w:val="00E61FA6"/>
    <w:rsid w:val="00E62E67"/>
    <w:rsid w:val="00E62F37"/>
    <w:rsid w:val="00E630A7"/>
    <w:rsid w:val="00E637A2"/>
    <w:rsid w:val="00E648DE"/>
    <w:rsid w:val="00E65B59"/>
    <w:rsid w:val="00E65CEC"/>
    <w:rsid w:val="00E65F7A"/>
    <w:rsid w:val="00E66C87"/>
    <w:rsid w:val="00E66CAB"/>
    <w:rsid w:val="00E66CAC"/>
    <w:rsid w:val="00E67942"/>
    <w:rsid w:val="00E679C4"/>
    <w:rsid w:val="00E701E8"/>
    <w:rsid w:val="00E70461"/>
    <w:rsid w:val="00E7048F"/>
    <w:rsid w:val="00E70620"/>
    <w:rsid w:val="00E70D92"/>
    <w:rsid w:val="00E71089"/>
    <w:rsid w:val="00E7111E"/>
    <w:rsid w:val="00E71A9F"/>
    <w:rsid w:val="00E71D1B"/>
    <w:rsid w:val="00E72442"/>
    <w:rsid w:val="00E733A6"/>
    <w:rsid w:val="00E7364F"/>
    <w:rsid w:val="00E73814"/>
    <w:rsid w:val="00E738DE"/>
    <w:rsid w:val="00E744BE"/>
    <w:rsid w:val="00E744E2"/>
    <w:rsid w:val="00E74511"/>
    <w:rsid w:val="00E745F2"/>
    <w:rsid w:val="00E74611"/>
    <w:rsid w:val="00E74776"/>
    <w:rsid w:val="00E74B7F"/>
    <w:rsid w:val="00E74C2E"/>
    <w:rsid w:val="00E754CC"/>
    <w:rsid w:val="00E757A3"/>
    <w:rsid w:val="00E760D5"/>
    <w:rsid w:val="00E769F9"/>
    <w:rsid w:val="00E77667"/>
    <w:rsid w:val="00E777C8"/>
    <w:rsid w:val="00E778FB"/>
    <w:rsid w:val="00E77B82"/>
    <w:rsid w:val="00E80224"/>
    <w:rsid w:val="00E813CD"/>
    <w:rsid w:val="00E818CB"/>
    <w:rsid w:val="00E81F5A"/>
    <w:rsid w:val="00E82263"/>
    <w:rsid w:val="00E827D3"/>
    <w:rsid w:val="00E82EB1"/>
    <w:rsid w:val="00E83351"/>
    <w:rsid w:val="00E83C87"/>
    <w:rsid w:val="00E85126"/>
    <w:rsid w:val="00E854D2"/>
    <w:rsid w:val="00E8579E"/>
    <w:rsid w:val="00E858C7"/>
    <w:rsid w:val="00E85A27"/>
    <w:rsid w:val="00E85E20"/>
    <w:rsid w:val="00E85EE6"/>
    <w:rsid w:val="00E86092"/>
    <w:rsid w:val="00E8655B"/>
    <w:rsid w:val="00E86A72"/>
    <w:rsid w:val="00E86C26"/>
    <w:rsid w:val="00E86CAC"/>
    <w:rsid w:val="00E86ED0"/>
    <w:rsid w:val="00E87716"/>
    <w:rsid w:val="00E87AB7"/>
    <w:rsid w:val="00E87F60"/>
    <w:rsid w:val="00E904B8"/>
    <w:rsid w:val="00E9085A"/>
    <w:rsid w:val="00E90D54"/>
    <w:rsid w:val="00E90F1A"/>
    <w:rsid w:val="00E91143"/>
    <w:rsid w:val="00E91D6E"/>
    <w:rsid w:val="00E9209B"/>
    <w:rsid w:val="00E9288B"/>
    <w:rsid w:val="00E92B16"/>
    <w:rsid w:val="00E92F83"/>
    <w:rsid w:val="00E933FA"/>
    <w:rsid w:val="00E935F6"/>
    <w:rsid w:val="00E93ADB"/>
    <w:rsid w:val="00E93ED7"/>
    <w:rsid w:val="00E93EFA"/>
    <w:rsid w:val="00E94397"/>
    <w:rsid w:val="00E94629"/>
    <w:rsid w:val="00E953C8"/>
    <w:rsid w:val="00E95882"/>
    <w:rsid w:val="00E96159"/>
    <w:rsid w:val="00E961C0"/>
    <w:rsid w:val="00E970AF"/>
    <w:rsid w:val="00E97A97"/>
    <w:rsid w:val="00E97F3A"/>
    <w:rsid w:val="00EA0AD5"/>
    <w:rsid w:val="00EA0B44"/>
    <w:rsid w:val="00EA1930"/>
    <w:rsid w:val="00EA1C7B"/>
    <w:rsid w:val="00EA20FA"/>
    <w:rsid w:val="00EA3DB4"/>
    <w:rsid w:val="00EA414B"/>
    <w:rsid w:val="00EA48CD"/>
    <w:rsid w:val="00EA48F3"/>
    <w:rsid w:val="00EA57C9"/>
    <w:rsid w:val="00EA61E8"/>
    <w:rsid w:val="00EA6368"/>
    <w:rsid w:val="00EA75D0"/>
    <w:rsid w:val="00EA7600"/>
    <w:rsid w:val="00EA7D44"/>
    <w:rsid w:val="00EB12F7"/>
    <w:rsid w:val="00EB140C"/>
    <w:rsid w:val="00EB17C9"/>
    <w:rsid w:val="00EB1C51"/>
    <w:rsid w:val="00EB2314"/>
    <w:rsid w:val="00EB2C17"/>
    <w:rsid w:val="00EB3E89"/>
    <w:rsid w:val="00EB3F03"/>
    <w:rsid w:val="00EB469A"/>
    <w:rsid w:val="00EB5780"/>
    <w:rsid w:val="00EB59BE"/>
    <w:rsid w:val="00EB5BE2"/>
    <w:rsid w:val="00EB5FFA"/>
    <w:rsid w:val="00EB69C9"/>
    <w:rsid w:val="00EB6BF9"/>
    <w:rsid w:val="00EB6D37"/>
    <w:rsid w:val="00EB718C"/>
    <w:rsid w:val="00EB7212"/>
    <w:rsid w:val="00EB784A"/>
    <w:rsid w:val="00EB7A16"/>
    <w:rsid w:val="00EB7D1A"/>
    <w:rsid w:val="00EC0640"/>
    <w:rsid w:val="00EC1148"/>
    <w:rsid w:val="00EC1946"/>
    <w:rsid w:val="00EC1A10"/>
    <w:rsid w:val="00EC1A9F"/>
    <w:rsid w:val="00EC22D5"/>
    <w:rsid w:val="00EC2DC4"/>
    <w:rsid w:val="00EC3525"/>
    <w:rsid w:val="00EC3B94"/>
    <w:rsid w:val="00EC495F"/>
    <w:rsid w:val="00EC5127"/>
    <w:rsid w:val="00EC5272"/>
    <w:rsid w:val="00EC536C"/>
    <w:rsid w:val="00EC58F3"/>
    <w:rsid w:val="00EC595F"/>
    <w:rsid w:val="00EC637A"/>
    <w:rsid w:val="00EC6B0B"/>
    <w:rsid w:val="00EC6DC7"/>
    <w:rsid w:val="00EC7467"/>
    <w:rsid w:val="00EC76C7"/>
    <w:rsid w:val="00EC770D"/>
    <w:rsid w:val="00EC7946"/>
    <w:rsid w:val="00EC7CC5"/>
    <w:rsid w:val="00EC7D13"/>
    <w:rsid w:val="00ED0446"/>
    <w:rsid w:val="00ED08AC"/>
    <w:rsid w:val="00ED0A77"/>
    <w:rsid w:val="00ED0C73"/>
    <w:rsid w:val="00ED0EA8"/>
    <w:rsid w:val="00ED110D"/>
    <w:rsid w:val="00ED115F"/>
    <w:rsid w:val="00ED1238"/>
    <w:rsid w:val="00ED1875"/>
    <w:rsid w:val="00ED1884"/>
    <w:rsid w:val="00ED1C3E"/>
    <w:rsid w:val="00ED20B3"/>
    <w:rsid w:val="00ED29B5"/>
    <w:rsid w:val="00ED2DF8"/>
    <w:rsid w:val="00ED33A7"/>
    <w:rsid w:val="00ED3A8E"/>
    <w:rsid w:val="00ED4081"/>
    <w:rsid w:val="00ED40BE"/>
    <w:rsid w:val="00ED51AC"/>
    <w:rsid w:val="00ED550B"/>
    <w:rsid w:val="00ED591F"/>
    <w:rsid w:val="00ED593B"/>
    <w:rsid w:val="00ED5CA8"/>
    <w:rsid w:val="00ED6869"/>
    <w:rsid w:val="00ED69D4"/>
    <w:rsid w:val="00ED6B9B"/>
    <w:rsid w:val="00ED7326"/>
    <w:rsid w:val="00ED7DD5"/>
    <w:rsid w:val="00ED7FF1"/>
    <w:rsid w:val="00EE01A6"/>
    <w:rsid w:val="00EE01FD"/>
    <w:rsid w:val="00EE042D"/>
    <w:rsid w:val="00EE1DD3"/>
    <w:rsid w:val="00EE223D"/>
    <w:rsid w:val="00EE2340"/>
    <w:rsid w:val="00EE26B4"/>
    <w:rsid w:val="00EE29F3"/>
    <w:rsid w:val="00EE30C1"/>
    <w:rsid w:val="00EE3311"/>
    <w:rsid w:val="00EE3F15"/>
    <w:rsid w:val="00EE47E7"/>
    <w:rsid w:val="00EE48B9"/>
    <w:rsid w:val="00EE49C0"/>
    <w:rsid w:val="00EE4A4E"/>
    <w:rsid w:val="00EE5166"/>
    <w:rsid w:val="00EE5168"/>
    <w:rsid w:val="00EE52D0"/>
    <w:rsid w:val="00EE53FD"/>
    <w:rsid w:val="00EE56C6"/>
    <w:rsid w:val="00EE6625"/>
    <w:rsid w:val="00EE6768"/>
    <w:rsid w:val="00EE7163"/>
    <w:rsid w:val="00EE73FE"/>
    <w:rsid w:val="00EE7480"/>
    <w:rsid w:val="00EE7B71"/>
    <w:rsid w:val="00EF025A"/>
    <w:rsid w:val="00EF082A"/>
    <w:rsid w:val="00EF0A26"/>
    <w:rsid w:val="00EF0C2F"/>
    <w:rsid w:val="00EF146E"/>
    <w:rsid w:val="00EF1769"/>
    <w:rsid w:val="00EF17C8"/>
    <w:rsid w:val="00EF224E"/>
    <w:rsid w:val="00EF252A"/>
    <w:rsid w:val="00EF28D7"/>
    <w:rsid w:val="00EF2F62"/>
    <w:rsid w:val="00EF3CB0"/>
    <w:rsid w:val="00EF407C"/>
    <w:rsid w:val="00EF4325"/>
    <w:rsid w:val="00EF5D9F"/>
    <w:rsid w:val="00EF614F"/>
    <w:rsid w:val="00EF7934"/>
    <w:rsid w:val="00EF7C7B"/>
    <w:rsid w:val="00F00BC1"/>
    <w:rsid w:val="00F00E9C"/>
    <w:rsid w:val="00F016B3"/>
    <w:rsid w:val="00F01950"/>
    <w:rsid w:val="00F0199A"/>
    <w:rsid w:val="00F01A30"/>
    <w:rsid w:val="00F01D51"/>
    <w:rsid w:val="00F01DBF"/>
    <w:rsid w:val="00F01E02"/>
    <w:rsid w:val="00F01E3F"/>
    <w:rsid w:val="00F01F03"/>
    <w:rsid w:val="00F022FB"/>
    <w:rsid w:val="00F02520"/>
    <w:rsid w:val="00F02D7D"/>
    <w:rsid w:val="00F02E3E"/>
    <w:rsid w:val="00F03A39"/>
    <w:rsid w:val="00F03CEA"/>
    <w:rsid w:val="00F041DF"/>
    <w:rsid w:val="00F04459"/>
    <w:rsid w:val="00F04B71"/>
    <w:rsid w:val="00F04C3A"/>
    <w:rsid w:val="00F0545C"/>
    <w:rsid w:val="00F05C24"/>
    <w:rsid w:val="00F069AF"/>
    <w:rsid w:val="00F06A00"/>
    <w:rsid w:val="00F06B74"/>
    <w:rsid w:val="00F06C0F"/>
    <w:rsid w:val="00F06C6C"/>
    <w:rsid w:val="00F07345"/>
    <w:rsid w:val="00F0748F"/>
    <w:rsid w:val="00F1018F"/>
    <w:rsid w:val="00F10492"/>
    <w:rsid w:val="00F11124"/>
    <w:rsid w:val="00F11352"/>
    <w:rsid w:val="00F114B9"/>
    <w:rsid w:val="00F1163C"/>
    <w:rsid w:val="00F1171F"/>
    <w:rsid w:val="00F11DBE"/>
    <w:rsid w:val="00F125F4"/>
    <w:rsid w:val="00F12E22"/>
    <w:rsid w:val="00F12E2C"/>
    <w:rsid w:val="00F12E66"/>
    <w:rsid w:val="00F13D6E"/>
    <w:rsid w:val="00F13E60"/>
    <w:rsid w:val="00F13E68"/>
    <w:rsid w:val="00F13FA8"/>
    <w:rsid w:val="00F14077"/>
    <w:rsid w:val="00F14768"/>
    <w:rsid w:val="00F14E6A"/>
    <w:rsid w:val="00F14EE4"/>
    <w:rsid w:val="00F1519A"/>
    <w:rsid w:val="00F15DC2"/>
    <w:rsid w:val="00F160E8"/>
    <w:rsid w:val="00F16B5B"/>
    <w:rsid w:val="00F16EDD"/>
    <w:rsid w:val="00F17934"/>
    <w:rsid w:val="00F17C16"/>
    <w:rsid w:val="00F17FAE"/>
    <w:rsid w:val="00F206C8"/>
    <w:rsid w:val="00F20B08"/>
    <w:rsid w:val="00F20E61"/>
    <w:rsid w:val="00F2149A"/>
    <w:rsid w:val="00F21656"/>
    <w:rsid w:val="00F218FD"/>
    <w:rsid w:val="00F21E72"/>
    <w:rsid w:val="00F21F06"/>
    <w:rsid w:val="00F22CA5"/>
    <w:rsid w:val="00F2311F"/>
    <w:rsid w:val="00F23565"/>
    <w:rsid w:val="00F240BB"/>
    <w:rsid w:val="00F240FE"/>
    <w:rsid w:val="00F242CE"/>
    <w:rsid w:val="00F24B2C"/>
    <w:rsid w:val="00F260D0"/>
    <w:rsid w:val="00F260F0"/>
    <w:rsid w:val="00F263BE"/>
    <w:rsid w:val="00F26C18"/>
    <w:rsid w:val="00F26C85"/>
    <w:rsid w:val="00F26E8D"/>
    <w:rsid w:val="00F278EA"/>
    <w:rsid w:val="00F27FF5"/>
    <w:rsid w:val="00F3008F"/>
    <w:rsid w:val="00F30917"/>
    <w:rsid w:val="00F31431"/>
    <w:rsid w:val="00F31AED"/>
    <w:rsid w:val="00F321F3"/>
    <w:rsid w:val="00F3233C"/>
    <w:rsid w:val="00F32A6E"/>
    <w:rsid w:val="00F33BC0"/>
    <w:rsid w:val="00F342B9"/>
    <w:rsid w:val="00F3435D"/>
    <w:rsid w:val="00F34BB1"/>
    <w:rsid w:val="00F34BF4"/>
    <w:rsid w:val="00F35206"/>
    <w:rsid w:val="00F353EA"/>
    <w:rsid w:val="00F3590A"/>
    <w:rsid w:val="00F35937"/>
    <w:rsid w:val="00F36BF1"/>
    <w:rsid w:val="00F36D2B"/>
    <w:rsid w:val="00F37575"/>
    <w:rsid w:val="00F409EB"/>
    <w:rsid w:val="00F409FD"/>
    <w:rsid w:val="00F40AAB"/>
    <w:rsid w:val="00F4149E"/>
    <w:rsid w:val="00F41892"/>
    <w:rsid w:val="00F4217D"/>
    <w:rsid w:val="00F42276"/>
    <w:rsid w:val="00F42DC3"/>
    <w:rsid w:val="00F42F66"/>
    <w:rsid w:val="00F43548"/>
    <w:rsid w:val="00F43843"/>
    <w:rsid w:val="00F43B87"/>
    <w:rsid w:val="00F43DDA"/>
    <w:rsid w:val="00F43EA6"/>
    <w:rsid w:val="00F44750"/>
    <w:rsid w:val="00F4477C"/>
    <w:rsid w:val="00F4482C"/>
    <w:rsid w:val="00F44C86"/>
    <w:rsid w:val="00F45234"/>
    <w:rsid w:val="00F453BF"/>
    <w:rsid w:val="00F45C9D"/>
    <w:rsid w:val="00F46A7A"/>
    <w:rsid w:val="00F46E1A"/>
    <w:rsid w:val="00F46E81"/>
    <w:rsid w:val="00F4719A"/>
    <w:rsid w:val="00F47357"/>
    <w:rsid w:val="00F475FF"/>
    <w:rsid w:val="00F4795E"/>
    <w:rsid w:val="00F47C33"/>
    <w:rsid w:val="00F503AC"/>
    <w:rsid w:val="00F5048A"/>
    <w:rsid w:val="00F509D5"/>
    <w:rsid w:val="00F50B07"/>
    <w:rsid w:val="00F51A79"/>
    <w:rsid w:val="00F53D80"/>
    <w:rsid w:val="00F5438B"/>
    <w:rsid w:val="00F5441B"/>
    <w:rsid w:val="00F545B2"/>
    <w:rsid w:val="00F54A55"/>
    <w:rsid w:val="00F54CAF"/>
    <w:rsid w:val="00F54E6C"/>
    <w:rsid w:val="00F552D9"/>
    <w:rsid w:val="00F556C8"/>
    <w:rsid w:val="00F56359"/>
    <w:rsid w:val="00F564A3"/>
    <w:rsid w:val="00F565FF"/>
    <w:rsid w:val="00F568F9"/>
    <w:rsid w:val="00F569D9"/>
    <w:rsid w:val="00F569DD"/>
    <w:rsid w:val="00F56B66"/>
    <w:rsid w:val="00F578FD"/>
    <w:rsid w:val="00F57FED"/>
    <w:rsid w:val="00F60449"/>
    <w:rsid w:val="00F60C7A"/>
    <w:rsid w:val="00F61319"/>
    <w:rsid w:val="00F61416"/>
    <w:rsid w:val="00F61480"/>
    <w:rsid w:val="00F619F8"/>
    <w:rsid w:val="00F61B34"/>
    <w:rsid w:val="00F61BFA"/>
    <w:rsid w:val="00F61E43"/>
    <w:rsid w:val="00F61F01"/>
    <w:rsid w:val="00F62692"/>
    <w:rsid w:val="00F62884"/>
    <w:rsid w:val="00F628E1"/>
    <w:rsid w:val="00F62E99"/>
    <w:rsid w:val="00F63113"/>
    <w:rsid w:val="00F633E8"/>
    <w:rsid w:val="00F638E9"/>
    <w:rsid w:val="00F64558"/>
    <w:rsid w:val="00F648CA"/>
    <w:rsid w:val="00F6490F"/>
    <w:rsid w:val="00F64BEA"/>
    <w:rsid w:val="00F65235"/>
    <w:rsid w:val="00F652E8"/>
    <w:rsid w:val="00F65B53"/>
    <w:rsid w:val="00F66383"/>
    <w:rsid w:val="00F66498"/>
    <w:rsid w:val="00F66555"/>
    <w:rsid w:val="00F66581"/>
    <w:rsid w:val="00F66BC2"/>
    <w:rsid w:val="00F67372"/>
    <w:rsid w:val="00F6758D"/>
    <w:rsid w:val="00F679D0"/>
    <w:rsid w:val="00F700BC"/>
    <w:rsid w:val="00F70896"/>
    <w:rsid w:val="00F71B6C"/>
    <w:rsid w:val="00F71D84"/>
    <w:rsid w:val="00F72356"/>
    <w:rsid w:val="00F725AD"/>
    <w:rsid w:val="00F72D89"/>
    <w:rsid w:val="00F72E89"/>
    <w:rsid w:val="00F731D3"/>
    <w:rsid w:val="00F73285"/>
    <w:rsid w:val="00F73298"/>
    <w:rsid w:val="00F734CB"/>
    <w:rsid w:val="00F73E0C"/>
    <w:rsid w:val="00F73FC3"/>
    <w:rsid w:val="00F74950"/>
    <w:rsid w:val="00F75194"/>
    <w:rsid w:val="00F75A90"/>
    <w:rsid w:val="00F75C22"/>
    <w:rsid w:val="00F7621E"/>
    <w:rsid w:val="00F76367"/>
    <w:rsid w:val="00F76372"/>
    <w:rsid w:val="00F76958"/>
    <w:rsid w:val="00F76A8F"/>
    <w:rsid w:val="00F76D3D"/>
    <w:rsid w:val="00F76D44"/>
    <w:rsid w:val="00F76FCA"/>
    <w:rsid w:val="00F77869"/>
    <w:rsid w:val="00F8020D"/>
    <w:rsid w:val="00F80261"/>
    <w:rsid w:val="00F80CB4"/>
    <w:rsid w:val="00F80D32"/>
    <w:rsid w:val="00F81BC7"/>
    <w:rsid w:val="00F8288C"/>
    <w:rsid w:val="00F830CC"/>
    <w:rsid w:val="00F83363"/>
    <w:rsid w:val="00F83B5D"/>
    <w:rsid w:val="00F83F05"/>
    <w:rsid w:val="00F84241"/>
    <w:rsid w:val="00F843B8"/>
    <w:rsid w:val="00F84581"/>
    <w:rsid w:val="00F84788"/>
    <w:rsid w:val="00F85BF5"/>
    <w:rsid w:val="00F867C4"/>
    <w:rsid w:val="00F878E4"/>
    <w:rsid w:val="00F900E9"/>
    <w:rsid w:val="00F90365"/>
    <w:rsid w:val="00F904CA"/>
    <w:rsid w:val="00F90CCD"/>
    <w:rsid w:val="00F914CC"/>
    <w:rsid w:val="00F916FF"/>
    <w:rsid w:val="00F917D9"/>
    <w:rsid w:val="00F91EDF"/>
    <w:rsid w:val="00F92620"/>
    <w:rsid w:val="00F928F8"/>
    <w:rsid w:val="00F93768"/>
    <w:rsid w:val="00F937CF"/>
    <w:rsid w:val="00F93C05"/>
    <w:rsid w:val="00F945F3"/>
    <w:rsid w:val="00F94F1D"/>
    <w:rsid w:val="00F951D8"/>
    <w:rsid w:val="00F9555E"/>
    <w:rsid w:val="00F958D3"/>
    <w:rsid w:val="00F95E59"/>
    <w:rsid w:val="00F9633C"/>
    <w:rsid w:val="00F96A27"/>
    <w:rsid w:val="00F96C43"/>
    <w:rsid w:val="00F96DB4"/>
    <w:rsid w:val="00F97031"/>
    <w:rsid w:val="00F97329"/>
    <w:rsid w:val="00F97A18"/>
    <w:rsid w:val="00F97D24"/>
    <w:rsid w:val="00FA1156"/>
    <w:rsid w:val="00FA12D4"/>
    <w:rsid w:val="00FA1773"/>
    <w:rsid w:val="00FA228D"/>
    <w:rsid w:val="00FA25C1"/>
    <w:rsid w:val="00FA28B5"/>
    <w:rsid w:val="00FA2F3E"/>
    <w:rsid w:val="00FA30FA"/>
    <w:rsid w:val="00FA3D60"/>
    <w:rsid w:val="00FA3EC1"/>
    <w:rsid w:val="00FA3F8A"/>
    <w:rsid w:val="00FA403F"/>
    <w:rsid w:val="00FA453F"/>
    <w:rsid w:val="00FA4C53"/>
    <w:rsid w:val="00FA5263"/>
    <w:rsid w:val="00FA539F"/>
    <w:rsid w:val="00FA5458"/>
    <w:rsid w:val="00FA5A28"/>
    <w:rsid w:val="00FA6666"/>
    <w:rsid w:val="00FA66E6"/>
    <w:rsid w:val="00FA689E"/>
    <w:rsid w:val="00FA6A72"/>
    <w:rsid w:val="00FA7268"/>
    <w:rsid w:val="00FA72F5"/>
    <w:rsid w:val="00FA76B2"/>
    <w:rsid w:val="00FA7B42"/>
    <w:rsid w:val="00FA7DA4"/>
    <w:rsid w:val="00FA7E0A"/>
    <w:rsid w:val="00FB0064"/>
    <w:rsid w:val="00FB0F68"/>
    <w:rsid w:val="00FB12ED"/>
    <w:rsid w:val="00FB1F21"/>
    <w:rsid w:val="00FB2383"/>
    <w:rsid w:val="00FB2A60"/>
    <w:rsid w:val="00FB2B2C"/>
    <w:rsid w:val="00FB2BCE"/>
    <w:rsid w:val="00FB2DDA"/>
    <w:rsid w:val="00FB3124"/>
    <w:rsid w:val="00FB321F"/>
    <w:rsid w:val="00FB364A"/>
    <w:rsid w:val="00FB4022"/>
    <w:rsid w:val="00FB41F9"/>
    <w:rsid w:val="00FB4651"/>
    <w:rsid w:val="00FB4AFE"/>
    <w:rsid w:val="00FB4CAC"/>
    <w:rsid w:val="00FB5759"/>
    <w:rsid w:val="00FB583C"/>
    <w:rsid w:val="00FB59A1"/>
    <w:rsid w:val="00FB5A37"/>
    <w:rsid w:val="00FB5B0D"/>
    <w:rsid w:val="00FB626A"/>
    <w:rsid w:val="00FB6301"/>
    <w:rsid w:val="00FB76B8"/>
    <w:rsid w:val="00FB7E10"/>
    <w:rsid w:val="00FB7F69"/>
    <w:rsid w:val="00FC031B"/>
    <w:rsid w:val="00FC07EF"/>
    <w:rsid w:val="00FC0A83"/>
    <w:rsid w:val="00FC0ABF"/>
    <w:rsid w:val="00FC18EC"/>
    <w:rsid w:val="00FC27A2"/>
    <w:rsid w:val="00FC2F40"/>
    <w:rsid w:val="00FC3DDB"/>
    <w:rsid w:val="00FC426F"/>
    <w:rsid w:val="00FC4601"/>
    <w:rsid w:val="00FC4722"/>
    <w:rsid w:val="00FC480B"/>
    <w:rsid w:val="00FC50C7"/>
    <w:rsid w:val="00FC547D"/>
    <w:rsid w:val="00FC559E"/>
    <w:rsid w:val="00FC58F7"/>
    <w:rsid w:val="00FC5C9C"/>
    <w:rsid w:val="00FC639A"/>
    <w:rsid w:val="00FC6576"/>
    <w:rsid w:val="00FC65C2"/>
    <w:rsid w:val="00FC6676"/>
    <w:rsid w:val="00FC6956"/>
    <w:rsid w:val="00FC69B1"/>
    <w:rsid w:val="00FC7643"/>
    <w:rsid w:val="00FC7B1D"/>
    <w:rsid w:val="00FC7F6D"/>
    <w:rsid w:val="00FD0357"/>
    <w:rsid w:val="00FD087B"/>
    <w:rsid w:val="00FD144A"/>
    <w:rsid w:val="00FD1CFF"/>
    <w:rsid w:val="00FD2DC0"/>
    <w:rsid w:val="00FD37B8"/>
    <w:rsid w:val="00FD39EA"/>
    <w:rsid w:val="00FD486A"/>
    <w:rsid w:val="00FD4AB7"/>
    <w:rsid w:val="00FD4EF0"/>
    <w:rsid w:val="00FD5822"/>
    <w:rsid w:val="00FD6735"/>
    <w:rsid w:val="00FD6C63"/>
    <w:rsid w:val="00FD7483"/>
    <w:rsid w:val="00FD771C"/>
    <w:rsid w:val="00FD784C"/>
    <w:rsid w:val="00FD7F08"/>
    <w:rsid w:val="00FE0CC8"/>
    <w:rsid w:val="00FE1093"/>
    <w:rsid w:val="00FE1489"/>
    <w:rsid w:val="00FE1E32"/>
    <w:rsid w:val="00FE21C1"/>
    <w:rsid w:val="00FE29A4"/>
    <w:rsid w:val="00FE2E4D"/>
    <w:rsid w:val="00FE323A"/>
    <w:rsid w:val="00FE3802"/>
    <w:rsid w:val="00FE45BE"/>
    <w:rsid w:val="00FE4B20"/>
    <w:rsid w:val="00FE4FF9"/>
    <w:rsid w:val="00FE50D0"/>
    <w:rsid w:val="00FE53E5"/>
    <w:rsid w:val="00FE57E8"/>
    <w:rsid w:val="00FE5B2A"/>
    <w:rsid w:val="00FE616B"/>
    <w:rsid w:val="00FE67C0"/>
    <w:rsid w:val="00FE6ACD"/>
    <w:rsid w:val="00FE6D9F"/>
    <w:rsid w:val="00FE75EB"/>
    <w:rsid w:val="00FE7A73"/>
    <w:rsid w:val="00FE7AF4"/>
    <w:rsid w:val="00FE7F0E"/>
    <w:rsid w:val="00FF0605"/>
    <w:rsid w:val="00FF070B"/>
    <w:rsid w:val="00FF12E0"/>
    <w:rsid w:val="00FF2540"/>
    <w:rsid w:val="00FF3558"/>
    <w:rsid w:val="00FF3B29"/>
    <w:rsid w:val="00FF3CBB"/>
    <w:rsid w:val="00FF3EA4"/>
    <w:rsid w:val="00FF4401"/>
    <w:rsid w:val="00FF446F"/>
    <w:rsid w:val="00FF4A6D"/>
    <w:rsid w:val="00FF4A96"/>
    <w:rsid w:val="00FF5181"/>
    <w:rsid w:val="00FF6322"/>
    <w:rsid w:val="00FF68BC"/>
    <w:rsid w:val="00FF6EE2"/>
    <w:rsid w:val="00FF6F3D"/>
    <w:rsid w:val="00FF76C2"/>
    <w:rsid w:val="00FF782C"/>
    <w:rsid w:val="00FF7B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A3F4BCB"/>
  <w15:chartTrackingRefBased/>
  <w15:docId w15:val="{5610AA07-BFEA-4779-A7DC-09AD58E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iPriority="35" w:unhideWhenUsed="1" w:qFormat="1"/>
    <w:lsdException w:name="footnote reference" w:uiPriority="99"/>
    <w:lsdException w:name="Title" w:uiPriority="10"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B4ECA"/>
    <w:pPr>
      <w:spacing w:line="260" w:lineRule="exact"/>
    </w:pPr>
    <w:rPr>
      <w:rFonts w:ascii="Arial" w:hAnsi="Arial"/>
      <w:szCs w:val="24"/>
      <w:lang w:eastAsia="en-US"/>
    </w:rPr>
  </w:style>
  <w:style w:type="paragraph" w:styleId="Naslov1">
    <w:name w:val="heading 1"/>
    <w:aliases w:val="NASLOV"/>
    <w:basedOn w:val="Navaden"/>
    <w:next w:val="Navaden"/>
    <w:autoRedefine/>
    <w:qFormat/>
    <w:rsid w:val="00DF2D47"/>
    <w:pPr>
      <w:keepNext/>
      <w:shd w:val="clear" w:color="auto" w:fill="FFFFFF"/>
      <w:spacing w:before="240"/>
      <w:jc w:val="both"/>
      <w:outlineLvl w:val="0"/>
    </w:pPr>
    <w:rPr>
      <w:rFonts w:eastAsia="Calibri" w:cs="Arial"/>
      <w:b/>
      <w:bCs/>
      <w:color w:val="000000"/>
      <w:kern w:val="32"/>
      <w:szCs w:val="20"/>
      <w:lang w:eastAsia="sl-SI"/>
    </w:rPr>
  </w:style>
  <w:style w:type="paragraph" w:styleId="Naslov2">
    <w:name w:val="heading 2"/>
    <w:basedOn w:val="Navaden"/>
    <w:next w:val="Navaden"/>
    <w:link w:val="Naslov2Znak"/>
    <w:semiHidden/>
    <w:unhideWhenUsed/>
    <w:qFormat/>
    <w:rsid w:val="00D507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uiPriority w:val="99"/>
    <w:qFormat/>
    <w:rsid w:val="003E1C74"/>
    <w:pPr>
      <w:tabs>
        <w:tab w:val="left" w:pos="3402"/>
      </w:tabs>
    </w:pPr>
    <w:rPr>
      <w:lang w:val="it-IT"/>
    </w:r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link w:val="Glava"/>
    <w:rsid w:val="000202C0"/>
    <w:rPr>
      <w:rFonts w:ascii="Arial" w:hAnsi="Arial"/>
      <w:szCs w:val="24"/>
      <w:lang w:val="en-US" w:eastAsia="en-US"/>
    </w:rPr>
  </w:style>
  <w:style w:type="character" w:styleId="tevilkastrani">
    <w:name w:val="page number"/>
    <w:basedOn w:val="Privzetapisavaodstavka"/>
    <w:rsid w:val="00B21516"/>
  </w:style>
  <w:style w:type="paragraph" w:customStyle="1" w:styleId="odstavek">
    <w:name w:val="odstavek"/>
    <w:basedOn w:val="Navaden"/>
    <w:rsid w:val="00A075C0"/>
    <w:pPr>
      <w:spacing w:before="100" w:beforeAutospacing="1" w:after="100" w:afterAutospacing="1" w:line="240" w:lineRule="auto"/>
    </w:pPr>
    <w:rPr>
      <w:rFonts w:ascii="Times New Roman" w:hAnsi="Times New Roman"/>
      <w:sz w:val="24"/>
      <w:lang w:eastAsia="sl-SI"/>
    </w:rPr>
  </w:style>
  <w:style w:type="paragraph" w:styleId="Brezrazmikov">
    <w:name w:val="No Spacing"/>
    <w:aliases w:val="SUBHEADING,Clips Body,No Spacing1,ARTICLE TEXT,Medium Grid 21,Spacing,ISSUE AREA,Nessuna spaziatura,B"/>
    <w:link w:val="BrezrazmikovZnak"/>
    <w:uiPriority w:val="1"/>
    <w:qFormat/>
    <w:rsid w:val="00A075C0"/>
    <w:rPr>
      <w:rFonts w:ascii="Calibri" w:eastAsia="Calibri" w:hAnsi="Calibri"/>
      <w:sz w:val="22"/>
      <w:szCs w:val="22"/>
      <w:lang w:eastAsia="en-US"/>
    </w:rPr>
  </w:style>
  <w:style w:type="character" w:customStyle="1" w:styleId="BrezrazmikovZnak">
    <w:name w:val="Brez razmikov Znak"/>
    <w:aliases w:val="SUBHEADING Znak,Clips Body Znak,No Spacing1 Znak,ARTICLE TEXT Znak,Medium Grid 21 Znak,Spacing Znak,ISSUE AREA Znak,Nessuna spaziatura Znak,B Znak"/>
    <w:link w:val="Brezrazmikov"/>
    <w:uiPriority w:val="1"/>
    <w:locked/>
    <w:rsid w:val="00A075C0"/>
    <w:rPr>
      <w:rFonts w:ascii="Calibri" w:eastAsia="Calibri" w:hAnsi="Calibri"/>
      <w:sz w:val="22"/>
      <w:szCs w:val="22"/>
      <w:lang w:eastAsia="en-US"/>
    </w:rPr>
  </w:style>
  <w:style w:type="paragraph" w:styleId="Navadensplet">
    <w:name w:val="Normal (Web)"/>
    <w:basedOn w:val="Navaden"/>
    <w:uiPriority w:val="99"/>
    <w:rsid w:val="00A075C0"/>
    <w:pPr>
      <w:spacing w:before="100" w:beforeAutospacing="1" w:after="100" w:afterAutospacing="1" w:line="240" w:lineRule="auto"/>
    </w:pPr>
    <w:rPr>
      <w:rFonts w:ascii="Times New Roman" w:hAnsi="Times New Roman"/>
      <w:sz w:val="24"/>
      <w:lang w:eastAsia="sl-SI"/>
    </w:rPr>
  </w:style>
  <w:style w:type="paragraph" w:customStyle="1" w:styleId="Neotevilenodstavek">
    <w:name w:val="Neoštevilčen odstavek"/>
    <w:basedOn w:val="Navaden"/>
    <w:link w:val="NeotevilenodstavekZnak"/>
    <w:qFormat/>
    <w:rsid w:val="00A075C0"/>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qFormat/>
    <w:locked/>
    <w:rsid w:val="00A075C0"/>
    <w:rPr>
      <w:rFonts w:ascii="Arial" w:hAnsi="Arial" w:cs="Arial"/>
      <w:sz w:val="22"/>
      <w:szCs w:val="22"/>
    </w:rPr>
  </w:style>
  <w:style w:type="paragraph" w:customStyle="1" w:styleId="Default">
    <w:name w:val="Default"/>
    <w:rsid w:val="00A075C0"/>
    <w:pPr>
      <w:autoSpaceDE w:val="0"/>
      <w:autoSpaceDN w:val="0"/>
      <w:adjustRightInd w:val="0"/>
    </w:pPr>
    <w:rPr>
      <w:rFonts w:ascii="Arial" w:eastAsia="Calibri" w:hAnsi="Arial" w:cs="Arial"/>
      <w:color w:val="000000"/>
      <w:sz w:val="24"/>
      <w:szCs w:val="24"/>
      <w:lang w:eastAsia="en-US"/>
    </w:rPr>
  </w:style>
  <w:style w:type="paragraph" w:styleId="Naslov">
    <w:name w:val="Title"/>
    <w:basedOn w:val="Navaden"/>
    <w:link w:val="NaslovZnak"/>
    <w:uiPriority w:val="10"/>
    <w:qFormat/>
    <w:rsid w:val="00A075C0"/>
    <w:pPr>
      <w:spacing w:line="240" w:lineRule="auto"/>
      <w:jc w:val="center"/>
    </w:pPr>
    <w:rPr>
      <w:rFonts w:ascii="Times New Roman" w:hAnsi="Times New Roman"/>
      <w:b/>
      <w:bCs/>
      <w:sz w:val="28"/>
    </w:rPr>
  </w:style>
  <w:style w:type="character" w:customStyle="1" w:styleId="NaslovZnak">
    <w:name w:val="Naslov Znak"/>
    <w:link w:val="Naslov"/>
    <w:uiPriority w:val="10"/>
    <w:rsid w:val="00A075C0"/>
    <w:rPr>
      <w:b/>
      <w:bCs/>
      <w:sz w:val="28"/>
      <w:szCs w:val="24"/>
      <w:lang w:eastAsia="en-US"/>
    </w:rPr>
  </w:style>
  <w:style w:type="character" w:customStyle="1" w:styleId="NaslovpredpisaZnak">
    <w:name w:val="Naslov_predpisa Znak"/>
    <w:link w:val="Naslovpredpisa"/>
    <w:locked/>
    <w:rsid w:val="00A075C0"/>
    <w:rPr>
      <w:rFonts w:ascii="Arial" w:hAnsi="Arial"/>
      <w:b/>
      <w:bCs/>
    </w:rPr>
  </w:style>
  <w:style w:type="paragraph" w:customStyle="1" w:styleId="Naslovpredpisa">
    <w:name w:val="Naslov_predpisa"/>
    <w:basedOn w:val="Navaden"/>
    <w:link w:val="NaslovpredpisaZnak"/>
    <w:qFormat/>
    <w:rsid w:val="00A075C0"/>
    <w:pPr>
      <w:overflowPunct w:val="0"/>
      <w:autoSpaceDE w:val="0"/>
      <w:autoSpaceDN w:val="0"/>
      <w:spacing w:before="120" w:after="160" w:line="200" w:lineRule="exact"/>
      <w:jc w:val="center"/>
    </w:pPr>
    <w:rPr>
      <w:b/>
      <w:bCs/>
      <w:szCs w:val="20"/>
      <w:lang w:eastAsia="sl-SI"/>
    </w:rPr>
  </w:style>
  <w:style w:type="paragraph" w:styleId="Telobesedila">
    <w:name w:val="Body Text"/>
    <w:basedOn w:val="Navaden"/>
    <w:link w:val="TelobesedilaZnak"/>
    <w:rsid w:val="00283723"/>
    <w:pPr>
      <w:suppressAutoHyphens/>
      <w:spacing w:after="120" w:line="240" w:lineRule="auto"/>
    </w:pPr>
    <w:rPr>
      <w:rFonts w:ascii="Times New Roman" w:hAnsi="Times New Roman"/>
      <w:sz w:val="24"/>
      <w:lang w:val="x-none" w:eastAsia="ar-SA"/>
    </w:rPr>
  </w:style>
  <w:style w:type="character" w:customStyle="1" w:styleId="TelobesedilaZnak">
    <w:name w:val="Telo besedila Znak"/>
    <w:link w:val="Telobesedila"/>
    <w:rsid w:val="00283723"/>
    <w:rPr>
      <w:sz w:val="24"/>
      <w:szCs w:val="24"/>
      <w:lang w:val="x-none" w:eastAsia="ar-SA"/>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C10AE0"/>
    <w:pPr>
      <w:spacing w:line="260" w:lineRule="atLeast"/>
      <w:ind w:left="720"/>
      <w:contextualSpacing/>
    </w:p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link w:val="Odstavekseznama"/>
    <w:uiPriority w:val="34"/>
    <w:qFormat/>
    <w:locked/>
    <w:rsid w:val="00C10AE0"/>
    <w:rPr>
      <w:rFonts w:ascii="Arial" w:hAnsi="Arial"/>
      <w:szCs w:val="24"/>
      <w:lang w:eastAsia="en-US"/>
    </w:rPr>
  </w:style>
  <w:style w:type="character" w:customStyle="1" w:styleId="Bodytext2">
    <w:name w:val="Body text (2)_"/>
    <w:link w:val="Bodytext20"/>
    <w:uiPriority w:val="99"/>
    <w:rsid w:val="00830119"/>
    <w:rPr>
      <w:rFonts w:ascii="Arial" w:hAnsi="Arial" w:cs="Arial"/>
      <w:sz w:val="22"/>
      <w:szCs w:val="22"/>
      <w:shd w:val="clear" w:color="auto" w:fill="FFFFFF"/>
    </w:rPr>
  </w:style>
  <w:style w:type="paragraph" w:customStyle="1" w:styleId="Bodytext20">
    <w:name w:val="Body text (2)"/>
    <w:basedOn w:val="Navaden"/>
    <w:link w:val="Bodytext2"/>
    <w:uiPriority w:val="99"/>
    <w:rsid w:val="00830119"/>
    <w:pPr>
      <w:widowControl w:val="0"/>
      <w:shd w:val="clear" w:color="auto" w:fill="FFFFFF"/>
      <w:spacing w:before="780" w:line="240" w:lineRule="atLeast"/>
      <w:ind w:hanging="340"/>
      <w:jc w:val="both"/>
    </w:pPr>
    <w:rPr>
      <w:rFonts w:cs="Arial"/>
      <w:sz w:val="22"/>
      <w:szCs w:val="22"/>
      <w:lang w:eastAsia="sl-SI"/>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451ACB"/>
    <w:rPr>
      <w:szCs w:val="20"/>
      <w:lang w:val="en-US"/>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451ACB"/>
    <w:rPr>
      <w:rFonts w:ascii="Arial" w:hAnsi="Arial"/>
      <w:lang w:val="en-US" w:eastAsia="en-US"/>
    </w:rPr>
  </w:style>
  <w:style w:type="paragraph" w:customStyle="1" w:styleId="alineazaodstavkom1">
    <w:name w:val="alineazaodstavkom1"/>
    <w:basedOn w:val="Navaden"/>
    <w:rsid w:val="003905DB"/>
    <w:pPr>
      <w:spacing w:line="240" w:lineRule="auto"/>
      <w:ind w:left="425" w:hanging="425"/>
      <w:jc w:val="both"/>
    </w:pPr>
    <w:rPr>
      <w:rFonts w:cs="Arial"/>
      <w:sz w:val="22"/>
      <w:szCs w:val="22"/>
      <w:lang w:eastAsia="sl-SI"/>
    </w:rPr>
  </w:style>
  <w:style w:type="paragraph" w:styleId="Telobesedila2">
    <w:name w:val="Body Text 2"/>
    <w:basedOn w:val="Navaden"/>
    <w:link w:val="Telobesedila2Znak"/>
    <w:rsid w:val="00260BD5"/>
    <w:pPr>
      <w:spacing w:after="120" w:line="480" w:lineRule="auto"/>
    </w:pPr>
  </w:style>
  <w:style w:type="character" w:customStyle="1" w:styleId="Telobesedila2Znak">
    <w:name w:val="Telo besedila 2 Znak"/>
    <w:link w:val="Telobesedila2"/>
    <w:rsid w:val="00260BD5"/>
    <w:rPr>
      <w:rFonts w:ascii="Arial" w:hAnsi="Arial"/>
      <w:szCs w:val="24"/>
      <w:lang w:eastAsia="en-US"/>
    </w:rPr>
  </w:style>
  <w:style w:type="paragraph" w:customStyle="1" w:styleId="VRSTeloBesedila">
    <w:name w:val="VRS TeloBesedila"/>
    <w:basedOn w:val="Navaden"/>
    <w:qFormat/>
    <w:rsid w:val="00B200CA"/>
    <w:pPr>
      <w:tabs>
        <w:tab w:val="left" w:pos="567"/>
      </w:tabs>
      <w:suppressAutoHyphens/>
      <w:spacing w:before="240"/>
      <w:jc w:val="both"/>
    </w:pPr>
    <w:rPr>
      <w:rFonts w:eastAsia="Calibri"/>
      <w:szCs w:val="22"/>
    </w:rPr>
  </w:style>
  <w:style w:type="character" w:customStyle="1" w:styleId="tlid-translation">
    <w:name w:val="tlid-translation"/>
    <w:rsid w:val="000D412F"/>
  </w:style>
  <w:style w:type="character" w:styleId="Krepko">
    <w:name w:val="Strong"/>
    <w:uiPriority w:val="22"/>
    <w:qFormat/>
    <w:rsid w:val="00532A44"/>
    <w:rPr>
      <w:b/>
      <w:bCs/>
    </w:rPr>
  </w:style>
  <w:style w:type="character" w:customStyle="1" w:styleId="NogaZnak">
    <w:name w:val="Noga Znak"/>
    <w:link w:val="Noga"/>
    <w:rsid w:val="001106DC"/>
    <w:rPr>
      <w:rFonts w:ascii="Arial" w:hAnsi="Arial"/>
      <w:szCs w:val="24"/>
      <w:lang w:eastAsia="en-US"/>
    </w:rPr>
  </w:style>
  <w:style w:type="paragraph" w:customStyle="1" w:styleId="Oddelek">
    <w:name w:val="Oddelek"/>
    <w:basedOn w:val="Navaden"/>
    <w:link w:val="OddelekZnak1"/>
    <w:qFormat/>
    <w:rsid w:val="00362E5F"/>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362E5F"/>
    <w:rPr>
      <w:rFonts w:ascii="Arial" w:hAnsi="Arial" w:cs="Arial"/>
      <w:b/>
      <w:sz w:val="22"/>
      <w:szCs w:val="22"/>
    </w:rPr>
  </w:style>
  <w:style w:type="character" w:styleId="Poudarek">
    <w:name w:val="Emphasis"/>
    <w:uiPriority w:val="20"/>
    <w:qFormat/>
    <w:rsid w:val="00774D6C"/>
    <w:rPr>
      <w:i/>
      <w:iCs/>
    </w:rPr>
  </w:style>
  <w:style w:type="paragraph" w:customStyle="1" w:styleId="Brezrazmikov1">
    <w:name w:val="Brez razmikov1"/>
    <w:qFormat/>
    <w:rsid w:val="005C17E0"/>
    <w:rPr>
      <w:rFonts w:ascii="Calibri" w:eastAsia="Calibri" w:hAnsi="Calibri"/>
      <w:sz w:val="22"/>
      <w:szCs w:val="22"/>
      <w:lang w:eastAsia="en-US"/>
    </w:rPr>
  </w:style>
  <w:style w:type="paragraph" w:customStyle="1" w:styleId="tevilnatoka1">
    <w:name w:val="tevilnatoka1"/>
    <w:basedOn w:val="Navaden"/>
    <w:rsid w:val="00F06C6C"/>
    <w:pPr>
      <w:spacing w:line="240" w:lineRule="auto"/>
      <w:ind w:left="425" w:hanging="425"/>
      <w:jc w:val="both"/>
    </w:pPr>
    <w:rPr>
      <w:rFonts w:cs="Arial"/>
      <w:sz w:val="22"/>
      <w:szCs w:val="22"/>
      <w:lang w:eastAsia="sl-SI"/>
    </w:rPr>
  </w:style>
  <w:style w:type="character" w:customStyle="1" w:styleId="mrppsc">
    <w:name w:val="mrppsc"/>
    <w:rsid w:val="0049776E"/>
  </w:style>
  <w:style w:type="paragraph" w:customStyle="1" w:styleId="align-center">
    <w:name w:val="align-center"/>
    <w:basedOn w:val="Navaden"/>
    <w:rsid w:val="00AE1A81"/>
    <w:pPr>
      <w:spacing w:before="100" w:beforeAutospacing="1" w:after="100" w:afterAutospacing="1" w:line="240" w:lineRule="auto"/>
    </w:pPr>
    <w:rPr>
      <w:rFonts w:ascii="Times New Roman" w:hAnsi="Times New Roman"/>
      <w:sz w:val="24"/>
      <w:lang w:eastAsia="sl-SI"/>
    </w:rPr>
  </w:style>
  <w:style w:type="paragraph" w:customStyle="1" w:styleId="lv">
    <w:name w:val="lv"/>
    <w:basedOn w:val="Navaden"/>
    <w:rsid w:val="008A6ACA"/>
    <w:pPr>
      <w:widowControl w:val="0"/>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character" w:customStyle="1" w:styleId="NeotevilenodstavekZnakZnakZnak">
    <w:name w:val="Neoštevilčen odstavek Znak Znak Znak"/>
    <w:link w:val="NeotevilenodstavekZnakZnak"/>
    <w:locked/>
    <w:rsid w:val="005037D0"/>
    <w:rPr>
      <w:rFonts w:ascii="Arial" w:hAnsi="Arial" w:cs="Arial"/>
      <w:sz w:val="22"/>
      <w:szCs w:val="22"/>
    </w:rPr>
  </w:style>
  <w:style w:type="paragraph" w:customStyle="1" w:styleId="NeotevilenodstavekZnakZnak">
    <w:name w:val="Neoštevilčen odstavek Znak Znak"/>
    <w:basedOn w:val="Navaden"/>
    <w:link w:val="NeotevilenodstavekZnakZnakZnak"/>
    <w:qFormat/>
    <w:rsid w:val="005037D0"/>
    <w:pPr>
      <w:overflowPunct w:val="0"/>
      <w:autoSpaceDE w:val="0"/>
      <w:autoSpaceDN w:val="0"/>
      <w:adjustRightInd w:val="0"/>
      <w:spacing w:before="60" w:after="60" w:line="200" w:lineRule="exact"/>
      <w:jc w:val="both"/>
    </w:pPr>
    <w:rPr>
      <w:rFonts w:cs="Arial"/>
      <w:sz w:val="22"/>
      <w:szCs w:val="22"/>
      <w:lang w:eastAsia="sl-SI"/>
    </w:rPr>
  </w:style>
  <w:style w:type="paragraph" w:customStyle="1" w:styleId="bodytext">
    <w:name w:val="bodytext"/>
    <w:basedOn w:val="Navaden"/>
    <w:rsid w:val="00E94397"/>
    <w:pPr>
      <w:spacing w:before="100" w:beforeAutospacing="1" w:after="100" w:afterAutospacing="1" w:line="240" w:lineRule="auto"/>
    </w:pPr>
    <w:rPr>
      <w:rFonts w:ascii="Times New Roman" w:hAnsi="Times New Roman"/>
      <w:sz w:val="24"/>
      <w:lang w:val="en-GB" w:eastAsia="en-GB"/>
    </w:rPr>
  </w:style>
  <w:style w:type="character" w:customStyle="1" w:styleId="OdstavekseznamaZnak1">
    <w:name w:val="Odstavek seznama Znak1"/>
    <w:uiPriority w:val="99"/>
    <w:rsid w:val="00C81311"/>
    <w:rPr>
      <w:rFonts w:eastAsia="SimSun" w:cs="Calibri"/>
      <w:sz w:val="22"/>
      <w:szCs w:val="22"/>
      <w:lang w:eastAsia="zh-CN"/>
    </w:rPr>
  </w:style>
  <w:style w:type="paragraph" w:customStyle="1" w:styleId="text-center">
    <w:name w:val="text-center"/>
    <w:basedOn w:val="Navaden"/>
    <w:rsid w:val="00C31D79"/>
    <w:pPr>
      <w:spacing w:before="100" w:beforeAutospacing="1" w:after="100" w:afterAutospacing="1" w:line="240" w:lineRule="auto"/>
    </w:pPr>
    <w:rPr>
      <w:rFonts w:ascii="Times New Roman" w:hAnsi="Times New Roman"/>
      <w:sz w:val="24"/>
      <w:lang w:eastAsia="sl-SI"/>
    </w:rPr>
  </w:style>
  <w:style w:type="paragraph" w:customStyle="1" w:styleId="text-justify">
    <w:name w:val="text-justify"/>
    <w:basedOn w:val="Navaden"/>
    <w:rsid w:val="00406380"/>
    <w:pPr>
      <w:spacing w:before="100" w:beforeAutospacing="1" w:after="100" w:afterAutospacing="1" w:line="240" w:lineRule="auto"/>
    </w:pPr>
    <w:rPr>
      <w:rFonts w:ascii="Times New Roman" w:hAnsi="Times New Roman"/>
      <w:sz w:val="24"/>
      <w:lang w:eastAsia="sl-SI"/>
    </w:rPr>
  </w:style>
  <w:style w:type="paragraph" w:customStyle="1" w:styleId="Style10">
    <w:name w:val="Style10"/>
    <w:basedOn w:val="Navaden"/>
    <w:uiPriority w:val="99"/>
    <w:rsid w:val="005708D9"/>
    <w:pPr>
      <w:widowControl w:val="0"/>
      <w:autoSpaceDE w:val="0"/>
      <w:autoSpaceDN w:val="0"/>
      <w:adjustRightInd w:val="0"/>
      <w:spacing w:line="259" w:lineRule="exact"/>
      <w:jc w:val="both"/>
    </w:pPr>
    <w:rPr>
      <w:rFonts w:ascii="Trebuchet MS" w:hAnsi="Trebuchet MS"/>
      <w:sz w:val="24"/>
      <w:lang w:eastAsia="sl-SI"/>
    </w:rPr>
  </w:style>
  <w:style w:type="character" w:customStyle="1" w:styleId="FontStyle18">
    <w:name w:val="Font Style18"/>
    <w:uiPriority w:val="99"/>
    <w:rsid w:val="005708D9"/>
    <w:rPr>
      <w:rFonts w:ascii="Arial" w:hAnsi="Arial" w:cs="Arial"/>
      <w:sz w:val="20"/>
      <w:szCs w:val="20"/>
    </w:rPr>
  </w:style>
  <w:style w:type="paragraph" w:customStyle="1" w:styleId="1">
    <w:name w:val="1"/>
    <w:basedOn w:val="Navaden"/>
    <w:qFormat/>
    <w:rsid w:val="009434EF"/>
    <w:pPr>
      <w:spacing w:line="260" w:lineRule="atLeast"/>
      <w:jc w:val="both"/>
    </w:pPr>
    <w:rPr>
      <w:rFonts w:cs="Arial"/>
      <w:szCs w:val="20"/>
    </w:rPr>
  </w:style>
  <w:style w:type="character" w:styleId="Neensklic">
    <w:name w:val="Subtle Reference"/>
    <w:uiPriority w:val="31"/>
    <w:qFormat/>
    <w:rsid w:val="006269C0"/>
    <w:rPr>
      <w:b/>
      <w:bCs/>
      <w:color w:val="5B9BD5"/>
    </w:rPr>
  </w:style>
  <w:style w:type="paragraph" w:styleId="Golobesedilo">
    <w:name w:val="Plain Text"/>
    <w:basedOn w:val="Navaden"/>
    <w:link w:val="GolobesediloZnak"/>
    <w:unhideWhenUsed/>
    <w:rsid w:val="00F34BF4"/>
    <w:pPr>
      <w:spacing w:line="240" w:lineRule="auto"/>
    </w:pPr>
    <w:rPr>
      <w:rFonts w:ascii="Consolas" w:eastAsia="Calibri" w:hAnsi="Consolas"/>
      <w:sz w:val="21"/>
      <w:szCs w:val="21"/>
    </w:rPr>
  </w:style>
  <w:style w:type="character" w:customStyle="1" w:styleId="GolobesediloZnak">
    <w:name w:val="Golo besedilo Znak"/>
    <w:link w:val="Golobesedilo"/>
    <w:rsid w:val="00F34BF4"/>
    <w:rPr>
      <w:rFonts w:ascii="Consolas" w:eastAsia="Calibri" w:hAnsi="Consolas"/>
      <w:sz w:val="21"/>
      <w:szCs w:val="21"/>
      <w:lang w:eastAsia="en-US"/>
    </w:rPr>
  </w:style>
  <w:style w:type="character" w:customStyle="1" w:styleId="Bodytext3">
    <w:name w:val="Body text (3)_"/>
    <w:link w:val="Bodytext30"/>
    <w:uiPriority w:val="99"/>
    <w:rsid w:val="00F61BFA"/>
    <w:rPr>
      <w:rFonts w:ascii="Verdana" w:hAnsi="Verdana" w:cs="Verdana"/>
      <w:b/>
      <w:bCs/>
      <w:sz w:val="16"/>
      <w:szCs w:val="16"/>
      <w:shd w:val="clear" w:color="auto" w:fill="FFFFFF"/>
    </w:rPr>
  </w:style>
  <w:style w:type="paragraph" w:customStyle="1" w:styleId="Bodytext30">
    <w:name w:val="Body text (3)"/>
    <w:basedOn w:val="Navaden"/>
    <w:link w:val="Bodytext3"/>
    <w:uiPriority w:val="99"/>
    <w:rsid w:val="00F61BFA"/>
    <w:pPr>
      <w:widowControl w:val="0"/>
      <w:shd w:val="clear" w:color="auto" w:fill="FFFFFF"/>
      <w:spacing w:after="600" w:line="240" w:lineRule="atLeast"/>
      <w:ind w:hanging="440"/>
      <w:jc w:val="right"/>
    </w:pPr>
    <w:rPr>
      <w:rFonts w:ascii="Verdana" w:hAnsi="Verdana" w:cs="Verdana"/>
      <w:b/>
      <w:bCs/>
      <w:sz w:val="16"/>
      <w:szCs w:val="16"/>
      <w:lang w:eastAsia="sl-SI"/>
    </w:rPr>
  </w:style>
  <w:style w:type="paragraph" w:customStyle="1" w:styleId="tevilnatoka0">
    <w:name w:val="tevilnatoka"/>
    <w:basedOn w:val="Navaden"/>
    <w:rsid w:val="00F61BF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236CA0"/>
    <w:pPr>
      <w:spacing w:before="100" w:beforeAutospacing="1" w:after="100" w:afterAutospacing="1" w:line="240" w:lineRule="auto"/>
    </w:pPr>
    <w:rPr>
      <w:rFonts w:ascii="Times New Roman" w:hAnsi="Times New Roman"/>
      <w:noProof/>
      <w:sz w:val="24"/>
      <w:lang w:eastAsia="sl-SI"/>
    </w:rPr>
  </w:style>
  <w:style w:type="paragraph" w:styleId="Pripombabesedilo">
    <w:name w:val="annotation text"/>
    <w:basedOn w:val="Navaden"/>
    <w:link w:val="PripombabesediloZnak"/>
    <w:uiPriority w:val="99"/>
    <w:unhideWhenUsed/>
    <w:rsid w:val="007A5215"/>
    <w:pPr>
      <w:spacing w:line="240" w:lineRule="auto"/>
    </w:pPr>
    <w:rPr>
      <w:szCs w:val="20"/>
    </w:rPr>
  </w:style>
  <w:style w:type="character" w:customStyle="1" w:styleId="PripombabesediloZnak">
    <w:name w:val="Pripomba – besedilo Znak"/>
    <w:link w:val="Pripombabesedilo"/>
    <w:uiPriority w:val="99"/>
    <w:rsid w:val="007A5215"/>
    <w:rPr>
      <w:rFonts w:ascii="Arial" w:hAnsi="Arial"/>
      <w:lang w:eastAsia="en-US"/>
    </w:rPr>
  </w:style>
  <w:style w:type="paragraph" w:customStyle="1" w:styleId="esegmenth4">
    <w:name w:val="esegment_h4"/>
    <w:basedOn w:val="Navaden"/>
    <w:rsid w:val="000B51D4"/>
    <w:pPr>
      <w:suppressAutoHyphens/>
      <w:spacing w:after="192" w:line="240" w:lineRule="auto"/>
      <w:jc w:val="center"/>
    </w:pPr>
    <w:rPr>
      <w:rFonts w:ascii="Times New Roman" w:hAnsi="Times New Roman"/>
      <w:b/>
      <w:bCs/>
      <w:color w:val="313131"/>
      <w:sz w:val="24"/>
      <w:lang w:eastAsia="zh-CN"/>
    </w:rPr>
  </w:style>
  <w:style w:type="character" w:styleId="Sprotnaopomba-sklic">
    <w:name w:val="footnote reference"/>
    <w:uiPriority w:val="99"/>
    <w:rsid w:val="008B002E"/>
    <w:rPr>
      <w:vertAlign w:val="superscript"/>
    </w:rPr>
  </w:style>
  <w:style w:type="paragraph" w:customStyle="1" w:styleId="ECVSubSectionHeading">
    <w:name w:val="_ECV_SubSectionHeading"/>
    <w:basedOn w:val="Navaden"/>
    <w:rsid w:val="0081101B"/>
    <w:pPr>
      <w:widowControl w:val="0"/>
      <w:suppressLineNumbers/>
      <w:suppressAutoHyphens/>
      <w:spacing w:line="100" w:lineRule="atLeast"/>
    </w:pPr>
    <w:rPr>
      <w:rFonts w:ascii="Times New Roman" w:hAnsi="Times New Roman"/>
      <w:szCs w:val="20"/>
      <w:lang w:val="en-US"/>
    </w:rPr>
  </w:style>
  <w:style w:type="paragraph" w:styleId="Telobesedila3">
    <w:name w:val="Body Text 3"/>
    <w:basedOn w:val="Navaden"/>
    <w:link w:val="Telobesedila3Znak"/>
    <w:rsid w:val="000C05CB"/>
    <w:pPr>
      <w:spacing w:after="120"/>
    </w:pPr>
    <w:rPr>
      <w:sz w:val="16"/>
      <w:szCs w:val="16"/>
    </w:rPr>
  </w:style>
  <w:style w:type="character" w:customStyle="1" w:styleId="Telobesedila3Znak">
    <w:name w:val="Telo besedila 3 Znak"/>
    <w:link w:val="Telobesedila3"/>
    <w:rsid w:val="000C05CB"/>
    <w:rPr>
      <w:rFonts w:ascii="Arial" w:hAnsi="Arial"/>
      <w:sz w:val="16"/>
      <w:szCs w:val="16"/>
      <w:lang w:eastAsia="en-US"/>
    </w:rPr>
  </w:style>
  <w:style w:type="character" w:customStyle="1" w:styleId="st">
    <w:name w:val="st"/>
    <w:rsid w:val="002515DF"/>
  </w:style>
  <w:style w:type="paragraph" w:customStyle="1" w:styleId="Poglavje">
    <w:name w:val="Poglavje"/>
    <w:basedOn w:val="Navaden"/>
    <w:uiPriority w:val="99"/>
    <w:qFormat/>
    <w:rsid w:val="00471998"/>
    <w:pPr>
      <w:suppressAutoHyphens/>
      <w:overflowPunct w:val="0"/>
      <w:autoSpaceDE w:val="0"/>
      <w:autoSpaceDN w:val="0"/>
      <w:adjustRightInd w:val="0"/>
      <w:spacing w:before="360" w:after="60" w:line="200" w:lineRule="exact"/>
      <w:jc w:val="center"/>
      <w:outlineLvl w:val="3"/>
    </w:pPr>
    <w:rPr>
      <w:rFonts w:cs="Arial"/>
      <w:b/>
      <w:sz w:val="22"/>
      <w:szCs w:val="22"/>
      <w:lang w:eastAsia="sl-SI"/>
    </w:rPr>
  </w:style>
  <w:style w:type="paragraph" w:customStyle="1" w:styleId="Odsek">
    <w:name w:val="Odsek"/>
    <w:basedOn w:val="Navaden"/>
    <w:link w:val="OdsekZnak"/>
    <w:qFormat/>
    <w:rsid w:val="005620C8"/>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eastAsia="Calibri"/>
      <w:b/>
      <w:sz w:val="22"/>
      <w:szCs w:val="22"/>
      <w:lang w:val="x-none" w:eastAsia="x-none"/>
    </w:rPr>
  </w:style>
  <w:style w:type="character" w:customStyle="1" w:styleId="OdsekZnak">
    <w:name w:val="Odsek Znak"/>
    <w:link w:val="Odsek"/>
    <w:rsid w:val="005620C8"/>
    <w:rPr>
      <w:rFonts w:ascii="Arial" w:eastAsia="Calibri" w:hAnsi="Arial"/>
      <w:b/>
      <w:sz w:val="22"/>
      <w:szCs w:val="22"/>
      <w:lang w:val="x-none" w:eastAsia="x-none"/>
    </w:rPr>
  </w:style>
  <w:style w:type="paragraph" w:customStyle="1" w:styleId="align-left1">
    <w:name w:val="align-left1"/>
    <w:basedOn w:val="Navaden"/>
    <w:rsid w:val="006822DA"/>
    <w:pPr>
      <w:spacing w:line="240" w:lineRule="auto"/>
    </w:pPr>
    <w:rPr>
      <w:rFonts w:ascii="Times New Roman" w:hAnsi="Times New Roman"/>
      <w:sz w:val="24"/>
      <w:lang w:eastAsia="sl-SI"/>
    </w:rPr>
  </w:style>
  <w:style w:type="character" w:customStyle="1" w:styleId="besediloZnak">
    <w:name w:val="besedilo Znak"/>
    <w:link w:val="besedilo"/>
    <w:locked/>
    <w:rsid w:val="0034048D"/>
    <w:rPr>
      <w:rFonts w:ascii="Arial" w:hAnsi="Arial"/>
      <w:sz w:val="24"/>
    </w:rPr>
  </w:style>
  <w:style w:type="paragraph" w:customStyle="1" w:styleId="besedilo">
    <w:name w:val="besedilo"/>
    <w:basedOn w:val="Navaden"/>
    <w:link w:val="besediloZnak"/>
    <w:qFormat/>
    <w:rsid w:val="0034048D"/>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 w:val="24"/>
      <w:szCs w:val="20"/>
      <w:lang w:eastAsia="sl-SI"/>
    </w:rPr>
  </w:style>
  <w:style w:type="paragraph" w:customStyle="1" w:styleId="Odstavek0">
    <w:name w:val="Odstavek"/>
    <w:basedOn w:val="Navaden"/>
    <w:link w:val="OdstavekZnak"/>
    <w:qFormat/>
    <w:rsid w:val="00CE0C4E"/>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0"/>
    <w:rsid w:val="00CE0C4E"/>
    <w:rPr>
      <w:rFonts w:ascii="Arial" w:hAnsi="Arial"/>
      <w:sz w:val="22"/>
      <w:szCs w:val="22"/>
      <w:lang w:val="x-none" w:eastAsia="x-none"/>
    </w:rPr>
  </w:style>
  <w:style w:type="paragraph" w:customStyle="1" w:styleId="Standard">
    <w:name w:val="Standard"/>
    <w:rsid w:val="008E5E95"/>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odstavek1">
    <w:name w:val="odstavek1"/>
    <w:basedOn w:val="Navaden"/>
    <w:rsid w:val="00922180"/>
    <w:pPr>
      <w:spacing w:before="240" w:line="240" w:lineRule="auto"/>
      <w:ind w:firstLine="1021"/>
      <w:jc w:val="both"/>
    </w:pPr>
    <w:rPr>
      <w:rFonts w:cs="Arial"/>
      <w:sz w:val="22"/>
      <w:szCs w:val="22"/>
      <w:lang w:eastAsia="sl-SI"/>
    </w:rPr>
  </w:style>
  <w:style w:type="character" w:customStyle="1" w:styleId="AlineazaodstavkomZnak">
    <w:name w:val="Alinea za odstavkom Znak"/>
    <w:link w:val="Alineazaodstavkom"/>
    <w:locked/>
    <w:rsid w:val="00922180"/>
    <w:rPr>
      <w:rFonts w:ascii="Arial" w:hAnsi="Arial" w:cs="Arial"/>
      <w:sz w:val="22"/>
      <w:szCs w:val="22"/>
    </w:rPr>
  </w:style>
  <w:style w:type="paragraph" w:customStyle="1" w:styleId="Alineazaodstavkom">
    <w:name w:val="Alinea za odstavkom"/>
    <w:basedOn w:val="Navaden"/>
    <w:link w:val="AlineazaodstavkomZnak"/>
    <w:qFormat/>
    <w:rsid w:val="00922180"/>
    <w:pPr>
      <w:numPr>
        <w:numId w:val="3"/>
      </w:numPr>
      <w:overflowPunct w:val="0"/>
      <w:autoSpaceDE w:val="0"/>
      <w:autoSpaceDN w:val="0"/>
      <w:adjustRightInd w:val="0"/>
      <w:spacing w:line="200" w:lineRule="exact"/>
      <w:ind w:left="709" w:hanging="284"/>
      <w:jc w:val="both"/>
    </w:pPr>
    <w:rPr>
      <w:rFonts w:cs="Arial"/>
      <w:sz w:val="22"/>
      <w:szCs w:val="22"/>
      <w:lang w:eastAsia="sl-SI"/>
    </w:rPr>
  </w:style>
  <w:style w:type="paragraph" w:styleId="Napis">
    <w:name w:val="caption"/>
    <w:basedOn w:val="Navaden"/>
    <w:next w:val="Navaden"/>
    <w:uiPriority w:val="35"/>
    <w:qFormat/>
    <w:rsid w:val="00A91DEE"/>
    <w:pPr>
      <w:suppressAutoHyphens/>
      <w:spacing w:line="240" w:lineRule="auto"/>
    </w:pPr>
    <w:rPr>
      <w:rFonts w:ascii="Tahoma" w:hAnsi="Tahoma"/>
      <w:b/>
      <w:bCs/>
      <w:szCs w:val="20"/>
      <w:lang w:eastAsia="ar-SA"/>
    </w:rPr>
  </w:style>
  <w:style w:type="paragraph" w:styleId="Seznam">
    <w:name w:val="List"/>
    <w:basedOn w:val="Telobesedila"/>
    <w:rsid w:val="00E2676C"/>
    <w:pPr>
      <w:tabs>
        <w:tab w:val="left" w:pos="284"/>
        <w:tab w:val="left" w:pos="567"/>
        <w:tab w:val="left" w:pos="851"/>
        <w:tab w:val="left" w:pos="1134"/>
        <w:tab w:val="left" w:pos="1418"/>
        <w:tab w:val="left" w:pos="1701"/>
        <w:tab w:val="left" w:pos="2268"/>
        <w:tab w:val="left" w:pos="2835"/>
        <w:tab w:val="left" w:pos="3402"/>
      </w:tabs>
      <w:suppressAutoHyphens w:val="0"/>
      <w:spacing w:after="0" w:line="259" w:lineRule="auto"/>
      <w:ind w:left="284" w:hanging="284"/>
      <w:jc w:val="both"/>
    </w:pPr>
    <w:rPr>
      <w:rFonts w:ascii="Frutiger" w:hAnsi="Frutiger"/>
      <w:w w:val="90"/>
      <w:sz w:val="22"/>
      <w:szCs w:val="20"/>
      <w:lang w:eastAsia="x-none"/>
    </w:rPr>
  </w:style>
  <w:style w:type="paragraph" w:styleId="Besedilooblaka">
    <w:name w:val="Balloon Text"/>
    <w:basedOn w:val="Navaden"/>
    <w:link w:val="BesedilooblakaZnak"/>
    <w:rsid w:val="0044293D"/>
    <w:pPr>
      <w:spacing w:line="240" w:lineRule="auto"/>
    </w:pPr>
    <w:rPr>
      <w:rFonts w:ascii="Segoe UI" w:hAnsi="Segoe UI" w:cs="Segoe UI"/>
      <w:sz w:val="18"/>
      <w:szCs w:val="18"/>
    </w:rPr>
  </w:style>
  <w:style w:type="character" w:customStyle="1" w:styleId="BesedilooblakaZnak">
    <w:name w:val="Besedilo oblačka Znak"/>
    <w:link w:val="Besedilooblaka"/>
    <w:rsid w:val="0044293D"/>
    <w:rPr>
      <w:rFonts w:ascii="Segoe UI" w:hAnsi="Segoe UI" w:cs="Segoe UI"/>
      <w:sz w:val="18"/>
      <w:szCs w:val="18"/>
      <w:lang w:eastAsia="en-US"/>
    </w:rPr>
  </w:style>
  <w:style w:type="character" w:styleId="SledenaHiperpovezava">
    <w:name w:val="FollowedHyperlink"/>
    <w:rsid w:val="008649B5"/>
    <w:rPr>
      <w:color w:val="954F72"/>
      <w:u w:val="single"/>
    </w:rPr>
  </w:style>
  <w:style w:type="character" w:customStyle="1" w:styleId="highlight">
    <w:name w:val="highlight"/>
    <w:rsid w:val="000229E1"/>
  </w:style>
  <w:style w:type="paragraph" w:styleId="HTML-oblikovano">
    <w:name w:val="HTML Preformatted"/>
    <w:basedOn w:val="Navaden"/>
    <w:link w:val="HTML-oblikovanoZnak"/>
    <w:uiPriority w:val="99"/>
    <w:unhideWhenUsed/>
    <w:rsid w:val="00982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9825C4"/>
    <w:rPr>
      <w:rFonts w:ascii="Courier New" w:hAnsi="Courier New" w:cs="Courier New"/>
    </w:rPr>
  </w:style>
  <w:style w:type="character" w:customStyle="1" w:styleId="Naslov2Znak">
    <w:name w:val="Naslov 2 Znak"/>
    <w:basedOn w:val="Privzetapisavaodstavka"/>
    <w:link w:val="Naslov2"/>
    <w:semiHidden/>
    <w:rsid w:val="00D507BA"/>
    <w:rPr>
      <w:rFonts w:asciiTheme="majorHAnsi" w:eastAsiaTheme="majorEastAsia" w:hAnsiTheme="majorHAnsi" w:cstheme="majorBidi"/>
      <w:color w:val="2F5496" w:themeColor="accent1" w:themeShade="BF"/>
      <w:sz w:val="26"/>
      <w:szCs w:val="26"/>
      <w:lang w:eastAsia="en-US"/>
    </w:rPr>
  </w:style>
  <w:style w:type="character" w:styleId="Pripombasklic">
    <w:name w:val="annotation reference"/>
    <w:basedOn w:val="Privzetapisavaodstavka"/>
    <w:rsid w:val="008E1EB4"/>
    <w:rPr>
      <w:sz w:val="16"/>
      <w:szCs w:val="16"/>
    </w:rPr>
  </w:style>
  <w:style w:type="paragraph" w:styleId="Zadevapripombe">
    <w:name w:val="annotation subject"/>
    <w:basedOn w:val="Pripombabesedilo"/>
    <w:next w:val="Pripombabesedilo"/>
    <w:link w:val="ZadevapripombeZnak"/>
    <w:semiHidden/>
    <w:unhideWhenUsed/>
    <w:rsid w:val="008E1EB4"/>
    <w:rPr>
      <w:b/>
      <w:bCs/>
    </w:rPr>
  </w:style>
  <w:style w:type="character" w:customStyle="1" w:styleId="ZadevapripombeZnak">
    <w:name w:val="Zadeva pripombe Znak"/>
    <w:basedOn w:val="PripombabesediloZnak"/>
    <w:link w:val="Zadevapripombe"/>
    <w:semiHidden/>
    <w:rsid w:val="008E1EB4"/>
    <w:rPr>
      <w:rFonts w:ascii="Arial" w:hAnsi="Arial"/>
      <w:b/>
      <w:bCs/>
      <w:lang w:eastAsia="en-US"/>
    </w:rPr>
  </w:style>
  <w:style w:type="paragraph" w:customStyle="1" w:styleId="tevilnatoka111">
    <w:name w:val="Številčna točka 1.1.1"/>
    <w:basedOn w:val="Navaden"/>
    <w:qFormat/>
    <w:rsid w:val="007070CE"/>
    <w:pPr>
      <w:widowControl w:val="0"/>
      <w:numPr>
        <w:ilvl w:val="2"/>
        <w:numId w:val="4"/>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7070CE"/>
    <w:pPr>
      <w:numPr>
        <w:numId w:val="4"/>
      </w:numPr>
      <w:spacing w:line="240" w:lineRule="auto"/>
      <w:jc w:val="both"/>
    </w:pPr>
    <w:rPr>
      <w:rFonts w:cs="Arial"/>
      <w:sz w:val="22"/>
      <w:szCs w:val="22"/>
      <w:lang w:eastAsia="sl-SI"/>
    </w:rPr>
  </w:style>
  <w:style w:type="character" w:customStyle="1" w:styleId="tevilnatokaZnak">
    <w:name w:val="Številčna točka Znak"/>
    <w:link w:val="tevilnatoka"/>
    <w:rsid w:val="007070CE"/>
    <w:rPr>
      <w:rFonts w:ascii="Arial" w:hAnsi="Arial" w:cs="Arial"/>
      <w:sz w:val="22"/>
      <w:szCs w:val="22"/>
    </w:rPr>
  </w:style>
  <w:style w:type="paragraph" w:customStyle="1" w:styleId="tevilnatoka11Nova">
    <w:name w:val="Številčna točka 1.1 Nova"/>
    <w:basedOn w:val="tevilnatoka"/>
    <w:qFormat/>
    <w:rsid w:val="007070CE"/>
    <w:pPr>
      <w:numPr>
        <w:ilvl w:val="1"/>
      </w:numPr>
      <w:tabs>
        <w:tab w:val="clear" w:pos="425"/>
      </w:tabs>
      <w:ind w:left="1222" w:hanging="360"/>
    </w:pPr>
  </w:style>
  <w:style w:type="paragraph" w:customStyle="1" w:styleId="xxmsonormal">
    <w:name w:val="x_xmsonormal"/>
    <w:basedOn w:val="Navaden"/>
    <w:rsid w:val="00014C39"/>
    <w:pPr>
      <w:spacing w:line="240" w:lineRule="auto"/>
    </w:pPr>
    <w:rPr>
      <w:rFonts w:ascii="Calibri" w:hAnsi="Calibri" w:cs="Calibri"/>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7451">
      <w:bodyDiv w:val="1"/>
      <w:marLeft w:val="0"/>
      <w:marRight w:val="0"/>
      <w:marTop w:val="0"/>
      <w:marBottom w:val="0"/>
      <w:divBdr>
        <w:top w:val="none" w:sz="0" w:space="0" w:color="auto"/>
        <w:left w:val="none" w:sz="0" w:space="0" w:color="auto"/>
        <w:bottom w:val="none" w:sz="0" w:space="0" w:color="auto"/>
        <w:right w:val="none" w:sz="0" w:space="0" w:color="auto"/>
      </w:divBdr>
    </w:div>
    <w:div w:id="87040400">
      <w:bodyDiv w:val="1"/>
      <w:marLeft w:val="0"/>
      <w:marRight w:val="0"/>
      <w:marTop w:val="0"/>
      <w:marBottom w:val="0"/>
      <w:divBdr>
        <w:top w:val="none" w:sz="0" w:space="0" w:color="auto"/>
        <w:left w:val="none" w:sz="0" w:space="0" w:color="auto"/>
        <w:bottom w:val="none" w:sz="0" w:space="0" w:color="auto"/>
        <w:right w:val="none" w:sz="0" w:space="0" w:color="auto"/>
      </w:divBdr>
    </w:div>
    <w:div w:id="179243982">
      <w:bodyDiv w:val="1"/>
      <w:marLeft w:val="0"/>
      <w:marRight w:val="0"/>
      <w:marTop w:val="0"/>
      <w:marBottom w:val="0"/>
      <w:divBdr>
        <w:top w:val="none" w:sz="0" w:space="0" w:color="auto"/>
        <w:left w:val="none" w:sz="0" w:space="0" w:color="auto"/>
        <w:bottom w:val="none" w:sz="0" w:space="0" w:color="auto"/>
        <w:right w:val="none" w:sz="0" w:space="0" w:color="auto"/>
      </w:divBdr>
    </w:div>
    <w:div w:id="179584387">
      <w:bodyDiv w:val="1"/>
      <w:marLeft w:val="0"/>
      <w:marRight w:val="0"/>
      <w:marTop w:val="0"/>
      <w:marBottom w:val="0"/>
      <w:divBdr>
        <w:top w:val="none" w:sz="0" w:space="0" w:color="auto"/>
        <w:left w:val="none" w:sz="0" w:space="0" w:color="auto"/>
        <w:bottom w:val="none" w:sz="0" w:space="0" w:color="auto"/>
        <w:right w:val="none" w:sz="0" w:space="0" w:color="auto"/>
      </w:divBdr>
    </w:div>
    <w:div w:id="182524866">
      <w:bodyDiv w:val="1"/>
      <w:marLeft w:val="0"/>
      <w:marRight w:val="0"/>
      <w:marTop w:val="0"/>
      <w:marBottom w:val="0"/>
      <w:divBdr>
        <w:top w:val="none" w:sz="0" w:space="0" w:color="auto"/>
        <w:left w:val="none" w:sz="0" w:space="0" w:color="auto"/>
        <w:bottom w:val="none" w:sz="0" w:space="0" w:color="auto"/>
        <w:right w:val="none" w:sz="0" w:space="0" w:color="auto"/>
      </w:divBdr>
    </w:div>
    <w:div w:id="232619771">
      <w:bodyDiv w:val="1"/>
      <w:marLeft w:val="0"/>
      <w:marRight w:val="0"/>
      <w:marTop w:val="0"/>
      <w:marBottom w:val="0"/>
      <w:divBdr>
        <w:top w:val="none" w:sz="0" w:space="0" w:color="auto"/>
        <w:left w:val="none" w:sz="0" w:space="0" w:color="auto"/>
        <w:bottom w:val="none" w:sz="0" w:space="0" w:color="auto"/>
        <w:right w:val="none" w:sz="0" w:space="0" w:color="auto"/>
      </w:divBdr>
    </w:div>
    <w:div w:id="276110628">
      <w:bodyDiv w:val="1"/>
      <w:marLeft w:val="0"/>
      <w:marRight w:val="0"/>
      <w:marTop w:val="0"/>
      <w:marBottom w:val="0"/>
      <w:divBdr>
        <w:top w:val="none" w:sz="0" w:space="0" w:color="auto"/>
        <w:left w:val="none" w:sz="0" w:space="0" w:color="auto"/>
        <w:bottom w:val="none" w:sz="0" w:space="0" w:color="auto"/>
        <w:right w:val="none" w:sz="0" w:space="0" w:color="auto"/>
      </w:divBdr>
    </w:div>
    <w:div w:id="302926028">
      <w:bodyDiv w:val="1"/>
      <w:marLeft w:val="0"/>
      <w:marRight w:val="0"/>
      <w:marTop w:val="0"/>
      <w:marBottom w:val="0"/>
      <w:divBdr>
        <w:top w:val="none" w:sz="0" w:space="0" w:color="auto"/>
        <w:left w:val="none" w:sz="0" w:space="0" w:color="auto"/>
        <w:bottom w:val="none" w:sz="0" w:space="0" w:color="auto"/>
        <w:right w:val="none" w:sz="0" w:space="0" w:color="auto"/>
      </w:divBdr>
    </w:div>
    <w:div w:id="309140500">
      <w:bodyDiv w:val="1"/>
      <w:marLeft w:val="0"/>
      <w:marRight w:val="0"/>
      <w:marTop w:val="0"/>
      <w:marBottom w:val="0"/>
      <w:divBdr>
        <w:top w:val="none" w:sz="0" w:space="0" w:color="auto"/>
        <w:left w:val="none" w:sz="0" w:space="0" w:color="auto"/>
        <w:bottom w:val="none" w:sz="0" w:space="0" w:color="auto"/>
        <w:right w:val="none" w:sz="0" w:space="0" w:color="auto"/>
      </w:divBdr>
    </w:div>
    <w:div w:id="378094097">
      <w:bodyDiv w:val="1"/>
      <w:marLeft w:val="0"/>
      <w:marRight w:val="0"/>
      <w:marTop w:val="0"/>
      <w:marBottom w:val="0"/>
      <w:divBdr>
        <w:top w:val="none" w:sz="0" w:space="0" w:color="auto"/>
        <w:left w:val="none" w:sz="0" w:space="0" w:color="auto"/>
        <w:bottom w:val="none" w:sz="0" w:space="0" w:color="auto"/>
        <w:right w:val="none" w:sz="0" w:space="0" w:color="auto"/>
      </w:divBdr>
    </w:div>
    <w:div w:id="420175575">
      <w:bodyDiv w:val="1"/>
      <w:marLeft w:val="0"/>
      <w:marRight w:val="0"/>
      <w:marTop w:val="0"/>
      <w:marBottom w:val="0"/>
      <w:divBdr>
        <w:top w:val="none" w:sz="0" w:space="0" w:color="auto"/>
        <w:left w:val="none" w:sz="0" w:space="0" w:color="auto"/>
        <w:bottom w:val="none" w:sz="0" w:space="0" w:color="auto"/>
        <w:right w:val="none" w:sz="0" w:space="0" w:color="auto"/>
      </w:divBdr>
    </w:div>
    <w:div w:id="447970868">
      <w:bodyDiv w:val="1"/>
      <w:marLeft w:val="0"/>
      <w:marRight w:val="0"/>
      <w:marTop w:val="0"/>
      <w:marBottom w:val="0"/>
      <w:divBdr>
        <w:top w:val="none" w:sz="0" w:space="0" w:color="auto"/>
        <w:left w:val="none" w:sz="0" w:space="0" w:color="auto"/>
        <w:bottom w:val="none" w:sz="0" w:space="0" w:color="auto"/>
        <w:right w:val="none" w:sz="0" w:space="0" w:color="auto"/>
      </w:divBdr>
      <w:divsChild>
        <w:div w:id="1544512379">
          <w:marLeft w:val="0"/>
          <w:marRight w:val="0"/>
          <w:marTop w:val="0"/>
          <w:marBottom w:val="0"/>
          <w:divBdr>
            <w:top w:val="none" w:sz="0" w:space="0" w:color="auto"/>
            <w:left w:val="none" w:sz="0" w:space="0" w:color="auto"/>
            <w:bottom w:val="none" w:sz="0" w:space="0" w:color="auto"/>
            <w:right w:val="none" w:sz="0" w:space="0" w:color="auto"/>
          </w:divBdr>
        </w:div>
      </w:divsChild>
    </w:div>
    <w:div w:id="480582348">
      <w:bodyDiv w:val="1"/>
      <w:marLeft w:val="0"/>
      <w:marRight w:val="0"/>
      <w:marTop w:val="0"/>
      <w:marBottom w:val="0"/>
      <w:divBdr>
        <w:top w:val="none" w:sz="0" w:space="0" w:color="auto"/>
        <w:left w:val="none" w:sz="0" w:space="0" w:color="auto"/>
        <w:bottom w:val="none" w:sz="0" w:space="0" w:color="auto"/>
        <w:right w:val="none" w:sz="0" w:space="0" w:color="auto"/>
      </w:divBdr>
      <w:divsChild>
        <w:div w:id="1958218543">
          <w:marLeft w:val="0"/>
          <w:marRight w:val="0"/>
          <w:marTop w:val="0"/>
          <w:marBottom w:val="0"/>
          <w:divBdr>
            <w:top w:val="none" w:sz="0" w:space="0" w:color="auto"/>
            <w:left w:val="none" w:sz="0" w:space="0" w:color="auto"/>
            <w:bottom w:val="none" w:sz="0" w:space="0" w:color="auto"/>
            <w:right w:val="none" w:sz="0" w:space="0" w:color="auto"/>
          </w:divBdr>
          <w:divsChild>
            <w:div w:id="19353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29796">
      <w:bodyDiv w:val="1"/>
      <w:marLeft w:val="0"/>
      <w:marRight w:val="0"/>
      <w:marTop w:val="0"/>
      <w:marBottom w:val="0"/>
      <w:divBdr>
        <w:top w:val="none" w:sz="0" w:space="0" w:color="auto"/>
        <w:left w:val="none" w:sz="0" w:space="0" w:color="auto"/>
        <w:bottom w:val="none" w:sz="0" w:space="0" w:color="auto"/>
        <w:right w:val="none" w:sz="0" w:space="0" w:color="auto"/>
      </w:divBdr>
    </w:div>
    <w:div w:id="626547807">
      <w:bodyDiv w:val="1"/>
      <w:marLeft w:val="0"/>
      <w:marRight w:val="0"/>
      <w:marTop w:val="0"/>
      <w:marBottom w:val="0"/>
      <w:divBdr>
        <w:top w:val="none" w:sz="0" w:space="0" w:color="auto"/>
        <w:left w:val="none" w:sz="0" w:space="0" w:color="auto"/>
        <w:bottom w:val="none" w:sz="0" w:space="0" w:color="auto"/>
        <w:right w:val="none" w:sz="0" w:space="0" w:color="auto"/>
      </w:divBdr>
    </w:div>
    <w:div w:id="731200849">
      <w:bodyDiv w:val="1"/>
      <w:marLeft w:val="0"/>
      <w:marRight w:val="0"/>
      <w:marTop w:val="0"/>
      <w:marBottom w:val="0"/>
      <w:divBdr>
        <w:top w:val="none" w:sz="0" w:space="0" w:color="auto"/>
        <w:left w:val="none" w:sz="0" w:space="0" w:color="auto"/>
        <w:bottom w:val="none" w:sz="0" w:space="0" w:color="auto"/>
        <w:right w:val="none" w:sz="0" w:space="0" w:color="auto"/>
      </w:divBdr>
      <w:divsChild>
        <w:div w:id="1620068298">
          <w:marLeft w:val="0"/>
          <w:marRight w:val="0"/>
          <w:marTop w:val="0"/>
          <w:marBottom w:val="0"/>
          <w:divBdr>
            <w:top w:val="none" w:sz="0" w:space="0" w:color="auto"/>
            <w:left w:val="none" w:sz="0" w:space="0" w:color="auto"/>
            <w:bottom w:val="none" w:sz="0" w:space="0" w:color="auto"/>
            <w:right w:val="none" w:sz="0" w:space="0" w:color="auto"/>
          </w:divBdr>
          <w:divsChild>
            <w:div w:id="1031489393">
              <w:marLeft w:val="0"/>
              <w:marRight w:val="0"/>
              <w:marTop w:val="0"/>
              <w:marBottom w:val="0"/>
              <w:divBdr>
                <w:top w:val="none" w:sz="0" w:space="0" w:color="auto"/>
                <w:left w:val="none" w:sz="0" w:space="0" w:color="auto"/>
                <w:bottom w:val="none" w:sz="0" w:space="0" w:color="auto"/>
                <w:right w:val="none" w:sz="0" w:space="0" w:color="auto"/>
              </w:divBdr>
            </w:div>
            <w:div w:id="14765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09154">
      <w:bodyDiv w:val="1"/>
      <w:marLeft w:val="0"/>
      <w:marRight w:val="0"/>
      <w:marTop w:val="0"/>
      <w:marBottom w:val="0"/>
      <w:divBdr>
        <w:top w:val="none" w:sz="0" w:space="0" w:color="auto"/>
        <w:left w:val="none" w:sz="0" w:space="0" w:color="auto"/>
        <w:bottom w:val="none" w:sz="0" w:space="0" w:color="auto"/>
        <w:right w:val="none" w:sz="0" w:space="0" w:color="auto"/>
      </w:divBdr>
    </w:div>
    <w:div w:id="797338957">
      <w:bodyDiv w:val="1"/>
      <w:marLeft w:val="0"/>
      <w:marRight w:val="0"/>
      <w:marTop w:val="0"/>
      <w:marBottom w:val="0"/>
      <w:divBdr>
        <w:top w:val="none" w:sz="0" w:space="0" w:color="auto"/>
        <w:left w:val="none" w:sz="0" w:space="0" w:color="auto"/>
        <w:bottom w:val="none" w:sz="0" w:space="0" w:color="auto"/>
        <w:right w:val="none" w:sz="0" w:space="0" w:color="auto"/>
      </w:divBdr>
    </w:div>
    <w:div w:id="860240251">
      <w:bodyDiv w:val="1"/>
      <w:marLeft w:val="0"/>
      <w:marRight w:val="0"/>
      <w:marTop w:val="0"/>
      <w:marBottom w:val="0"/>
      <w:divBdr>
        <w:top w:val="none" w:sz="0" w:space="0" w:color="auto"/>
        <w:left w:val="none" w:sz="0" w:space="0" w:color="auto"/>
        <w:bottom w:val="none" w:sz="0" w:space="0" w:color="auto"/>
        <w:right w:val="none" w:sz="0" w:space="0" w:color="auto"/>
      </w:divBdr>
    </w:div>
    <w:div w:id="892816427">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130198820">
      <w:bodyDiv w:val="1"/>
      <w:marLeft w:val="0"/>
      <w:marRight w:val="0"/>
      <w:marTop w:val="0"/>
      <w:marBottom w:val="0"/>
      <w:divBdr>
        <w:top w:val="none" w:sz="0" w:space="0" w:color="auto"/>
        <w:left w:val="none" w:sz="0" w:space="0" w:color="auto"/>
        <w:bottom w:val="none" w:sz="0" w:space="0" w:color="auto"/>
        <w:right w:val="none" w:sz="0" w:space="0" w:color="auto"/>
      </w:divBdr>
    </w:div>
    <w:div w:id="1142429468">
      <w:bodyDiv w:val="1"/>
      <w:marLeft w:val="0"/>
      <w:marRight w:val="0"/>
      <w:marTop w:val="0"/>
      <w:marBottom w:val="0"/>
      <w:divBdr>
        <w:top w:val="none" w:sz="0" w:space="0" w:color="auto"/>
        <w:left w:val="none" w:sz="0" w:space="0" w:color="auto"/>
        <w:bottom w:val="none" w:sz="0" w:space="0" w:color="auto"/>
        <w:right w:val="none" w:sz="0" w:space="0" w:color="auto"/>
      </w:divBdr>
    </w:div>
    <w:div w:id="1154028273">
      <w:bodyDiv w:val="1"/>
      <w:marLeft w:val="0"/>
      <w:marRight w:val="0"/>
      <w:marTop w:val="0"/>
      <w:marBottom w:val="0"/>
      <w:divBdr>
        <w:top w:val="none" w:sz="0" w:space="0" w:color="auto"/>
        <w:left w:val="none" w:sz="0" w:space="0" w:color="auto"/>
        <w:bottom w:val="none" w:sz="0" w:space="0" w:color="auto"/>
        <w:right w:val="none" w:sz="0" w:space="0" w:color="auto"/>
      </w:divBdr>
    </w:div>
    <w:div w:id="1241865245">
      <w:bodyDiv w:val="1"/>
      <w:marLeft w:val="0"/>
      <w:marRight w:val="0"/>
      <w:marTop w:val="0"/>
      <w:marBottom w:val="0"/>
      <w:divBdr>
        <w:top w:val="none" w:sz="0" w:space="0" w:color="auto"/>
        <w:left w:val="none" w:sz="0" w:space="0" w:color="auto"/>
        <w:bottom w:val="none" w:sz="0" w:space="0" w:color="auto"/>
        <w:right w:val="none" w:sz="0" w:space="0" w:color="auto"/>
      </w:divBdr>
    </w:div>
    <w:div w:id="1249537780">
      <w:bodyDiv w:val="1"/>
      <w:marLeft w:val="0"/>
      <w:marRight w:val="0"/>
      <w:marTop w:val="0"/>
      <w:marBottom w:val="0"/>
      <w:divBdr>
        <w:top w:val="none" w:sz="0" w:space="0" w:color="auto"/>
        <w:left w:val="none" w:sz="0" w:space="0" w:color="auto"/>
        <w:bottom w:val="none" w:sz="0" w:space="0" w:color="auto"/>
        <w:right w:val="none" w:sz="0" w:space="0" w:color="auto"/>
      </w:divBdr>
    </w:div>
    <w:div w:id="1280333146">
      <w:bodyDiv w:val="1"/>
      <w:marLeft w:val="0"/>
      <w:marRight w:val="0"/>
      <w:marTop w:val="0"/>
      <w:marBottom w:val="0"/>
      <w:divBdr>
        <w:top w:val="none" w:sz="0" w:space="0" w:color="auto"/>
        <w:left w:val="none" w:sz="0" w:space="0" w:color="auto"/>
        <w:bottom w:val="none" w:sz="0" w:space="0" w:color="auto"/>
        <w:right w:val="none" w:sz="0" w:space="0" w:color="auto"/>
      </w:divBdr>
    </w:div>
    <w:div w:id="1471165890">
      <w:bodyDiv w:val="1"/>
      <w:marLeft w:val="0"/>
      <w:marRight w:val="0"/>
      <w:marTop w:val="0"/>
      <w:marBottom w:val="0"/>
      <w:divBdr>
        <w:top w:val="none" w:sz="0" w:space="0" w:color="auto"/>
        <w:left w:val="none" w:sz="0" w:space="0" w:color="auto"/>
        <w:bottom w:val="none" w:sz="0" w:space="0" w:color="auto"/>
        <w:right w:val="none" w:sz="0" w:space="0" w:color="auto"/>
      </w:divBdr>
    </w:div>
    <w:div w:id="1491873613">
      <w:bodyDiv w:val="1"/>
      <w:marLeft w:val="0"/>
      <w:marRight w:val="0"/>
      <w:marTop w:val="0"/>
      <w:marBottom w:val="0"/>
      <w:divBdr>
        <w:top w:val="none" w:sz="0" w:space="0" w:color="auto"/>
        <w:left w:val="none" w:sz="0" w:space="0" w:color="auto"/>
        <w:bottom w:val="none" w:sz="0" w:space="0" w:color="auto"/>
        <w:right w:val="none" w:sz="0" w:space="0" w:color="auto"/>
      </w:divBdr>
      <w:divsChild>
        <w:div w:id="1804033503">
          <w:marLeft w:val="0"/>
          <w:marRight w:val="0"/>
          <w:marTop w:val="0"/>
          <w:marBottom w:val="0"/>
          <w:divBdr>
            <w:top w:val="none" w:sz="0" w:space="0" w:color="auto"/>
            <w:left w:val="none" w:sz="0" w:space="0" w:color="auto"/>
            <w:bottom w:val="none" w:sz="0" w:space="0" w:color="auto"/>
            <w:right w:val="none" w:sz="0" w:space="0" w:color="auto"/>
          </w:divBdr>
        </w:div>
      </w:divsChild>
    </w:div>
    <w:div w:id="1519199114">
      <w:bodyDiv w:val="1"/>
      <w:marLeft w:val="0"/>
      <w:marRight w:val="0"/>
      <w:marTop w:val="0"/>
      <w:marBottom w:val="0"/>
      <w:divBdr>
        <w:top w:val="none" w:sz="0" w:space="0" w:color="auto"/>
        <w:left w:val="none" w:sz="0" w:space="0" w:color="auto"/>
        <w:bottom w:val="none" w:sz="0" w:space="0" w:color="auto"/>
        <w:right w:val="none" w:sz="0" w:space="0" w:color="auto"/>
      </w:divBdr>
    </w:div>
    <w:div w:id="1583874711">
      <w:bodyDiv w:val="1"/>
      <w:marLeft w:val="0"/>
      <w:marRight w:val="0"/>
      <w:marTop w:val="0"/>
      <w:marBottom w:val="0"/>
      <w:divBdr>
        <w:top w:val="none" w:sz="0" w:space="0" w:color="auto"/>
        <w:left w:val="none" w:sz="0" w:space="0" w:color="auto"/>
        <w:bottom w:val="none" w:sz="0" w:space="0" w:color="auto"/>
        <w:right w:val="none" w:sz="0" w:space="0" w:color="auto"/>
      </w:divBdr>
    </w:div>
    <w:div w:id="1621305610">
      <w:bodyDiv w:val="1"/>
      <w:marLeft w:val="0"/>
      <w:marRight w:val="0"/>
      <w:marTop w:val="0"/>
      <w:marBottom w:val="0"/>
      <w:divBdr>
        <w:top w:val="none" w:sz="0" w:space="0" w:color="auto"/>
        <w:left w:val="none" w:sz="0" w:space="0" w:color="auto"/>
        <w:bottom w:val="none" w:sz="0" w:space="0" w:color="auto"/>
        <w:right w:val="none" w:sz="0" w:space="0" w:color="auto"/>
      </w:divBdr>
    </w:div>
    <w:div w:id="1695619149">
      <w:bodyDiv w:val="1"/>
      <w:marLeft w:val="0"/>
      <w:marRight w:val="0"/>
      <w:marTop w:val="0"/>
      <w:marBottom w:val="0"/>
      <w:divBdr>
        <w:top w:val="none" w:sz="0" w:space="0" w:color="auto"/>
        <w:left w:val="none" w:sz="0" w:space="0" w:color="auto"/>
        <w:bottom w:val="none" w:sz="0" w:space="0" w:color="auto"/>
        <w:right w:val="none" w:sz="0" w:space="0" w:color="auto"/>
      </w:divBdr>
    </w:div>
    <w:div w:id="1713118459">
      <w:bodyDiv w:val="1"/>
      <w:marLeft w:val="0"/>
      <w:marRight w:val="0"/>
      <w:marTop w:val="0"/>
      <w:marBottom w:val="0"/>
      <w:divBdr>
        <w:top w:val="none" w:sz="0" w:space="0" w:color="auto"/>
        <w:left w:val="none" w:sz="0" w:space="0" w:color="auto"/>
        <w:bottom w:val="none" w:sz="0" w:space="0" w:color="auto"/>
        <w:right w:val="none" w:sz="0" w:space="0" w:color="auto"/>
      </w:divBdr>
    </w:div>
    <w:div w:id="1725643479">
      <w:bodyDiv w:val="1"/>
      <w:marLeft w:val="0"/>
      <w:marRight w:val="0"/>
      <w:marTop w:val="0"/>
      <w:marBottom w:val="0"/>
      <w:divBdr>
        <w:top w:val="none" w:sz="0" w:space="0" w:color="auto"/>
        <w:left w:val="none" w:sz="0" w:space="0" w:color="auto"/>
        <w:bottom w:val="none" w:sz="0" w:space="0" w:color="auto"/>
        <w:right w:val="none" w:sz="0" w:space="0" w:color="auto"/>
      </w:divBdr>
    </w:div>
    <w:div w:id="1766805916">
      <w:bodyDiv w:val="1"/>
      <w:marLeft w:val="0"/>
      <w:marRight w:val="0"/>
      <w:marTop w:val="0"/>
      <w:marBottom w:val="0"/>
      <w:divBdr>
        <w:top w:val="none" w:sz="0" w:space="0" w:color="auto"/>
        <w:left w:val="none" w:sz="0" w:space="0" w:color="auto"/>
        <w:bottom w:val="none" w:sz="0" w:space="0" w:color="auto"/>
        <w:right w:val="none" w:sz="0" w:space="0" w:color="auto"/>
      </w:divBdr>
      <w:divsChild>
        <w:div w:id="470944184">
          <w:marLeft w:val="0"/>
          <w:marRight w:val="0"/>
          <w:marTop w:val="0"/>
          <w:marBottom w:val="0"/>
          <w:divBdr>
            <w:top w:val="none" w:sz="0" w:space="0" w:color="auto"/>
            <w:left w:val="none" w:sz="0" w:space="0" w:color="auto"/>
            <w:bottom w:val="none" w:sz="0" w:space="0" w:color="auto"/>
            <w:right w:val="none" w:sz="0" w:space="0" w:color="auto"/>
          </w:divBdr>
        </w:div>
      </w:divsChild>
    </w:div>
    <w:div w:id="1885017996">
      <w:bodyDiv w:val="1"/>
      <w:marLeft w:val="0"/>
      <w:marRight w:val="0"/>
      <w:marTop w:val="0"/>
      <w:marBottom w:val="0"/>
      <w:divBdr>
        <w:top w:val="none" w:sz="0" w:space="0" w:color="auto"/>
        <w:left w:val="none" w:sz="0" w:space="0" w:color="auto"/>
        <w:bottom w:val="none" w:sz="0" w:space="0" w:color="auto"/>
        <w:right w:val="none" w:sz="0" w:space="0" w:color="auto"/>
      </w:divBdr>
      <w:divsChild>
        <w:div w:id="2099592523">
          <w:marLeft w:val="0"/>
          <w:marRight w:val="0"/>
          <w:marTop w:val="0"/>
          <w:marBottom w:val="0"/>
          <w:divBdr>
            <w:top w:val="none" w:sz="0" w:space="0" w:color="auto"/>
            <w:left w:val="none" w:sz="0" w:space="0" w:color="auto"/>
            <w:bottom w:val="none" w:sz="0" w:space="0" w:color="auto"/>
            <w:right w:val="none" w:sz="0" w:space="0" w:color="auto"/>
          </w:divBdr>
          <w:divsChild>
            <w:div w:id="5960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939">
      <w:bodyDiv w:val="1"/>
      <w:marLeft w:val="0"/>
      <w:marRight w:val="0"/>
      <w:marTop w:val="0"/>
      <w:marBottom w:val="0"/>
      <w:divBdr>
        <w:top w:val="none" w:sz="0" w:space="0" w:color="auto"/>
        <w:left w:val="none" w:sz="0" w:space="0" w:color="auto"/>
        <w:bottom w:val="none" w:sz="0" w:space="0" w:color="auto"/>
        <w:right w:val="none" w:sz="0" w:space="0" w:color="auto"/>
      </w:divBdr>
    </w:div>
    <w:div w:id="1921058013">
      <w:bodyDiv w:val="1"/>
      <w:marLeft w:val="0"/>
      <w:marRight w:val="0"/>
      <w:marTop w:val="0"/>
      <w:marBottom w:val="0"/>
      <w:divBdr>
        <w:top w:val="none" w:sz="0" w:space="0" w:color="auto"/>
        <w:left w:val="none" w:sz="0" w:space="0" w:color="auto"/>
        <w:bottom w:val="none" w:sz="0" w:space="0" w:color="auto"/>
        <w:right w:val="none" w:sz="0" w:space="0" w:color="auto"/>
      </w:divBdr>
    </w:div>
    <w:div w:id="1982999555">
      <w:bodyDiv w:val="1"/>
      <w:marLeft w:val="0"/>
      <w:marRight w:val="0"/>
      <w:marTop w:val="0"/>
      <w:marBottom w:val="0"/>
      <w:divBdr>
        <w:top w:val="none" w:sz="0" w:space="0" w:color="auto"/>
        <w:left w:val="none" w:sz="0" w:space="0" w:color="auto"/>
        <w:bottom w:val="none" w:sz="0" w:space="0" w:color="auto"/>
        <w:right w:val="none" w:sz="0" w:space="0" w:color="auto"/>
      </w:divBdr>
    </w:div>
    <w:div w:id="2004384554">
      <w:bodyDiv w:val="1"/>
      <w:marLeft w:val="0"/>
      <w:marRight w:val="0"/>
      <w:marTop w:val="0"/>
      <w:marBottom w:val="0"/>
      <w:divBdr>
        <w:top w:val="none" w:sz="0" w:space="0" w:color="auto"/>
        <w:left w:val="none" w:sz="0" w:space="0" w:color="auto"/>
        <w:bottom w:val="none" w:sz="0" w:space="0" w:color="auto"/>
        <w:right w:val="none" w:sz="0" w:space="0" w:color="auto"/>
      </w:divBdr>
    </w:div>
    <w:div w:id="2032368089">
      <w:bodyDiv w:val="1"/>
      <w:marLeft w:val="0"/>
      <w:marRight w:val="0"/>
      <w:marTop w:val="0"/>
      <w:marBottom w:val="0"/>
      <w:divBdr>
        <w:top w:val="none" w:sz="0" w:space="0" w:color="auto"/>
        <w:left w:val="none" w:sz="0" w:space="0" w:color="auto"/>
        <w:bottom w:val="none" w:sz="0" w:space="0" w:color="auto"/>
        <w:right w:val="none" w:sz="0" w:space="0" w:color="auto"/>
      </w:divBdr>
    </w:div>
    <w:div w:id="20707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7506E5-8507-496C-88F0-37A46E43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3088</Words>
  <Characters>17604</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20651</CharactersWithSpaces>
  <SharedDoc>false</SharedDoc>
  <HLinks>
    <vt:vector size="6" baseType="variant">
      <vt:variant>
        <vt:i4>4522003</vt:i4>
      </vt:variant>
      <vt:variant>
        <vt:i4>0</vt:i4>
      </vt:variant>
      <vt:variant>
        <vt:i4>0</vt:i4>
      </vt:variant>
      <vt:variant>
        <vt:i4>5</vt:i4>
      </vt:variant>
      <vt:variant>
        <vt:lpwstr>https://ec.europa.eu/growth/tools-databases/tris/sl/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Mirjana Oražem</dc:creator>
  <cp:keywords/>
  <cp:lastModifiedBy>Andreja Šonc Simčič</cp:lastModifiedBy>
  <cp:revision>2</cp:revision>
  <cp:lastPrinted>2020-12-09T13:48:00Z</cp:lastPrinted>
  <dcterms:created xsi:type="dcterms:W3CDTF">2022-01-29T17:31:00Z</dcterms:created>
  <dcterms:modified xsi:type="dcterms:W3CDTF">2022-01-29T17:31:00Z</dcterms:modified>
</cp:coreProperties>
</file>