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56E91FF0" w:rsidR="00A075C0" w:rsidRPr="00E17633" w:rsidRDefault="00A075C0" w:rsidP="00893BAE">
      <w:pPr>
        <w:autoSpaceDE w:val="0"/>
        <w:autoSpaceDN w:val="0"/>
        <w:adjustRightInd w:val="0"/>
        <w:spacing w:line="240" w:lineRule="auto"/>
        <w:rPr>
          <w:rFonts w:cs="Arial"/>
          <w:color w:val="000000"/>
          <w:sz w:val="18"/>
          <w:szCs w:val="18"/>
        </w:rPr>
      </w:pPr>
      <w:r w:rsidRPr="00E17633">
        <w:rPr>
          <w:rFonts w:cs="Arial"/>
          <w:color w:val="000000"/>
          <w:sz w:val="18"/>
          <w:szCs w:val="18"/>
        </w:rPr>
        <w:t>SPOROČILO ZA JAVNOST</w:t>
      </w:r>
    </w:p>
    <w:p w14:paraId="2AD0EF36" w14:textId="619D55D2" w:rsidR="002844C5" w:rsidRPr="00E17633" w:rsidRDefault="002844C5" w:rsidP="002844C5">
      <w:pPr>
        <w:autoSpaceDE w:val="0"/>
        <w:autoSpaceDN w:val="0"/>
        <w:adjustRightInd w:val="0"/>
        <w:spacing w:line="240" w:lineRule="auto"/>
        <w:jc w:val="both"/>
        <w:rPr>
          <w:rFonts w:cs="Arial"/>
          <w:color w:val="000000"/>
          <w:sz w:val="18"/>
          <w:szCs w:val="18"/>
        </w:rPr>
      </w:pPr>
      <w:r w:rsidRPr="00E17633">
        <w:rPr>
          <w:rFonts w:cs="Arial"/>
          <w:color w:val="000000"/>
          <w:sz w:val="18"/>
          <w:szCs w:val="18"/>
        </w:rPr>
        <w:t>8. julij</w:t>
      </w:r>
      <w:r>
        <w:rPr>
          <w:rFonts w:cs="Arial"/>
          <w:color w:val="000000"/>
          <w:sz w:val="18"/>
          <w:szCs w:val="18"/>
        </w:rPr>
        <w:t>a</w:t>
      </w:r>
      <w:r w:rsidRPr="00E17633">
        <w:rPr>
          <w:rFonts w:cs="Arial"/>
          <w:color w:val="000000"/>
          <w:sz w:val="18"/>
          <w:szCs w:val="18"/>
        </w:rPr>
        <w:t xml:space="preserve"> 2022</w:t>
      </w:r>
    </w:p>
    <w:p w14:paraId="3D158D24" w14:textId="7ED47CDC" w:rsidR="002844C5" w:rsidRDefault="002844C5" w:rsidP="00BD6EA7">
      <w:pPr>
        <w:autoSpaceDE w:val="0"/>
        <w:autoSpaceDN w:val="0"/>
        <w:adjustRightInd w:val="0"/>
        <w:spacing w:line="240" w:lineRule="auto"/>
        <w:jc w:val="both"/>
        <w:rPr>
          <w:rFonts w:cs="Arial"/>
          <w:b/>
          <w:bCs/>
          <w:color w:val="000000"/>
          <w:sz w:val="28"/>
          <w:szCs w:val="28"/>
        </w:rPr>
      </w:pPr>
    </w:p>
    <w:p w14:paraId="38C6FB82" w14:textId="77777777" w:rsidR="002844C5" w:rsidRDefault="002844C5" w:rsidP="00BD6EA7">
      <w:pPr>
        <w:autoSpaceDE w:val="0"/>
        <w:autoSpaceDN w:val="0"/>
        <w:adjustRightInd w:val="0"/>
        <w:spacing w:line="240" w:lineRule="auto"/>
        <w:jc w:val="both"/>
        <w:rPr>
          <w:rFonts w:cs="Arial"/>
          <w:b/>
          <w:bCs/>
          <w:color w:val="000000"/>
          <w:sz w:val="28"/>
          <w:szCs w:val="28"/>
        </w:rPr>
      </w:pPr>
    </w:p>
    <w:p w14:paraId="6CA833A7" w14:textId="7C7EA864" w:rsidR="00BD6EA7" w:rsidRPr="00E17633" w:rsidRDefault="00E17633" w:rsidP="00BD6EA7">
      <w:pPr>
        <w:autoSpaceDE w:val="0"/>
        <w:autoSpaceDN w:val="0"/>
        <w:adjustRightInd w:val="0"/>
        <w:spacing w:line="240" w:lineRule="auto"/>
        <w:jc w:val="both"/>
        <w:rPr>
          <w:rFonts w:cs="Arial"/>
          <w:b/>
          <w:bCs/>
          <w:color w:val="000000"/>
          <w:sz w:val="28"/>
          <w:szCs w:val="28"/>
        </w:rPr>
      </w:pPr>
      <w:r w:rsidRPr="00E17633">
        <w:rPr>
          <w:rFonts w:cs="Arial"/>
          <w:b/>
          <w:bCs/>
          <w:color w:val="000000"/>
          <w:sz w:val="28"/>
          <w:szCs w:val="28"/>
        </w:rPr>
        <w:t>7</w:t>
      </w:r>
      <w:r w:rsidR="00BD6EA7" w:rsidRPr="00E17633">
        <w:rPr>
          <w:rFonts w:cs="Arial"/>
          <w:b/>
          <w:bCs/>
          <w:color w:val="000000"/>
          <w:sz w:val="28"/>
          <w:szCs w:val="28"/>
        </w:rPr>
        <w:t>. redna seja Vlade Republike Slovenije</w:t>
      </w:r>
    </w:p>
    <w:p w14:paraId="0E299DD9" w14:textId="50720367" w:rsidR="00725BC1" w:rsidRDefault="00725BC1" w:rsidP="00725BC1">
      <w:pPr>
        <w:autoSpaceDE w:val="0"/>
        <w:autoSpaceDN w:val="0"/>
        <w:adjustRightInd w:val="0"/>
        <w:spacing w:line="240" w:lineRule="auto"/>
        <w:jc w:val="both"/>
        <w:rPr>
          <w:rFonts w:cs="Arial"/>
          <w:b/>
          <w:bCs/>
          <w:color w:val="000000"/>
          <w:szCs w:val="20"/>
        </w:rPr>
      </w:pPr>
    </w:p>
    <w:p w14:paraId="5C1C1FC6" w14:textId="77777777" w:rsidR="00E17633" w:rsidRDefault="00E17633" w:rsidP="00E17633">
      <w:pPr>
        <w:pStyle w:val="Neotevilenodstavek"/>
        <w:spacing w:before="0" w:after="0" w:line="240" w:lineRule="auto"/>
        <w:rPr>
          <w:b/>
          <w:sz w:val="20"/>
          <w:szCs w:val="20"/>
        </w:rPr>
      </w:pPr>
    </w:p>
    <w:p w14:paraId="65DA3416" w14:textId="0EB0C047" w:rsidR="00E17633" w:rsidRPr="00E3533D" w:rsidRDefault="00E17633" w:rsidP="00E3533D">
      <w:pPr>
        <w:pStyle w:val="Neotevilenodstavek"/>
        <w:spacing w:before="0" w:after="0" w:line="240" w:lineRule="auto"/>
        <w:rPr>
          <w:b/>
          <w:sz w:val="20"/>
          <w:szCs w:val="20"/>
        </w:rPr>
      </w:pPr>
      <w:r w:rsidRPr="00E3533D">
        <w:rPr>
          <w:b/>
          <w:sz w:val="20"/>
          <w:szCs w:val="20"/>
        </w:rPr>
        <w:t>Sklep o določitvi deležev prevzemanja odpadnih nagrobnih sveč</w:t>
      </w:r>
    </w:p>
    <w:p w14:paraId="7F0D1119" w14:textId="77777777" w:rsidR="00E17633" w:rsidRPr="00E3533D" w:rsidRDefault="00E17633" w:rsidP="00E3533D">
      <w:pPr>
        <w:pStyle w:val="Neotevilenodstavek"/>
        <w:spacing w:before="0" w:after="0" w:line="240" w:lineRule="auto"/>
        <w:rPr>
          <w:sz w:val="20"/>
          <w:szCs w:val="20"/>
        </w:rPr>
      </w:pPr>
    </w:p>
    <w:p w14:paraId="3355D582" w14:textId="77777777" w:rsidR="00E17633" w:rsidRPr="00E3533D" w:rsidRDefault="00E17633" w:rsidP="00E3533D">
      <w:pPr>
        <w:pStyle w:val="Neotevilenodstavek"/>
        <w:spacing w:before="0" w:after="0" w:line="240" w:lineRule="auto"/>
        <w:rPr>
          <w:sz w:val="20"/>
          <w:szCs w:val="20"/>
        </w:rPr>
      </w:pPr>
      <w:r w:rsidRPr="00E3533D">
        <w:rPr>
          <w:sz w:val="20"/>
          <w:szCs w:val="20"/>
        </w:rPr>
        <w:t xml:space="preserve">Vlada je sprejela Sklep o določitvi deležev prevzemanja odpadnih nagrobnih sveč pri izvajalcih javne službe zbiranja in upravljavcih pokopališč za obdobje do 30. junija 2023. </w:t>
      </w:r>
    </w:p>
    <w:p w14:paraId="7EECA594" w14:textId="77777777" w:rsidR="00E17633" w:rsidRPr="00E3533D" w:rsidRDefault="00E17633" w:rsidP="00E3533D">
      <w:pPr>
        <w:pStyle w:val="Neotevilenodstavek"/>
        <w:spacing w:before="0" w:after="0" w:line="240" w:lineRule="auto"/>
        <w:rPr>
          <w:sz w:val="20"/>
          <w:szCs w:val="20"/>
        </w:rPr>
      </w:pPr>
    </w:p>
    <w:p w14:paraId="5799184C" w14:textId="77777777" w:rsidR="00E17633" w:rsidRPr="00E3533D" w:rsidRDefault="00E17633" w:rsidP="00E3533D">
      <w:pPr>
        <w:pStyle w:val="Neotevilenodstavek"/>
        <w:spacing w:before="0" w:after="0" w:line="240" w:lineRule="auto"/>
        <w:rPr>
          <w:iCs/>
          <w:sz w:val="20"/>
          <w:szCs w:val="20"/>
        </w:rPr>
      </w:pPr>
      <w:r w:rsidRPr="00E3533D">
        <w:rPr>
          <w:iCs/>
          <w:sz w:val="20"/>
          <w:szCs w:val="20"/>
        </w:rPr>
        <w:t>Deleži prevzemanja odpadnih nagrobnih sveč pri izvajalcih javne službe zbiranja in upravljavcih pokopališč za obdobje do 30. junija 2023, so:</w:t>
      </w:r>
    </w:p>
    <w:p w14:paraId="27460D6D" w14:textId="77777777" w:rsidR="00E17633" w:rsidRPr="00E3533D" w:rsidRDefault="00E17633" w:rsidP="00E3533D">
      <w:pPr>
        <w:pStyle w:val="Neotevilenodstavek"/>
        <w:spacing w:before="0" w:after="0" w:line="240" w:lineRule="auto"/>
        <w:ind w:left="360"/>
        <w:rPr>
          <w:iCs/>
          <w:sz w:val="20"/>
          <w:szCs w:val="20"/>
        </w:rPr>
      </w:pPr>
      <w:r w:rsidRPr="00E3533D">
        <w:rPr>
          <w:iCs/>
          <w:sz w:val="20"/>
          <w:szCs w:val="20"/>
        </w:rPr>
        <w:t xml:space="preserve">– za družbo PRONS, d. o. o. </w:t>
      </w:r>
      <w:r w:rsidRPr="00E3533D">
        <w:rPr>
          <w:iCs/>
          <w:sz w:val="20"/>
          <w:szCs w:val="20"/>
        </w:rPr>
        <w:tab/>
      </w:r>
      <w:r w:rsidRPr="00E3533D">
        <w:rPr>
          <w:iCs/>
          <w:sz w:val="20"/>
          <w:szCs w:val="20"/>
        </w:rPr>
        <w:tab/>
        <w:t>47,46 %,</w:t>
      </w:r>
    </w:p>
    <w:p w14:paraId="457DE511" w14:textId="77777777" w:rsidR="00E17633" w:rsidRPr="00E3533D" w:rsidRDefault="00E17633" w:rsidP="00E3533D">
      <w:pPr>
        <w:pStyle w:val="Neotevilenodstavek"/>
        <w:spacing w:before="0" w:after="0" w:line="240" w:lineRule="auto"/>
        <w:ind w:left="360"/>
        <w:rPr>
          <w:iCs/>
          <w:sz w:val="20"/>
          <w:szCs w:val="20"/>
        </w:rPr>
      </w:pPr>
      <w:r w:rsidRPr="00E3533D">
        <w:rPr>
          <w:iCs/>
          <w:sz w:val="20"/>
          <w:szCs w:val="20"/>
        </w:rPr>
        <w:t xml:space="preserve">– za družbo SVEKO, d. o. o. </w:t>
      </w:r>
      <w:r w:rsidRPr="00E3533D">
        <w:rPr>
          <w:iCs/>
          <w:sz w:val="20"/>
          <w:szCs w:val="20"/>
        </w:rPr>
        <w:tab/>
      </w:r>
      <w:r w:rsidRPr="00E3533D">
        <w:rPr>
          <w:iCs/>
          <w:sz w:val="20"/>
          <w:szCs w:val="20"/>
        </w:rPr>
        <w:tab/>
        <w:t>29,28 %,</w:t>
      </w:r>
    </w:p>
    <w:p w14:paraId="09C9882F" w14:textId="77777777" w:rsidR="00E17633" w:rsidRPr="00E3533D" w:rsidRDefault="00E17633" w:rsidP="00E3533D">
      <w:pPr>
        <w:pStyle w:val="Neotevilenodstavek"/>
        <w:spacing w:before="0" w:after="0" w:line="240" w:lineRule="auto"/>
        <w:ind w:left="360"/>
        <w:rPr>
          <w:iCs/>
          <w:sz w:val="20"/>
          <w:szCs w:val="20"/>
        </w:rPr>
      </w:pPr>
      <w:r w:rsidRPr="00E3533D">
        <w:rPr>
          <w:iCs/>
          <w:sz w:val="20"/>
          <w:szCs w:val="20"/>
        </w:rPr>
        <w:t xml:space="preserve">– za družbo ZEOS, d. o. o. </w:t>
      </w:r>
      <w:r w:rsidRPr="00E3533D">
        <w:rPr>
          <w:iCs/>
          <w:sz w:val="20"/>
          <w:szCs w:val="20"/>
        </w:rPr>
        <w:tab/>
      </w:r>
      <w:r w:rsidRPr="00E3533D">
        <w:rPr>
          <w:iCs/>
          <w:sz w:val="20"/>
          <w:szCs w:val="20"/>
        </w:rPr>
        <w:tab/>
        <w:t xml:space="preserve">               9,22 %,</w:t>
      </w:r>
    </w:p>
    <w:p w14:paraId="137A1FBC" w14:textId="3A05DCDB" w:rsidR="00E17633" w:rsidRPr="00E3533D" w:rsidRDefault="00E17633" w:rsidP="00E3533D">
      <w:pPr>
        <w:pStyle w:val="Neotevilenodstavek"/>
        <w:spacing w:before="0" w:after="0" w:line="240" w:lineRule="auto"/>
        <w:ind w:left="360"/>
        <w:rPr>
          <w:iCs/>
          <w:sz w:val="20"/>
          <w:szCs w:val="20"/>
        </w:rPr>
      </w:pPr>
      <w:r w:rsidRPr="00E3533D">
        <w:rPr>
          <w:iCs/>
          <w:sz w:val="20"/>
          <w:szCs w:val="20"/>
        </w:rPr>
        <w:t xml:space="preserve">– za družbo INTERSEROH, d. o. o. </w:t>
      </w:r>
      <w:r w:rsidRPr="00E3533D">
        <w:rPr>
          <w:iCs/>
          <w:sz w:val="20"/>
          <w:szCs w:val="20"/>
        </w:rPr>
        <w:tab/>
      </w:r>
      <w:r w:rsidR="00E3533D">
        <w:rPr>
          <w:iCs/>
          <w:sz w:val="20"/>
          <w:szCs w:val="20"/>
        </w:rPr>
        <w:t xml:space="preserve">             </w:t>
      </w:r>
      <w:r w:rsidRPr="00E3533D">
        <w:rPr>
          <w:iCs/>
          <w:sz w:val="20"/>
          <w:szCs w:val="20"/>
        </w:rPr>
        <w:t>14,04 %.</w:t>
      </w:r>
    </w:p>
    <w:p w14:paraId="4F202CAA" w14:textId="77777777" w:rsidR="00E17633" w:rsidRPr="00E3533D" w:rsidRDefault="00E17633" w:rsidP="00E3533D">
      <w:pPr>
        <w:spacing w:line="240" w:lineRule="auto"/>
        <w:jc w:val="both"/>
        <w:rPr>
          <w:rFonts w:cs="Arial"/>
          <w:bCs/>
          <w:szCs w:val="20"/>
        </w:rPr>
      </w:pPr>
    </w:p>
    <w:p w14:paraId="205E4688" w14:textId="77777777" w:rsidR="00E17633" w:rsidRPr="00E3533D" w:rsidRDefault="00E17633" w:rsidP="00E3533D">
      <w:pPr>
        <w:pStyle w:val="Neotevilenodstavek"/>
        <w:spacing w:before="0" w:after="0" w:line="240" w:lineRule="auto"/>
        <w:rPr>
          <w:bCs/>
          <w:iCs/>
          <w:sz w:val="20"/>
          <w:szCs w:val="20"/>
        </w:rPr>
      </w:pPr>
      <w:r w:rsidRPr="00E3533D">
        <w:rPr>
          <w:bCs/>
          <w:iCs/>
          <w:sz w:val="20"/>
          <w:szCs w:val="20"/>
        </w:rPr>
        <w:t>Vir: Ministrstvo za okolje in prostor</w:t>
      </w:r>
    </w:p>
    <w:p w14:paraId="5BC4A1E7" w14:textId="77777777" w:rsidR="00E17633" w:rsidRPr="00E3533D" w:rsidRDefault="00E17633" w:rsidP="00E3533D">
      <w:pPr>
        <w:spacing w:line="240" w:lineRule="auto"/>
        <w:jc w:val="both"/>
        <w:rPr>
          <w:rFonts w:cs="Arial"/>
          <w:szCs w:val="20"/>
        </w:rPr>
      </w:pPr>
    </w:p>
    <w:p w14:paraId="2183F43C"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5E3D690D" w14:textId="77777777" w:rsidR="00E17633" w:rsidRPr="00E3533D" w:rsidRDefault="00E17633" w:rsidP="00E3533D">
      <w:pPr>
        <w:spacing w:line="240" w:lineRule="auto"/>
        <w:jc w:val="both"/>
        <w:rPr>
          <w:rFonts w:cs="Arial"/>
          <w:b/>
          <w:bCs/>
          <w:szCs w:val="20"/>
        </w:rPr>
      </w:pPr>
      <w:r w:rsidRPr="00E3533D">
        <w:rPr>
          <w:rFonts w:cs="Arial"/>
          <w:b/>
          <w:bCs/>
          <w:szCs w:val="20"/>
        </w:rPr>
        <w:t>Ustanovitev nastanitvenega centra</w:t>
      </w:r>
    </w:p>
    <w:p w14:paraId="74F40DF5" w14:textId="77777777" w:rsidR="00E17633" w:rsidRPr="00E3533D" w:rsidRDefault="00E17633" w:rsidP="00E3533D">
      <w:pPr>
        <w:spacing w:line="240" w:lineRule="auto"/>
        <w:jc w:val="both"/>
        <w:rPr>
          <w:rFonts w:cs="Arial"/>
          <w:b/>
          <w:bCs/>
          <w:szCs w:val="20"/>
        </w:rPr>
      </w:pPr>
    </w:p>
    <w:p w14:paraId="51C861F8" w14:textId="77777777" w:rsidR="00E17633" w:rsidRPr="00E3533D" w:rsidRDefault="00E17633" w:rsidP="00E3533D">
      <w:pPr>
        <w:spacing w:line="240" w:lineRule="auto"/>
        <w:jc w:val="both"/>
        <w:rPr>
          <w:rFonts w:cs="Arial"/>
          <w:szCs w:val="20"/>
        </w:rPr>
      </w:pPr>
      <w:r w:rsidRPr="00E3533D">
        <w:rPr>
          <w:rFonts w:cs="Arial"/>
          <w:szCs w:val="20"/>
        </w:rPr>
        <w:t>Vlada je v objektu na naslovu Volaričeva 5 d, Postojna, v skladu s 17. členom Zakona o začasni zaščiti razseljenih oseb ustanovila nastanitveni center za osebe z začasno zaščito.  V omenjenem centru je mogoče nastaniti do 120 oseb. Pri iskanju kapacitet sta imeli pomembno vlogo Civilna zaščita Notranjske in Občina Postojna. Ponovno sta pokazali veliko solidarnost do ljudi, ki potrebujejo pomoč.</w:t>
      </w:r>
    </w:p>
    <w:p w14:paraId="0F634B93" w14:textId="77777777" w:rsidR="00E17633" w:rsidRPr="00E3533D" w:rsidRDefault="00E17633" w:rsidP="00E3533D">
      <w:pPr>
        <w:spacing w:line="240" w:lineRule="auto"/>
        <w:jc w:val="both"/>
        <w:rPr>
          <w:rFonts w:cs="Arial"/>
          <w:szCs w:val="20"/>
        </w:rPr>
      </w:pPr>
    </w:p>
    <w:p w14:paraId="6F571021" w14:textId="77777777" w:rsidR="00E17633" w:rsidRPr="00E3533D" w:rsidRDefault="00E17633" w:rsidP="00E3533D">
      <w:pPr>
        <w:spacing w:line="240" w:lineRule="auto"/>
        <w:jc w:val="both"/>
        <w:rPr>
          <w:rFonts w:cs="Arial"/>
          <w:szCs w:val="20"/>
        </w:rPr>
      </w:pPr>
      <w:r w:rsidRPr="00E3533D">
        <w:rPr>
          <w:rFonts w:cs="Arial"/>
          <w:szCs w:val="20"/>
        </w:rPr>
        <w:t>Vir: Urad vlade za oskrbo in integracijo migrantov</w:t>
      </w:r>
    </w:p>
    <w:p w14:paraId="7A12B7FF" w14:textId="77777777" w:rsidR="00E17633" w:rsidRPr="00E3533D" w:rsidRDefault="00E17633" w:rsidP="00E3533D">
      <w:pPr>
        <w:spacing w:line="240" w:lineRule="auto"/>
        <w:jc w:val="both"/>
        <w:rPr>
          <w:rFonts w:cs="Arial"/>
          <w:szCs w:val="20"/>
        </w:rPr>
      </w:pPr>
    </w:p>
    <w:p w14:paraId="3B29B523" w14:textId="77777777" w:rsidR="00E17633" w:rsidRPr="00E3533D" w:rsidRDefault="00E17633" w:rsidP="00E3533D">
      <w:pPr>
        <w:spacing w:line="240" w:lineRule="auto"/>
        <w:jc w:val="both"/>
        <w:rPr>
          <w:rFonts w:cs="Arial"/>
          <w:szCs w:val="20"/>
        </w:rPr>
      </w:pPr>
    </w:p>
    <w:p w14:paraId="4A16D129" w14:textId="77777777" w:rsidR="00E17633" w:rsidRPr="00E3533D" w:rsidRDefault="00E17633" w:rsidP="00E3533D">
      <w:pPr>
        <w:tabs>
          <w:tab w:val="left" w:pos="5468"/>
        </w:tabs>
        <w:spacing w:line="240" w:lineRule="auto"/>
        <w:jc w:val="both"/>
        <w:rPr>
          <w:rFonts w:cs="Arial"/>
          <w:b/>
          <w:szCs w:val="20"/>
        </w:rPr>
      </w:pPr>
      <w:r w:rsidRPr="00E3533D">
        <w:rPr>
          <w:rFonts w:cs="Arial"/>
          <w:b/>
          <w:color w:val="000000"/>
          <w:szCs w:val="20"/>
        </w:rPr>
        <w:t>Vpoklic pomožnih policistov za daljše obdobje</w:t>
      </w:r>
    </w:p>
    <w:p w14:paraId="6862FCBD" w14:textId="77777777" w:rsidR="00E17633" w:rsidRPr="00E3533D" w:rsidRDefault="00E17633" w:rsidP="00E3533D">
      <w:pPr>
        <w:autoSpaceDE w:val="0"/>
        <w:autoSpaceDN w:val="0"/>
        <w:adjustRightInd w:val="0"/>
        <w:spacing w:line="240" w:lineRule="auto"/>
        <w:jc w:val="both"/>
        <w:rPr>
          <w:rFonts w:cs="Arial"/>
          <w:szCs w:val="20"/>
        </w:rPr>
      </w:pPr>
    </w:p>
    <w:p w14:paraId="3886DF9D" w14:textId="77777777" w:rsidR="00E17633" w:rsidRPr="00E3533D" w:rsidRDefault="00E17633" w:rsidP="00E3533D">
      <w:pPr>
        <w:autoSpaceDE w:val="0"/>
        <w:autoSpaceDN w:val="0"/>
        <w:adjustRightInd w:val="0"/>
        <w:spacing w:line="240" w:lineRule="auto"/>
        <w:jc w:val="both"/>
        <w:rPr>
          <w:rFonts w:cs="Arial"/>
          <w:color w:val="000000"/>
          <w:szCs w:val="20"/>
        </w:rPr>
      </w:pPr>
      <w:r w:rsidRPr="00E3533D">
        <w:rPr>
          <w:rFonts w:cs="Arial"/>
          <w:szCs w:val="20"/>
        </w:rPr>
        <w:t>Vlada je sklenila, da se za nemoteno opravljanje nalog policije do 31. decembra 2022 vpokličejo pomožni policisti.</w:t>
      </w:r>
    </w:p>
    <w:p w14:paraId="293D54AA" w14:textId="77777777" w:rsidR="00E17633" w:rsidRPr="00E3533D" w:rsidRDefault="00E17633" w:rsidP="00E3533D">
      <w:pPr>
        <w:autoSpaceDE w:val="0"/>
        <w:autoSpaceDN w:val="0"/>
        <w:adjustRightInd w:val="0"/>
        <w:spacing w:line="240" w:lineRule="auto"/>
        <w:jc w:val="both"/>
        <w:rPr>
          <w:rFonts w:cs="Arial"/>
          <w:color w:val="000000"/>
          <w:szCs w:val="20"/>
        </w:rPr>
      </w:pPr>
    </w:p>
    <w:p w14:paraId="30E5D44D" w14:textId="77777777" w:rsidR="00E17633" w:rsidRPr="00E3533D" w:rsidRDefault="00E17633" w:rsidP="00E3533D">
      <w:pPr>
        <w:pStyle w:val="Neotevilenodstavek"/>
        <w:spacing w:before="0" w:after="0" w:line="240" w:lineRule="auto"/>
        <w:rPr>
          <w:color w:val="000000"/>
          <w:sz w:val="20"/>
          <w:szCs w:val="20"/>
        </w:rPr>
      </w:pPr>
      <w:r w:rsidRPr="00E3533D">
        <w:rPr>
          <w:color w:val="000000"/>
          <w:sz w:val="20"/>
          <w:szCs w:val="20"/>
        </w:rPr>
        <w:t xml:space="preserve">Policija bo pomožne policiste vključila v obvladovanje varnostne situacije v času turistične sezone, opravljanje nalog v času povečanega števila športnih in drugih prireditev, povečala pa bo tudi aktivnosti na področju dela s tujci. </w:t>
      </w:r>
    </w:p>
    <w:p w14:paraId="7C0E5FF1" w14:textId="77777777" w:rsidR="00E17633" w:rsidRPr="00E3533D" w:rsidRDefault="00E17633" w:rsidP="00E3533D">
      <w:pPr>
        <w:pStyle w:val="Neotevilenodstavek"/>
        <w:spacing w:before="0" w:after="0" w:line="240" w:lineRule="auto"/>
        <w:rPr>
          <w:color w:val="000000"/>
          <w:sz w:val="20"/>
          <w:szCs w:val="20"/>
        </w:rPr>
      </w:pPr>
    </w:p>
    <w:p w14:paraId="4E8395D0" w14:textId="77777777" w:rsidR="00E17633" w:rsidRPr="00E3533D" w:rsidRDefault="00E17633" w:rsidP="00E3533D">
      <w:pPr>
        <w:pStyle w:val="Neotevilenodstavek"/>
        <w:spacing w:before="0" w:after="0" w:line="240" w:lineRule="auto"/>
        <w:rPr>
          <w:color w:val="000000"/>
          <w:sz w:val="20"/>
          <w:szCs w:val="20"/>
        </w:rPr>
      </w:pPr>
      <w:r w:rsidRPr="00E3533D">
        <w:rPr>
          <w:color w:val="000000"/>
          <w:sz w:val="20"/>
          <w:szCs w:val="20"/>
        </w:rPr>
        <w:t>Predvideno je, da bo za izvedbo nalog potrebnih približno 2000 vpoklicev pomožnih policistov.</w:t>
      </w:r>
    </w:p>
    <w:p w14:paraId="291730BE"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79B5BD3D" w14:textId="77777777" w:rsidR="00E17633" w:rsidRPr="00E3533D" w:rsidRDefault="00E17633" w:rsidP="00E3533D">
      <w:pPr>
        <w:pStyle w:val="Neotevilenodstavek"/>
        <w:spacing w:before="0" w:after="0" w:line="240" w:lineRule="auto"/>
        <w:rPr>
          <w:bCs/>
          <w:iCs/>
          <w:sz w:val="20"/>
          <w:szCs w:val="20"/>
        </w:rPr>
      </w:pPr>
      <w:r w:rsidRPr="00E3533D">
        <w:rPr>
          <w:bCs/>
          <w:iCs/>
          <w:sz w:val="20"/>
          <w:szCs w:val="20"/>
        </w:rPr>
        <w:t>Vir: Ministrstvo za notranje zadeve</w:t>
      </w:r>
    </w:p>
    <w:p w14:paraId="4C29D3A8" w14:textId="77777777" w:rsidR="00E17633" w:rsidRPr="00E3533D" w:rsidRDefault="00E17633" w:rsidP="00E3533D">
      <w:pPr>
        <w:pStyle w:val="Neotevilenodstavek"/>
        <w:spacing w:before="0" w:after="0" w:line="240" w:lineRule="auto"/>
        <w:rPr>
          <w:b/>
          <w:iCs/>
          <w:sz w:val="20"/>
          <w:szCs w:val="20"/>
        </w:rPr>
      </w:pPr>
    </w:p>
    <w:p w14:paraId="7BA9AFAA" w14:textId="77777777" w:rsidR="00E17633" w:rsidRPr="00E3533D" w:rsidRDefault="00E17633" w:rsidP="00E3533D">
      <w:pPr>
        <w:pStyle w:val="Neotevilenodstavek"/>
        <w:spacing w:before="0" w:after="0" w:line="240" w:lineRule="auto"/>
        <w:rPr>
          <w:b/>
          <w:iCs/>
          <w:sz w:val="20"/>
          <w:szCs w:val="20"/>
        </w:rPr>
      </w:pPr>
    </w:p>
    <w:p w14:paraId="37C51295" w14:textId="77777777" w:rsidR="00E17633" w:rsidRPr="00E3533D" w:rsidRDefault="00E17633" w:rsidP="00E3533D">
      <w:pPr>
        <w:pStyle w:val="Neotevilenodstavek"/>
        <w:spacing w:before="0" w:after="0" w:line="240" w:lineRule="auto"/>
        <w:rPr>
          <w:b/>
          <w:iCs/>
          <w:sz w:val="20"/>
          <w:szCs w:val="20"/>
        </w:rPr>
      </w:pPr>
      <w:r w:rsidRPr="00E3533D">
        <w:rPr>
          <w:b/>
          <w:iCs/>
          <w:sz w:val="20"/>
          <w:szCs w:val="20"/>
        </w:rPr>
        <w:t xml:space="preserve">Odločba o izboru koncesionarja </w:t>
      </w:r>
    </w:p>
    <w:p w14:paraId="1E66A17E" w14:textId="77777777" w:rsidR="00E17633" w:rsidRPr="00E3533D" w:rsidRDefault="00E17633" w:rsidP="00E3533D">
      <w:pPr>
        <w:pStyle w:val="Neotevilenodstavek"/>
        <w:spacing w:before="0" w:after="0" w:line="240" w:lineRule="auto"/>
        <w:rPr>
          <w:iCs/>
          <w:sz w:val="20"/>
          <w:szCs w:val="20"/>
        </w:rPr>
      </w:pPr>
    </w:p>
    <w:p w14:paraId="624E1D90" w14:textId="77777777" w:rsidR="00E17633" w:rsidRPr="00E3533D" w:rsidRDefault="00E17633" w:rsidP="00E3533D">
      <w:pPr>
        <w:pStyle w:val="Neotevilenodstavek"/>
        <w:spacing w:before="0" w:after="0" w:line="240" w:lineRule="auto"/>
        <w:rPr>
          <w:iCs/>
          <w:sz w:val="20"/>
          <w:szCs w:val="20"/>
        </w:rPr>
      </w:pPr>
      <w:r w:rsidRPr="00E3533D">
        <w:rPr>
          <w:iCs/>
          <w:sz w:val="20"/>
          <w:szCs w:val="20"/>
        </w:rPr>
        <w:t xml:space="preserve">Vlada je izdala odločbo, s katero se koncesija za rabo vode za odvzem naplavin na območju reke Save – prodni zadrževalnik Majdičev Log podeli družbi Gorenjska gradbena družba, d. d.,  Kranj. </w:t>
      </w:r>
    </w:p>
    <w:p w14:paraId="69D0FF64" w14:textId="77777777" w:rsidR="00E17633" w:rsidRPr="00E3533D" w:rsidRDefault="00E17633" w:rsidP="00E3533D">
      <w:pPr>
        <w:pStyle w:val="Neotevilenodstavek"/>
        <w:spacing w:before="0" w:after="0" w:line="240" w:lineRule="auto"/>
        <w:rPr>
          <w:iCs/>
          <w:sz w:val="20"/>
          <w:szCs w:val="20"/>
        </w:rPr>
      </w:pPr>
    </w:p>
    <w:p w14:paraId="11E2969E" w14:textId="77777777" w:rsidR="00E17633" w:rsidRPr="00E3533D" w:rsidRDefault="00E17633" w:rsidP="00E3533D">
      <w:pPr>
        <w:pStyle w:val="Neotevilenodstavek"/>
        <w:spacing w:before="0" w:after="0" w:line="240" w:lineRule="auto"/>
        <w:rPr>
          <w:iCs/>
          <w:sz w:val="20"/>
          <w:szCs w:val="20"/>
        </w:rPr>
      </w:pPr>
      <w:r w:rsidRPr="00E3533D">
        <w:rPr>
          <w:iCs/>
          <w:sz w:val="20"/>
          <w:szCs w:val="20"/>
        </w:rPr>
        <w:t>Koncesija se je podelila na podlagi javnega razpisa.</w:t>
      </w:r>
      <w:r w:rsidRPr="00E3533D">
        <w:rPr>
          <w:sz w:val="20"/>
          <w:szCs w:val="20"/>
        </w:rPr>
        <w:t xml:space="preserve"> Strokovna komisija je po pregledu prijav ugotovila, da izbrani koncesionar izpolnjuje predpisane pogoje za podelitev koncesije in je glede na postavljena merila najugodnejši. Koncesija za odvzem naplavin se podeli za tri leta, koncesijsko obdobje pa začne teči z dnem sklenitve koncesijske pogodbe, s katero </w:t>
      </w:r>
      <w:proofErr w:type="spellStart"/>
      <w:r w:rsidRPr="00E3533D">
        <w:rPr>
          <w:sz w:val="20"/>
          <w:szCs w:val="20"/>
        </w:rPr>
        <w:t>koncedent</w:t>
      </w:r>
      <w:proofErr w:type="spellEnd"/>
      <w:r w:rsidRPr="00E3533D">
        <w:rPr>
          <w:sz w:val="20"/>
          <w:szCs w:val="20"/>
        </w:rPr>
        <w:t xml:space="preserve"> in koncesionar podrobneje uredita medsebojna razmerja.</w:t>
      </w:r>
      <w:r w:rsidRPr="00E3533D">
        <w:rPr>
          <w:iCs/>
          <w:sz w:val="20"/>
          <w:szCs w:val="20"/>
        </w:rPr>
        <w:t xml:space="preserve"> </w:t>
      </w:r>
    </w:p>
    <w:p w14:paraId="3CB8E578" w14:textId="77777777" w:rsidR="00E17633" w:rsidRPr="00E3533D" w:rsidRDefault="00E17633" w:rsidP="00E3533D">
      <w:pPr>
        <w:spacing w:line="240" w:lineRule="auto"/>
        <w:jc w:val="both"/>
        <w:rPr>
          <w:rFonts w:cs="Arial"/>
          <w:color w:val="000000"/>
          <w:szCs w:val="20"/>
          <w:shd w:val="clear" w:color="auto" w:fill="FFFFFF"/>
        </w:rPr>
      </w:pPr>
    </w:p>
    <w:p w14:paraId="1C47FDAB" w14:textId="77777777" w:rsidR="00E17633" w:rsidRPr="00E3533D" w:rsidRDefault="00E17633" w:rsidP="00E3533D">
      <w:pPr>
        <w:pStyle w:val="Neotevilenodstavek"/>
        <w:spacing w:before="0" w:after="0" w:line="240" w:lineRule="auto"/>
        <w:rPr>
          <w:bCs/>
          <w:iCs/>
          <w:sz w:val="20"/>
          <w:szCs w:val="20"/>
        </w:rPr>
      </w:pPr>
      <w:r w:rsidRPr="00E3533D">
        <w:rPr>
          <w:bCs/>
          <w:iCs/>
          <w:sz w:val="20"/>
          <w:szCs w:val="20"/>
        </w:rPr>
        <w:t>Vir: Ministrstvo za okolje in prostor</w:t>
      </w:r>
    </w:p>
    <w:p w14:paraId="48C427D2" w14:textId="77777777" w:rsidR="00E17633" w:rsidRPr="00E3533D" w:rsidRDefault="00E17633" w:rsidP="00E3533D">
      <w:pPr>
        <w:spacing w:line="240" w:lineRule="auto"/>
        <w:jc w:val="both"/>
        <w:rPr>
          <w:rFonts w:cs="Arial"/>
          <w:color w:val="000000"/>
          <w:szCs w:val="20"/>
          <w:shd w:val="clear" w:color="auto" w:fill="FFFFFF"/>
        </w:rPr>
      </w:pPr>
    </w:p>
    <w:p w14:paraId="28386C0C" w14:textId="77777777" w:rsidR="00E17633" w:rsidRPr="00E3533D" w:rsidRDefault="00E17633" w:rsidP="00E3533D">
      <w:pPr>
        <w:spacing w:line="240" w:lineRule="auto"/>
        <w:jc w:val="both"/>
        <w:rPr>
          <w:rFonts w:cs="Arial"/>
          <w:szCs w:val="20"/>
        </w:rPr>
      </w:pPr>
    </w:p>
    <w:p w14:paraId="7A66779A" w14:textId="461AB749" w:rsidR="00E3533D" w:rsidRDefault="00E3533D" w:rsidP="00E3533D">
      <w:pPr>
        <w:overflowPunct w:val="0"/>
        <w:autoSpaceDE w:val="0"/>
        <w:autoSpaceDN w:val="0"/>
        <w:adjustRightInd w:val="0"/>
        <w:spacing w:line="240" w:lineRule="auto"/>
        <w:jc w:val="both"/>
        <w:textAlignment w:val="baseline"/>
        <w:rPr>
          <w:rFonts w:cs="Arial"/>
          <w:b/>
          <w:iCs/>
          <w:szCs w:val="20"/>
          <w:lang w:eastAsia="sl-SI"/>
        </w:rPr>
      </w:pPr>
      <w:r w:rsidRPr="00E3533D">
        <w:rPr>
          <w:rFonts w:cs="Arial"/>
          <w:b/>
          <w:iCs/>
          <w:szCs w:val="20"/>
          <w:lang w:eastAsia="sl-SI"/>
        </w:rPr>
        <w:t xml:space="preserve">Vlada sprejela Dopolnitev </w:t>
      </w:r>
      <w:r w:rsidRPr="00E3533D">
        <w:rPr>
          <w:rFonts w:cs="Arial"/>
          <w:b/>
          <w:szCs w:val="20"/>
          <w:lang w:eastAsia="sl-SI"/>
        </w:rPr>
        <w:t xml:space="preserve">Načrta vaj </w:t>
      </w:r>
      <w:r w:rsidRPr="00E3533D">
        <w:rPr>
          <w:rFonts w:cs="Arial"/>
          <w:b/>
          <w:szCs w:val="20"/>
        </w:rPr>
        <w:t>v obrambnem sistemu in sistemu varstva pred naravnimi in drugimi nesrečami</w:t>
      </w:r>
      <w:r w:rsidRPr="00E3533D">
        <w:rPr>
          <w:rFonts w:cs="Arial"/>
          <w:b/>
          <w:szCs w:val="20"/>
          <w:lang w:eastAsia="sl-SI"/>
        </w:rPr>
        <w:t xml:space="preserve"> v letu </w:t>
      </w:r>
      <w:r w:rsidRPr="00E3533D">
        <w:rPr>
          <w:rFonts w:cs="Arial"/>
          <w:b/>
          <w:szCs w:val="20"/>
        </w:rPr>
        <w:t>2022</w:t>
      </w:r>
    </w:p>
    <w:p w14:paraId="5A4F03BE" w14:textId="77777777" w:rsidR="00E3533D" w:rsidRDefault="00E3533D" w:rsidP="00E3533D">
      <w:pPr>
        <w:overflowPunct w:val="0"/>
        <w:autoSpaceDE w:val="0"/>
        <w:autoSpaceDN w:val="0"/>
        <w:adjustRightInd w:val="0"/>
        <w:spacing w:line="240" w:lineRule="auto"/>
        <w:jc w:val="both"/>
        <w:textAlignment w:val="baseline"/>
        <w:rPr>
          <w:rFonts w:cs="Arial"/>
          <w:b/>
          <w:iCs/>
          <w:szCs w:val="20"/>
          <w:lang w:eastAsia="sl-SI"/>
        </w:rPr>
      </w:pPr>
    </w:p>
    <w:p w14:paraId="14FB4834" w14:textId="48074781" w:rsidR="00E3533D" w:rsidRPr="00E3533D" w:rsidRDefault="00E3533D" w:rsidP="00E3533D">
      <w:pPr>
        <w:overflowPunct w:val="0"/>
        <w:autoSpaceDE w:val="0"/>
        <w:autoSpaceDN w:val="0"/>
        <w:adjustRightInd w:val="0"/>
        <w:spacing w:line="240" w:lineRule="auto"/>
        <w:jc w:val="both"/>
        <w:textAlignment w:val="baseline"/>
        <w:rPr>
          <w:rFonts w:cs="Arial"/>
          <w:bCs/>
          <w:iCs/>
          <w:szCs w:val="20"/>
          <w:lang w:eastAsia="sl-SI"/>
        </w:rPr>
      </w:pPr>
      <w:r w:rsidRPr="00E3533D">
        <w:rPr>
          <w:rFonts w:cs="Arial"/>
          <w:bCs/>
          <w:iCs/>
          <w:szCs w:val="20"/>
          <w:lang w:eastAsia="sl-SI"/>
        </w:rPr>
        <w:t xml:space="preserve">Vlada je danes sprejela Dopolnitev </w:t>
      </w:r>
      <w:r w:rsidRPr="00E3533D">
        <w:rPr>
          <w:rFonts w:cs="Arial"/>
          <w:bCs/>
          <w:szCs w:val="20"/>
          <w:lang w:eastAsia="sl-SI"/>
        </w:rPr>
        <w:t xml:space="preserve">Načrta vaj </w:t>
      </w:r>
      <w:r w:rsidRPr="00E3533D">
        <w:rPr>
          <w:rFonts w:cs="Arial"/>
          <w:bCs/>
          <w:szCs w:val="20"/>
        </w:rPr>
        <w:t>v obrambnem sistemu in sistemu varstva pred naravnimi in drugimi nesrečami</w:t>
      </w:r>
      <w:r w:rsidRPr="00E3533D">
        <w:rPr>
          <w:rFonts w:cs="Arial"/>
          <w:bCs/>
          <w:szCs w:val="20"/>
          <w:lang w:eastAsia="sl-SI"/>
        </w:rPr>
        <w:t xml:space="preserve"> v letu </w:t>
      </w:r>
      <w:r w:rsidRPr="00E3533D">
        <w:rPr>
          <w:rFonts w:cs="Arial"/>
          <w:bCs/>
          <w:szCs w:val="20"/>
        </w:rPr>
        <w:t>2022</w:t>
      </w:r>
      <w:r w:rsidRPr="00E3533D">
        <w:rPr>
          <w:rFonts w:cs="Arial"/>
          <w:bCs/>
          <w:szCs w:val="20"/>
          <w:lang w:eastAsia="sl-SI"/>
        </w:rPr>
        <w:t>. Z dopolnitvijo bo Ministrstvo za obrambo seznanilo vse prejemnike načrta, vlada pa predsednika RS in Odbor Državnega zbora za obrambo.</w:t>
      </w:r>
    </w:p>
    <w:p w14:paraId="070DAA7E" w14:textId="77777777" w:rsidR="00E3533D" w:rsidRPr="00E3533D" w:rsidRDefault="00E3533D" w:rsidP="00E3533D">
      <w:pPr>
        <w:overflowPunct w:val="0"/>
        <w:autoSpaceDE w:val="0"/>
        <w:autoSpaceDN w:val="0"/>
        <w:adjustRightInd w:val="0"/>
        <w:spacing w:line="240" w:lineRule="auto"/>
        <w:jc w:val="both"/>
        <w:textAlignment w:val="baseline"/>
        <w:rPr>
          <w:rFonts w:cs="Arial"/>
          <w:szCs w:val="20"/>
          <w:lang w:eastAsia="sl-SI"/>
        </w:rPr>
      </w:pPr>
    </w:p>
    <w:p w14:paraId="32524EB5" w14:textId="77777777" w:rsidR="00E3533D" w:rsidRPr="00E3533D" w:rsidRDefault="00E3533D" w:rsidP="00E3533D">
      <w:pPr>
        <w:autoSpaceDE w:val="0"/>
        <w:autoSpaceDN w:val="0"/>
        <w:adjustRightInd w:val="0"/>
        <w:spacing w:line="240" w:lineRule="auto"/>
        <w:jc w:val="both"/>
        <w:rPr>
          <w:rFonts w:eastAsia="Calibri" w:cs="Arial"/>
          <w:szCs w:val="20"/>
          <w:lang w:eastAsia="sl-SI"/>
        </w:rPr>
      </w:pPr>
      <w:r w:rsidRPr="00E3533D">
        <w:rPr>
          <w:rFonts w:cs="Arial"/>
          <w:szCs w:val="20"/>
          <w:lang w:eastAsia="sl-SI"/>
        </w:rPr>
        <w:t xml:space="preserve">Dopolnitev Načrta vaj v obrambnem sistemu in sistemu varstva pred naravnimi in drugimi nesrečami v letu 2022 sledijo spremembam, ki jih sporočajo organizatorji mednarodnih vaj v tujini ali na podlagi prošenj za izvedbo mednarodnih usposabljanj v Republiki Sloveniji. </w:t>
      </w:r>
    </w:p>
    <w:p w14:paraId="1AA252AB" w14:textId="77777777" w:rsidR="00E3533D" w:rsidRPr="00E3533D" w:rsidRDefault="00E3533D" w:rsidP="00E3533D">
      <w:pPr>
        <w:suppressAutoHyphens/>
        <w:overflowPunct w:val="0"/>
        <w:autoSpaceDE w:val="0"/>
        <w:autoSpaceDN w:val="0"/>
        <w:adjustRightInd w:val="0"/>
        <w:spacing w:line="240" w:lineRule="auto"/>
        <w:jc w:val="both"/>
        <w:textAlignment w:val="baseline"/>
        <w:rPr>
          <w:rFonts w:cs="Arial"/>
          <w:bCs/>
          <w:szCs w:val="20"/>
          <w:lang w:eastAsia="sl-SI"/>
        </w:rPr>
      </w:pPr>
    </w:p>
    <w:p w14:paraId="604A2696" w14:textId="77777777" w:rsidR="00E3533D" w:rsidRPr="00E3533D" w:rsidRDefault="00E3533D" w:rsidP="00E3533D">
      <w:pPr>
        <w:suppressAutoHyphens/>
        <w:overflowPunct w:val="0"/>
        <w:autoSpaceDE w:val="0"/>
        <w:autoSpaceDN w:val="0"/>
        <w:adjustRightInd w:val="0"/>
        <w:spacing w:line="240" w:lineRule="auto"/>
        <w:jc w:val="both"/>
        <w:textAlignment w:val="baseline"/>
        <w:rPr>
          <w:rFonts w:cs="Arial"/>
          <w:szCs w:val="20"/>
          <w:lang w:eastAsia="sl-SI"/>
        </w:rPr>
      </w:pPr>
      <w:r w:rsidRPr="00E3533D">
        <w:rPr>
          <w:rFonts w:cs="Arial"/>
          <w:bCs/>
          <w:szCs w:val="20"/>
          <w:lang w:eastAsia="sl-SI"/>
        </w:rPr>
        <w:t>Slovenska vojska načrtuje udeležbo na mednarodni vojaški vaji v Avstriji EISNER na temi urbanih operacij in zaščite kritične infrastrukture, ki bo med 10. in 21. julijem, ter izvedbo skupnega usposabljana v Sloveniji s pripadniki ameriške vojske, ki bo od 1. do 11. avgusta. Navedena usposabljanja bodo izpeljana z že načrtovanimi finančnimi sredstvi.</w:t>
      </w:r>
    </w:p>
    <w:p w14:paraId="58F82B5D" w14:textId="77777777" w:rsidR="00E3533D" w:rsidRPr="00E3533D" w:rsidRDefault="00E3533D" w:rsidP="00E3533D">
      <w:pPr>
        <w:spacing w:line="240" w:lineRule="auto"/>
        <w:jc w:val="both"/>
        <w:rPr>
          <w:rFonts w:cs="Arial"/>
          <w:szCs w:val="20"/>
        </w:rPr>
      </w:pPr>
    </w:p>
    <w:p w14:paraId="7F450703" w14:textId="64138576" w:rsidR="00E17633" w:rsidRPr="00E3533D" w:rsidRDefault="00E3533D" w:rsidP="00E3533D">
      <w:pPr>
        <w:spacing w:line="240" w:lineRule="auto"/>
        <w:jc w:val="both"/>
        <w:rPr>
          <w:rFonts w:cs="Arial"/>
          <w:szCs w:val="20"/>
        </w:rPr>
      </w:pPr>
      <w:r w:rsidRPr="00E3533D">
        <w:rPr>
          <w:rFonts w:cs="Arial"/>
          <w:szCs w:val="20"/>
        </w:rPr>
        <w:t>Vir: Ministrstvo za obrambo</w:t>
      </w:r>
      <w:r w:rsidR="00E17633" w:rsidRPr="00E3533D">
        <w:rPr>
          <w:rFonts w:cs="Arial"/>
          <w:szCs w:val="20"/>
        </w:rPr>
        <w:t xml:space="preserve"> </w:t>
      </w:r>
    </w:p>
    <w:p w14:paraId="162AED83" w14:textId="1FC9E3C1" w:rsidR="00E17633" w:rsidRDefault="00E17633" w:rsidP="00E3533D">
      <w:pPr>
        <w:spacing w:line="240" w:lineRule="auto"/>
        <w:jc w:val="both"/>
        <w:rPr>
          <w:rFonts w:cs="Arial"/>
          <w:szCs w:val="20"/>
        </w:rPr>
      </w:pPr>
    </w:p>
    <w:p w14:paraId="1F33147E" w14:textId="77777777" w:rsidR="00E3533D" w:rsidRPr="00E3533D" w:rsidRDefault="00E3533D" w:rsidP="00E3533D">
      <w:pPr>
        <w:spacing w:line="240" w:lineRule="auto"/>
        <w:jc w:val="both"/>
        <w:rPr>
          <w:rFonts w:cs="Arial"/>
          <w:szCs w:val="20"/>
        </w:rPr>
      </w:pPr>
    </w:p>
    <w:p w14:paraId="07E671F7" w14:textId="77777777" w:rsidR="00E17633" w:rsidRPr="00E3533D" w:rsidRDefault="00E17633" w:rsidP="00E3533D">
      <w:pPr>
        <w:spacing w:line="240" w:lineRule="auto"/>
        <w:jc w:val="both"/>
        <w:rPr>
          <w:rFonts w:cs="Arial"/>
          <w:b/>
          <w:bCs/>
          <w:szCs w:val="20"/>
          <w:lang w:val="it-IT"/>
        </w:rPr>
      </w:pPr>
      <w:r w:rsidRPr="00E3533D">
        <w:rPr>
          <w:rFonts w:cs="Arial"/>
          <w:b/>
          <w:bCs/>
          <w:szCs w:val="20"/>
          <w:lang w:val="it-IT"/>
        </w:rPr>
        <w:t xml:space="preserve">Vlada o </w:t>
      </w:r>
      <w:proofErr w:type="spellStart"/>
      <w:r w:rsidRPr="00E3533D">
        <w:rPr>
          <w:rFonts w:cs="Arial"/>
          <w:b/>
          <w:bCs/>
          <w:szCs w:val="20"/>
          <w:lang w:val="it-IT"/>
        </w:rPr>
        <w:t>ponudbi</w:t>
      </w:r>
      <w:proofErr w:type="spellEnd"/>
      <w:r w:rsidRPr="00E3533D">
        <w:rPr>
          <w:rFonts w:cs="Arial"/>
          <w:b/>
          <w:bCs/>
          <w:szCs w:val="20"/>
          <w:lang w:val="it-IT"/>
        </w:rPr>
        <w:t xml:space="preserve"> za </w:t>
      </w:r>
      <w:r w:rsidRPr="00E3533D">
        <w:rPr>
          <w:rFonts w:cs="Arial"/>
          <w:b/>
          <w:bCs/>
          <w:szCs w:val="20"/>
          <w:lang w:eastAsia="ar-SA"/>
        </w:rPr>
        <w:t xml:space="preserve">odkup terjatve </w:t>
      </w:r>
      <w:r w:rsidRPr="00E3533D">
        <w:rPr>
          <w:rFonts w:cs="Arial"/>
          <w:b/>
          <w:bCs/>
          <w:iCs/>
          <w:szCs w:val="20"/>
        </w:rPr>
        <w:t>do družbe v stečaju</w:t>
      </w:r>
    </w:p>
    <w:p w14:paraId="2EAECD20" w14:textId="77777777" w:rsidR="00E17633" w:rsidRPr="00E3533D" w:rsidRDefault="00E17633" w:rsidP="00E3533D">
      <w:pPr>
        <w:spacing w:line="240" w:lineRule="auto"/>
        <w:jc w:val="both"/>
        <w:rPr>
          <w:rFonts w:cs="Arial"/>
          <w:b/>
          <w:bCs/>
          <w:szCs w:val="20"/>
          <w:lang w:val="it-IT"/>
        </w:rPr>
      </w:pPr>
    </w:p>
    <w:p w14:paraId="0300078A" w14:textId="77777777" w:rsidR="00E17633" w:rsidRPr="00E3533D" w:rsidRDefault="00E17633" w:rsidP="00E3533D">
      <w:pPr>
        <w:spacing w:line="240" w:lineRule="auto"/>
        <w:jc w:val="both"/>
        <w:rPr>
          <w:rFonts w:cs="Arial"/>
          <w:szCs w:val="20"/>
          <w:lang w:eastAsia="ar-SA"/>
        </w:rPr>
      </w:pPr>
      <w:r w:rsidRPr="00E3533D">
        <w:rPr>
          <w:rFonts w:cs="Arial"/>
          <w:szCs w:val="20"/>
          <w:lang w:eastAsia="ar-SA"/>
        </w:rPr>
        <w:t xml:space="preserve">Vlada je sklenila, da ne sprejme ponudbe družbe CO2 &amp; </w:t>
      </w:r>
      <w:proofErr w:type="spellStart"/>
      <w:r w:rsidRPr="00E3533D">
        <w:rPr>
          <w:rFonts w:cs="Arial"/>
          <w:szCs w:val="20"/>
          <w:lang w:eastAsia="ar-SA"/>
        </w:rPr>
        <w:t>Friends</w:t>
      </w:r>
      <w:proofErr w:type="spellEnd"/>
      <w:r w:rsidRPr="00E3533D">
        <w:rPr>
          <w:rFonts w:cs="Arial"/>
          <w:szCs w:val="20"/>
          <w:lang w:eastAsia="ar-SA"/>
        </w:rPr>
        <w:t xml:space="preserve"> </w:t>
      </w:r>
      <w:proofErr w:type="spellStart"/>
      <w:r w:rsidRPr="00E3533D">
        <w:rPr>
          <w:rFonts w:cs="Arial"/>
          <w:szCs w:val="20"/>
          <w:lang w:eastAsia="ar-SA"/>
        </w:rPr>
        <w:t>Advertising</w:t>
      </w:r>
      <w:proofErr w:type="spellEnd"/>
      <w:r w:rsidRPr="00E3533D">
        <w:rPr>
          <w:rFonts w:cs="Arial"/>
          <w:szCs w:val="20"/>
          <w:lang w:eastAsia="ar-SA"/>
        </w:rPr>
        <w:t xml:space="preserve"> &amp; Design v višini 1796,61 evra za odkup terjatve Republike Sloveni</w:t>
      </w:r>
      <w:r w:rsidRPr="00E3533D">
        <w:rPr>
          <w:rFonts w:cs="Arial"/>
          <w:iCs/>
          <w:szCs w:val="20"/>
        </w:rPr>
        <w:t xml:space="preserve">je do družbe </w:t>
      </w:r>
      <w:r w:rsidRPr="00E3533D">
        <w:rPr>
          <w:rFonts w:cs="Arial"/>
          <w:szCs w:val="20"/>
          <w:lang w:eastAsia="ar-SA"/>
        </w:rPr>
        <w:t>EVICA v stečaju.</w:t>
      </w:r>
    </w:p>
    <w:p w14:paraId="332DF47A" w14:textId="77777777" w:rsidR="00E17633" w:rsidRPr="00E3533D" w:rsidRDefault="00E17633" w:rsidP="00E3533D">
      <w:pPr>
        <w:spacing w:line="240" w:lineRule="auto"/>
        <w:jc w:val="both"/>
        <w:rPr>
          <w:rFonts w:cs="Arial"/>
          <w:szCs w:val="20"/>
          <w:lang w:eastAsia="ar-SA"/>
        </w:rPr>
      </w:pPr>
    </w:p>
    <w:p w14:paraId="0508C0C5" w14:textId="77777777" w:rsidR="00E17633" w:rsidRPr="00E3533D" w:rsidRDefault="00E17633" w:rsidP="00E3533D">
      <w:pPr>
        <w:spacing w:line="240" w:lineRule="auto"/>
        <w:jc w:val="both"/>
        <w:rPr>
          <w:rFonts w:cs="Arial"/>
          <w:szCs w:val="20"/>
        </w:rPr>
      </w:pPr>
      <w:r w:rsidRPr="00E3533D">
        <w:rPr>
          <w:rFonts w:cs="Arial"/>
          <w:bCs/>
          <w:szCs w:val="20"/>
        </w:rPr>
        <w:t xml:space="preserve">Komisija za odpiranje ponudb za prodajo terjatev Republike Slovenije v postopkih prisilnih poravnav ali stečajev, ki je v pristojnosti Ministrstva za finance, je v začetku junija letos prejela ponudbo družbe </w:t>
      </w:r>
      <w:r w:rsidRPr="00E3533D">
        <w:rPr>
          <w:rFonts w:cs="Arial"/>
          <w:szCs w:val="20"/>
          <w:lang w:eastAsia="ar-SA"/>
        </w:rPr>
        <w:t xml:space="preserve">CO2 &amp; </w:t>
      </w:r>
      <w:proofErr w:type="spellStart"/>
      <w:r w:rsidRPr="00E3533D">
        <w:rPr>
          <w:rFonts w:cs="Arial"/>
          <w:szCs w:val="20"/>
          <w:lang w:eastAsia="ar-SA"/>
        </w:rPr>
        <w:t>Friends</w:t>
      </w:r>
      <w:proofErr w:type="spellEnd"/>
      <w:r w:rsidRPr="00E3533D">
        <w:rPr>
          <w:rFonts w:cs="Arial"/>
          <w:szCs w:val="20"/>
          <w:lang w:eastAsia="ar-SA"/>
        </w:rPr>
        <w:t xml:space="preserve"> </w:t>
      </w:r>
      <w:proofErr w:type="spellStart"/>
      <w:r w:rsidRPr="00E3533D">
        <w:rPr>
          <w:rFonts w:cs="Arial"/>
          <w:szCs w:val="20"/>
          <w:lang w:eastAsia="ar-SA"/>
        </w:rPr>
        <w:t>Advertising</w:t>
      </w:r>
      <w:proofErr w:type="spellEnd"/>
      <w:r w:rsidRPr="00E3533D">
        <w:rPr>
          <w:rFonts w:cs="Arial"/>
          <w:szCs w:val="20"/>
          <w:lang w:eastAsia="ar-SA"/>
        </w:rPr>
        <w:t xml:space="preserve"> &amp; Design </w:t>
      </w:r>
      <w:r w:rsidRPr="00E3533D">
        <w:rPr>
          <w:rFonts w:cs="Arial"/>
          <w:bCs/>
          <w:szCs w:val="20"/>
        </w:rPr>
        <w:t xml:space="preserve">za odkup terjatve države do družbe </w:t>
      </w:r>
      <w:r w:rsidRPr="00E3533D">
        <w:rPr>
          <w:rFonts w:cs="Arial"/>
          <w:szCs w:val="20"/>
          <w:lang w:eastAsia="ar-SA"/>
        </w:rPr>
        <w:t>EVICA v stečaju</w:t>
      </w:r>
      <w:r w:rsidRPr="00E3533D">
        <w:rPr>
          <w:rFonts w:cs="Arial"/>
          <w:bCs/>
          <w:szCs w:val="20"/>
        </w:rPr>
        <w:t xml:space="preserve">. Ponudnik je za odkup terjatve ponudil </w:t>
      </w:r>
      <w:r w:rsidRPr="00E3533D">
        <w:rPr>
          <w:rFonts w:cs="Arial"/>
          <w:szCs w:val="20"/>
          <w:lang w:eastAsia="ar-SA"/>
        </w:rPr>
        <w:t xml:space="preserve">1796,61 </w:t>
      </w:r>
      <w:r w:rsidRPr="00E3533D">
        <w:rPr>
          <w:rFonts w:cs="Arial"/>
          <w:bCs/>
          <w:szCs w:val="20"/>
        </w:rPr>
        <w:t xml:space="preserve">evra. </w:t>
      </w:r>
      <w:r w:rsidRPr="00E3533D">
        <w:rPr>
          <w:rFonts w:cs="Arial"/>
          <w:szCs w:val="20"/>
        </w:rPr>
        <w:t xml:space="preserve">Komisija, ki pri prodaji terjatev zasleduje cilj doseganja čim višje kupnine, je sprejela stališče, da se ponudba </w:t>
      </w:r>
      <w:r w:rsidRPr="00E3533D">
        <w:rPr>
          <w:rFonts w:cs="Arial"/>
          <w:bCs/>
          <w:szCs w:val="20"/>
        </w:rPr>
        <w:t>zavrne,</w:t>
      </w:r>
      <w:r w:rsidRPr="00E3533D">
        <w:rPr>
          <w:rFonts w:cs="Arial"/>
          <w:szCs w:val="20"/>
        </w:rPr>
        <w:t xml:space="preserve"> in je to predlagala tudi vladi.</w:t>
      </w:r>
    </w:p>
    <w:p w14:paraId="3BD804E2" w14:textId="77777777" w:rsidR="00E17633" w:rsidRPr="00E3533D" w:rsidRDefault="00E17633" w:rsidP="00E3533D">
      <w:pPr>
        <w:spacing w:line="240" w:lineRule="auto"/>
        <w:jc w:val="both"/>
        <w:rPr>
          <w:rFonts w:cs="Arial"/>
          <w:szCs w:val="20"/>
        </w:rPr>
      </w:pPr>
    </w:p>
    <w:p w14:paraId="6940183B" w14:textId="77777777" w:rsidR="00E17633" w:rsidRPr="00E3533D" w:rsidRDefault="00E17633" w:rsidP="00E3533D">
      <w:pPr>
        <w:spacing w:line="240" w:lineRule="auto"/>
        <w:jc w:val="both"/>
        <w:rPr>
          <w:rFonts w:cs="Arial"/>
          <w:b/>
          <w:szCs w:val="20"/>
          <w:lang w:eastAsia="sl-SI"/>
        </w:rPr>
      </w:pPr>
      <w:r w:rsidRPr="00E3533D">
        <w:rPr>
          <w:rFonts w:cs="Arial"/>
          <w:szCs w:val="20"/>
        </w:rPr>
        <w:t>Vir: Ministrstvo za finance</w:t>
      </w:r>
    </w:p>
    <w:p w14:paraId="5AEE903C" w14:textId="77777777" w:rsidR="00E17633" w:rsidRPr="00E3533D" w:rsidRDefault="00E17633" w:rsidP="00E3533D">
      <w:pPr>
        <w:spacing w:line="240" w:lineRule="auto"/>
        <w:jc w:val="both"/>
        <w:rPr>
          <w:rFonts w:cs="Arial"/>
          <w:szCs w:val="20"/>
        </w:rPr>
      </w:pPr>
    </w:p>
    <w:p w14:paraId="0D2030DB" w14:textId="77777777" w:rsidR="00E17633" w:rsidRPr="00E3533D" w:rsidRDefault="00E17633" w:rsidP="00E3533D">
      <w:pPr>
        <w:spacing w:line="240" w:lineRule="auto"/>
        <w:jc w:val="both"/>
        <w:rPr>
          <w:rFonts w:cs="Arial"/>
          <w:szCs w:val="20"/>
        </w:rPr>
      </w:pPr>
    </w:p>
    <w:p w14:paraId="26FEF9FB" w14:textId="77777777" w:rsidR="00E17633" w:rsidRPr="00E3533D" w:rsidRDefault="00E17633" w:rsidP="00E3533D">
      <w:pPr>
        <w:spacing w:line="240" w:lineRule="auto"/>
        <w:jc w:val="both"/>
        <w:rPr>
          <w:rFonts w:cs="Arial"/>
          <w:b/>
          <w:bCs/>
          <w:szCs w:val="20"/>
        </w:rPr>
      </w:pPr>
      <w:r w:rsidRPr="00E3533D">
        <w:rPr>
          <w:rFonts w:cs="Arial"/>
          <w:b/>
          <w:bCs/>
          <w:szCs w:val="20"/>
        </w:rPr>
        <w:t>Vlada sprejela Državno poročilo o stanju varstva pacientovih pravic za leto 2021</w:t>
      </w:r>
    </w:p>
    <w:p w14:paraId="57A39F5C" w14:textId="77777777" w:rsidR="00E17633" w:rsidRPr="00E3533D" w:rsidRDefault="00E17633" w:rsidP="00E3533D">
      <w:pPr>
        <w:pStyle w:val="Neotevilenodstavek"/>
        <w:spacing w:before="0" w:after="0" w:line="240" w:lineRule="auto"/>
        <w:rPr>
          <w:b/>
          <w:bCs/>
          <w:iCs/>
          <w:sz w:val="20"/>
          <w:szCs w:val="20"/>
        </w:rPr>
      </w:pPr>
    </w:p>
    <w:p w14:paraId="1EC8E369" w14:textId="1B9214E9" w:rsidR="00E17633" w:rsidRPr="00E3533D" w:rsidRDefault="00E17633" w:rsidP="00E3533D">
      <w:pPr>
        <w:pStyle w:val="Neotevilenodstavek"/>
        <w:spacing w:before="0" w:after="0" w:line="240" w:lineRule="auto"/>
        <w:rPr>
          <w:bCs/>
          <w:sz w:val="20"/>
          <w:szCs w:val="20"/>
        </w:rPr>
      </w:pPr>
      <w:r w:rsidRPr="00E3533D">
        <w:rPr>
          <w:bCs/>
          <w:iCs/>
          <w:sz w:val="20"/>
          <w:szCs w:val="20"/>
        </w:rPr>
        <w:t>Ministrstvo za zdravje na podlagi 84. člena Zakona o pacientovih pravicah (</w:t>
      </w:r>
      <w:proofErr w:type="spellStart"/>
      <w:r w:rsidRPr="00E3533D">
        <w:rPr>
          <w:bCs/>
          <w:iCs/>
          <w:sz w:val="20"/>
          <w:szCs w:val="20"/>
        </w:rPr>
        <w:t>ZPacP</w:t>
      </w:r>
      <w:proofErr w:type="spellEnd"/>
      <w:r w:rsidRPr="00E3533D">
        <w:rPr>
          <w:bCs/>
          <w:iCs/>
          <w:sz w:val="20"/>
          <w:szCs w:val="20"/>
        </w:rPr>
        <w:t xml:space="preserve">) vsako leto pripravi državno poročilo o stanju varstva pacientovih pravic za posamezno leto. </w:t>
      </w:r>
      <w:r w:rsidRPr="00E3533D">
        <w:rPr>
          <w:bCs/>
          <w:sz w:val="20"/>
          <w:szCs w:val="20"/>
        </w:rPr>
        <w:t xml:space="preserve">Državno poročilo za leto 2021 vsebuje povzetek poročil vseh zastopnikov pacientovih pravic o njihovem delu v letu 2021 in povzetek dela Komisije Republike Slovenije za varstvo pacientovih pravic. </w:t>
      </w:r>
    </w:p>
    <w:p w14:paraId="4E38DC46" w14:textId="77777777" w:rsidR="00E17633" w:rsidRPr="00E3533D" w:rsidRDefault="00E17633" w:rsidP="00E3533D">
      <w:pPr>
        <w:pStyle w:val="Neotevilenodstavek"/>
        <w:spacing w:before="0" w:after="0" w:line="240" w:lineRule="auto"/>
        <w:rPr>
          <w:bCs/>
          <w:sz w:val="20"/>
          <w:szCs w:val="20"/>
        </w:rPr>
      </w:pPr>
    </w:p>
    <w:p w14:paraId="1BC8E2BA" w14:textId="19AB7987" w:rsidR="00E17633" w:rsidRPr="00E3533D" w:rsidRDefault="00E17633" w:rsidP="00E3533D">
      <w:pPr>
        <w:pStyle w:val="Neotevilenodstavek"/>
        <w:spacing w:before="0" w:after="0" w:line="240" w:lineRule="auto"/>
        <w:rPr>
          <w:sz w:val="20"/>
          <w:szCs w:val="20"/>
        </w:rPr>
      </w:pPr>
      <w:r w:rsidRPr="00E3533D">
        <w:rPr>
          <w:sz w:val="20"/>
          <w:szCs w:val="20"/>
        </w:rPr>
        <w:t>Za pregled stanja varstva pacientovih pravic je treba zajeti celoten sistem za reševanje različnih pritožb pacientov v zdravstvu, zato je državno poročilo dopolnjeno s statističnimi poročili drugih subjektov. V državnem poročilu za leto 2021 so predstavljeni tudi podatki o zadovoljstvu pacientov z nekaterimi vidiki kakovosti zdravstvene obravnave pri izvajalcih zdravstvene dejavnosti, zbrani na podlagi Metodologije za ugotavljanje kakovosti poslovanja z uporabniki v javnem zdravstvu, in ugotovitve državne raziskave PREMS o izkušnjah pacientov z zdravstveno obravnavo.</w:t>
      </w:r>
    </w:p>
    <w:p w14:paraId="6261F234" w14:textId="77777777" w:rsidR="00E17633" w:rsidRPr="00E3533D" w:rsidRDefault="00E17633" w:rsidP="00E3533D">
      <w:pPr>
        <w:pStyle w:val="Neotevilenodstavek"/>
        <w:spacing w:before="0" w:after="0" w:line="240" w:lineRule="auto"/>
        <w:rPr>
          <w:b/>
          <w:bCs/>
          <w:sz w:val="20"/>
          <w:szCs w:val="20"/>
        </w:rPr>
      </w:pPr>
    </w:p>
    <w:p w14:paraId="04AEBA2A" w14:textId="77777777" w:rsidR="00E17633" w:rsidRPr="00E3533D" w:rsidRDefault="00E17633" w:rsidP="00E3533D">
      <w:pPr>
        <w:pStyle w:val="Neotevilenodstavek"/>
        <w:spacing w:before="0" w:after="0" w:line="240" w:lineRule="auto"/>
        <w:rPr>
          <w:sz w:val="20"/>
          <w:szCs w:val="20"/>
        </w:rPr>
      </w:pPr>
      <w:r w:rsidRPr="00E3533D">
        <w:rPr>
          <w:sz w:val="20"/>
          <w:szCs w:val="20"/>
        </w:rPr>
        <w:t xml:space="preserve">V letu 2021 se je na zastopnike pacientovih pravic obrnilo 10.532 pacientov, izvedenih je bilo 1470 neformalnih posredovanj pri izvajalcih in 221 prvih obravnav kršitev pacientovih pravic. Najpogosteje, je bila kršena pravica do primerne, kakovostne in varne zdravstvene oskrbe ter pravica do spoštovanja pacientovega časa. V državnem poročilu so predvideni tudi nekateri ukrepi oziroma predlogi za izboljšanje obravnave pacientov. Glede na opravljene ure je posamezni zastopnik na teden opravil v povprečju 22,4 ure, za eno zadevo pa porabil v povprečju 1,33 ure. Uradne ure zastopnikov in morebitna obvestila o njihovi odsotnosti zaradi bolezni ali </w:t>
      </w:r>
      <w:r w:rsidRPr="00E3533D">
        <w:rPr>
          <w:sz w:val="20"/>
          <w:szCs w:val="20"/>
        </w:rPr>
        <w:lastRenderedPageBreak/>
        <w:t>dopusta so bili objavljeni na spletni strani ministrstva in v prostorih zastopnikov. V letu 2021 zastopniki zaradi epidemije posamezni del leta niso uradovali v pisarnah, temveč so delovali od doma, po telefonu ali prek e-povezave.</w:t>
      </w:r>
    </w:p>
    <w:p w14:paraId="3E288066" w14:textId="77777777" w:rsidR="00E17633" w:rsidRPr="00E3533D" w:rsidRDefault="00E17633" w:rsidP="00E3533D">
      <w:pPr>
        <w:spacing w:line="240" w:lineRule="auto"/>
        <w:jc w:val="both"/>
        <w:rPr>
          <w:rFonts w:cs="Arial"/>
          <w:i/>
          <w:iCs/>
          <w:color w:val="44546A"/>
          <w:szCs w:val="20"/>
        </w:rPr>
      </w:pPr>
      <w:bookmarkStart w:id="0" w:name="_Ref41732591"/>
    </w:p>
    <w:p w14:paraId="32D2AA2A" w14:textId="77777777" w:rsidR="00E17633" w:rsidRPr="00E3533D" w:rsidRDefault="00E17633" w:rsidP="00E3533D">
      <w:pPr>
        <w:spacing w:line="240" w:lineRule="auto"/>
        <w:jc w:val="both"/>
        <w:rPr>
          <w:rFonts w:cs="Arial"/>
          <w:i/>
          <w:iCs/>
          <w:color w:val="44546A"/>
          <w:szCs w:val="20"/>
        </w:rPr>
      </w:pPr>
      <w:r w:rsidRPr="00E3533D">
        <w:rPr>
          <w:rFonts w:cs="Arial"/>
          <w:i/>
          <w:iCs/>
          <w:color w:val="44546A"/>
          <w:szCs w:val="20"/>
        </w:rPr>
        <w:t xml:space="preserve">Preglednica </w:t>
      </w:r>
      <w:r w:rsidRPr="00E3533D">
        <w:rPr>
          <w:rFonts w:cs="Arial"/>
          <w:szCs w:val="20"/>
        </w:rPr>
        <w:fldChar w:fldCharType="begin"/>
      </w:r>
      <w:r w:rsidRPr="00E3533D">
        <w:rPr>
          <w:rFonts w:cs="Arial"/>
          <w:i/>
          <w:iCs/>
          <w:color w:val="44546A"/>
          <w:szCs w:val="20"/>
        </w:rPr>
        <w:instrText xml:space="preserve"> SEQ Preglednica \* ARABIC </w:instrText>
      </w:r>
      <w:r w:rsidRPr="00E3533D">
        <w:rPr>
          <w:rFonts w:cs="Arial"/>
          <w:szCs w:val="20"/>
        </w:rPr>
        <w:fldChar w:fldCharType="separate"/>
      </w:r>
      <w:r w:rsidRPr="00E3533D">
        <w:rPr>
          <w:rFonts w:cs="Arial"/>
          <w:i/>
          <w:iCs/>
          <w:color w:val="44546A"/>
          <w:szCs w:val="20"/>
        </w:rPr>
        <w:t>1</w:t>
      </w:r>
      <w:r w:rsidRPr="00E3533D">
        <w:rPr>
          <w:rFonts w:cs="Arial"/>
          <w:szCs w:val="20"/>
        </w:rPr>
        <w:fldChar w:fldCharType="end"/>
      </w:r>
      <w:bookmarkEnd w:id="0"/>
      <w:r w:rsidRPr="00E3533D">
        <w:rPr>
          <w:rFonts w:cs="Arial"/>
          <w:i/>
          <w:iCs/>
          <w:color w:val="44546A"/>
          <w:szCs w:val="20"/>
        </w:rPr>
        <w:t>: Število obravnavanih vprašanj/zadev pacientov po letih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886"/>
      </w:tblGrid>
      <w:tr w:rsidR="00E17633" w:rsidRPr="00E3533D" w14:paraId="2236B5BE" w14:textId="77777777" w:rsidTr="00A66E2D">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56D6D051" w14:textId="77777777" w:rsidR="00E17633" w:rsidRPr="00E3533D" w:rsidRDefault="00E17633" w:rsidP="00E3533D">
            <w:pPr>
              <w:spacing w:line="240" w:lineRule="auto"/>
              <w:jc w:val="both"/>
              <w:rPr>
                <w:rFonts w:cs="Arial"/>
                <w:b/>
                <w:color w:val="000000"/>
                <w:szCs w:val="20"/>
              </w:rPr>
            </w:pPr>
            <w:r w:rsidRPr="00E3533D">
              <w:rPr>
                <w:rFonts w:cs="Arial"/>
                <w:b/>
                <w:color w:val="000000"/>
                <w:szCs w:val="20"/>
              </w:rPr>
              <w:t>Leto</w:t>
            </w:r>
          </w:p>
        </w:tc>
        <w:tc>
          <w:tcPr>
            <w:tcW w:w="3886" w:type="dxa"/>
            <w:tcBorders>
              <w:top w:val="single" w:sz="4" w:space="0" w:color="000000"/>
              <w:left w:val="single" w:sz="4" w:space="0" w:color="000000"/>
              <w:bottom w:val="single" w:sz="4" w:space="0" w:color="000000"/>
              <w:right w:val="single" w:sz="4" w:space="0" w:color="000000"/>
            </w:tcBorders>
            <w:shd w:val="clear" w:color="auto" w:fill="BFBFBF"/>
            <w:hideMark/>
          </w:tcPr>
          <w:p w14:paraId="0A02A313" w14:textId="77777777" w:rsidR="00E17633" w:rsidRPr="00E3533D" w:rsidRDefault="00E17633" w:rsidP="00E3533D">
            <w:pPr>
              <w:spacing w:line="240" w:lineRule="auto"/>
              <w:jc w:val="both"/>
              <w:rPr>
                <w:rFonts w:cs="Arial"/>
                <w:b/>
                <w:color w:val="000000"/>
                <w:szCs w:val="20"/>
              </w:rPr>
            </w:pPr>
            <w:r w:rsidRPr="00E3533D">
              <w:rPr>
                <w:rFonts w:cs="Arial"/>
                <w:b/>
                <w:color w:val="000000"/>
                <w:szCs w:val="20"/>
              </w:rPr>
              <w:t>Število obravnavanih vprašanj/zadev pacientov</w:t>
            </w:r>
          </w:p>
        </w:tc>
      </w:tr>
      <w:tr w:rsidR="00E17633" w:rsidRPr="00E3533D" w14:paraId="0694CF98"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27E70973"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2011</w:t>
            </w:r>
          </w:p>
        </w:tc>
        <w:tc>
          <w:tcPr>
            <w:tcW w:w="3886" w:type="dxa"/>
            <w:tcBorders>
              <w:top w:val="single" w:sz="4" w:space="0" w:color="000000"/>
              <w:left w:val="single" w:sz="4" w:space="0" w:color="000000"/>
              <w:bottom w:val="single" w:sz="4" w:space="0" w:color="000000"/>
              <w:right w:val="single" w:sz="4" w:space="0" w:color="000000"/>
            </w:tcBorders>
            <w:hideMark/>
          </w:tcPr>
          <w:p w14:paraId="656248EE"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8.158</w:t>
            </w:r>
          </w:p>
        </w:tc>
      </w:tr>
      <w:tr w:rsidR="00E17633" w:rsidRPr="00E3533D" w14:paraId="4E8F509B"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15ECBABC"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2012</w:t>
            </w:r>
          </w:p>
        </w:tc>
        <w:tc>
          <w:tcPr>
            <w:tcW w:w="3886" w:type="dxa"/>
            <w:tcBorders>
              <w:top w:val="single" w:sz="4" w:space="0" w:color="000000"/>
              <w:left w:val="single" w:sz="4" w:space="0" w:color="000000"/>
              <w:bottom w:val="single" w:sz="4" w:space="0" w:color="000000"/>
              <w:right w:val="single" w:sz="4" w:space="0" w:color="000000"/>
            </w:tcBorders>
            <w:hideMark/>
          </w:tcPr>
          <w:p w14:paraId="35C480D6"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6.249</w:t>
            </w:r>
          </w:p>
        </w:tc>
      </w:tr>
      <w:tr w:rsidR="00E17633" w:rsidRPr="00E3533D" w14:paraId="6F84F496"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6B14335B"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2013</w:t>
            </w:r>
          </w:p>
        </w:tc>
        <w:tc>
          <w:tcPr>
            <w:tcW w:w="3886" w:type="dxa"/>
            <w:tcBorders>
              <w:top w:val="single" w:sz="4" w:space="0" w:color="000000"/>
              <w:left w:val="single" w:sz="4" w:space="0" w:color="000000"/>
              <w:bottom w:val="single" w:sz="4" w:space="0" w:color="000000"/>
              <w:right w:val="single" w:sz="4" w:space="0" w:color="000000"/>
            </w:tcBorders>
            <w:hideMark/>
          </w:tcPr>
          <w:p w14:paraId="01031D3A"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6.611</w:t>
            </w:r>
          </w:p>
        </w:tc>
      </w:tr>
      <w:tr w:rsidR="00E17633" w:rsidRPr="00E3533D" w14:paraId="6F7F5E7A"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5AA81960"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2014</w:t>
            </w:r>
          </w:p>
        </w:tc>
        <w:tc>
          <w:tcPr>
            <w:tcW w:w="3886" w:type="dxa"/>
            <w:tcBorders>
              <w:top w:val="single" w:sz="4" w:space="0" w:color="000000"/>
              <w:left w:val="single" w:sz="4" w:space="0" w:color="000000"/>
              <w:bottom w:val="single" w:sz="4" w:space="0" w:color="000000"/>
              <w:right w:val="single" w:sz="4" w:space="0" w:color="000000"/>
            </w:tcBorders>
            <w:hideMark/>
          </w:tcPr>
          <w:p w14:paraId="7DE2590E"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6.703</w:t>
            </w:r>
          </w:p>
        </w:tc>
      </w:tr>
      <w:tr w:rsidR="00E17633" w:rsidRPr="00E3533D" w14:paraId="38EEF822"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045859D9"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2015</w:t>
            </w:r>
          </w:p>
        </w:tc>
        <w:tc>
          <w:tcPr>
            <w:tcW w:w="3886" w:type="dxa"/>
            <w:tcBorders>
              <w:top w:val="single" w:sz="4" w:space="0" w:color="000000"/>
              <w:left w:val="single" w:sz="4" w:space="0" w:color="000000"/>
              <w:bottom w:val="single" w:sz="4" w:space="0" w:color="000000"/>
              <w:right w:val="single" w:sz="4" w:space="0" w:color="000000"/>
            </w:tcBorders>
            <w:hideMark/>
          </w:tcPr>
          <w:p w14:paraId="4C7B801F"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8.398</w:t>
            </w:r>
          </w:p>
        </w:tc>
      </w:tr>
      <w:tr w:rsidR="00E17633" w:rsidRPr="00E3533D" w14:paraId="71D9643F"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42B20625"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2016</w:t>
            </w:r>
          </w:p>
        </w:tc>
        <w:tc>
          <w:tcPr>
            <w:tcW w:w="3886" w:type="dxa"/>
            <w:tcBorders>
              <w:top w:val="single" w:sz="4" w:space="0" w:color="000000"/>
              <w:left w:val="single" w:sz="4" w:space="0" w:color="000000"/>
              <w:bottom w:val="single" w:sz="4" w:space="0" w:color="000000"/>
              <w:right w:val="single" w:sz="4" w:space="0" w:color="000000"/>
            </w:tcBorders>
            <w:hideMark/>
          </w:tcPr>
          <w:p w14:paraId="42A29275"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8.180</w:t>
            </w:r>
          </w:p>
        </w:tc>
      </w:tr>
      <w:tr w:rsidR="00E17633" w:rsidRPr="00E3533D" w14:paraId="746D0329"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3BE7CB9C"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2017</w:t>
            </w:r>
          </w:p>
        </w:tc>
        <w:tc>
          <w:tcPr>
            <w:tcW w:w="3886" w:type="dxa"/>
            <w:tcBorders>
              <w:top w:val="single" w:sz="4" w:space="0" w:color="000000"/>
              <w:left w:val="single" w:sz="4" w:space="0" w:color="000000"/>
              <w:bottom w:val="single" w:sz="4" w:space="0" w:color="000000"/>
              <w:right w:val="single" w:sz="4" w:space="0" w:color="000000"/>
            </w:tcBorders>
            <w:hideMark/>
          </w:tcPr>
          <w:p w14:paraId="467AE9ED"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10.338</w:t>
            </w:r>
          </w:p>
        </w:tc>
      </w:tr>
      <w:tr w:rsidR="00E17633" w:rsidRPr="00E3533D" w14:paraId="7C519AC3"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151F2279"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2018</w:t>
            </w:r>
          </w:p>
        </w:tc>
        <w:tc>
          <w:tcPr>
            <w:tcW w:w="3886" w:type="dxa"/>
            <w:tcBorders>
              <w:top w:val="single" w:sz="4" w:space="0" w:color="000000"/>
              <w:left w:val="single" w:sz="4" w:space="0" w:color="000000"/>
              <w:bottom w:val="single" w:sz="4" w:space="0" w:color="000000"/>
              <w:right w:val="single" w:sz="4" w:space="0" w:color="000000"/>
            </w:tcBorders>
            <w:hideMark/>
          </w:tcPr>
          <w:p w14:paraId="667A490E"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 xml:space="preserve">10.725 </w:t>
            </w:r>
          </w:p>
        </w:tc>
      </w:tr>
      <w:tr w:rsidR="00E17633" w:rsidRPr="00E3533D" w14:paraId="5B6D4962"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61AB34A2"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2019</w:t>
            </w:r>
          </w:p>
        </w:tc>
        <w:tc>
          <w:tcPr>
            <w:tcW w:w="3886" w:type="dxa"/>
            <w:tcBorders>
              <w:top w:val="single" w:sz="4" w:space="0" w:color="000000"/>
              <w:left w:val="single" w:sz="4" w:space="0" w:color="000000"/>
              <w:bottom w:val="single" w:sz="4" w:space="0" w:color="000000"/>
              <w:right w:val="single" w:sz="4" w:space="0" w:color="000000"/>
            </w:tcBorders>
            <w:hideMark/>
          </w:tcPr>
          <w:p w14:paraId="000F0632"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8.811</w:t>
            </w:r>
          </w:p>
        </w:tc>
      </w:tr>
      <w:tr w:rsidR="00E17633" w:rsidRPr="00E3533D" w14:paraId="44B6560B"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0AA52EAA"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2020</w:t>
            </w:r>
          </w:p>
        </w:tc>
        <w:tc>
          <w:tcPr>
            <w:tcW w:w="3886" w:type="dxa"/>
            <w:tcBorders>
              <w:top w:val="single" w:sz="4" w:space="0" w:color="000000"/>
              <w:left w:val="single" w:sz="4" w:space="0" w:color="000000"/>
              <w:bottom w:val="single" w:sz="4" w:space="0" w:color="000000"/>
              <w:right w:val="single" w:sz="4" w:space="0" w:color="000000"/>
            </w:tcBorders>
            <w:hideMark/>
          </w:tcPr>
          <w:p w14:paraId="7DFBECBF" w14:textId="77777777" w:rsidR="00E17633" w:rsidRPr="00E3533D" w:rsidRDefault="00E17633" w:rsidP="00E3533D">
            <w:pPr>
              <w:spacing w:line="240" w:lineRule="auto"/>
              <w:jc w:val="both"/>
              <w:rPr>
                <w:rFonts w:cs="Arial"/>
                <w:bCs/>
                <w:color w:val="000000"/>
                <w:szCs w:val="20"/>
              </w:rPr>
            </w:pPr>
            <w:r w:rsidRPr="00E3533D">
              <w:rPr>
                <w:rFonts w:cs="Arial"/>
                <w:bCs/>
                <w:szCs w:val="20"/>
              </w:rPr>
              <w:t>9.018</w:t>
            </w:r>
          </w:p>
        </w:tc>
      </w:tr>
      <w:tr w:rsidR="00E17633" w:rsidRPr="00E3533D" w14:paraId="30F73870" w14:textId="77777777" w:rsidTr="00A66E2D">
        <w:tc>
          <w:tcPr>
            <w:tcW w:w="1418" w:type="dxa"/>
            <w:tcBorders>
              <w:top w:val="single" w:sz="4" w:space="0" w:color="000000"/>
              <w:left w:val="single" w:sz="4" w:space="0" w:color="000000"/>
              <w:bottom w:val="single" w:sz="4" w:space="0" w:color="000000"/>
              <w:right w:val="single" w:sz="4" w:space="0" w:color="000000"/>
            </w:tcBorders>
            <w:hideMark/>
          </w:tcPr>
          <w:p w14:paraId="220FCB2D"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2021</w:t>
            </w:r>
          </w:p>
        </w:tc>
        <w:tc>
          <w:tcPr>
            <w:tcW w:w="3886" w:type="dxa"/>
            <w:tcBorders>
              <w:top w:val="single" w:sz="4" w:space="0" w:color="000000"/>
              <w:left w:val="single" w:sz="4" w:space="0" w:color="000000"/>
              <w:bottom w:val="single" w:sz="4" w:space="0" w:color="000000"/>
              <w:right w:val="single" w:sz="4" w:space="0" w:color="000000"/>
            </w:tcBorders>
            <w:hideMark/>
          </w:tcPr>
          <w:p w14:paraId="52F23565" w14:textId="77777777" w:rsidR="00E17633" w:rsidRPr="00E3533D" w:rsidRDefault="00E17633" w:rsidP="00E3533D">
            <w:pPr>
              <w:spacing w:line="240" w:lineRule="auto"/>
              <w:jc w:val="both"/>
              <w:rPr>
                <w:rFonts w:cs="Arial"/>
                <w:bCs/>
                <w:szCs w:val="20"/>
              </w:rPr>
            </w:pPr>
            <w:r w:rsidRPr="00E3533D">
              <w:rPr>
                <w:rFonts w:cs="Arial"/>
                <w:bCs/>
                <w:szCs w:val="20"/>
              </w:rPr>
              <w:t>10.532</w:t>
            </w:r>
          </w:p>
        </w:tc>
      </w:tr>
    </w:tbl>
    <w:p w14:paraId="6515F31C" w14:textId="77777777" w:rsidR="00E17633" w:rsidRPr="00E3533D" w:rsidRDefault="00E17633" w:rsidP="00E3533D">
      <w:pPr>
        <w:spacing w:line="240" w:lineRule="auto"/>
        <w:jc w:val="both"/>
        <w:rPr>
          <w:rFonts w:cs="Arial"/>
          <w:i/>
          <w:iCs/>
          <w:color w:val="44546A"/>
          <w:szCs w:val="20"/>
        </w:rPr>
      </w:pPr>
    </w:p>
    <w:p w14:paraId="173CE4E0" w14:textId="7D98AC46" w:rsidR="00E17633" w:rsidRPr="00E3533D" w:rsidRDefault="00E17633" w:rsidP="00E3533D">
      <w:pPr>
        <w:spacing w:line="240" w:lineRule="auto"/>
        <w:jc w:val="both"/>
        <w:rPr>
          <w:rFonts w:cs="Arial"/>
          <w:i/>
          <w:iCs/>
          <w:color w:val="44546A"/>
          <w:szCs w:val="20"/>
        </w:rPr>
      </w:pPr>
      <w:r w:rsidRPr="00E3533D">
        <w:rPr>
          <w:rFonts w:cs="Arial"/>
          <w:i/>
          <w:iCs/>
          <w:color w:val="44546A"/>
          <w:szCs w:val="20"/>
        </w:rPr>
        <w:t xml:space="preserve">Preglednica 2: Delež obravnav prijav kršitev glede na posamezno pravico pacienta po </w:t>
      </w:r>
      <w:proofErr w:type="spellStart"/>
      <w:r w:rsidRPr="00E3533D">
        <w:rPr>
          <w:rFonts w:cs="Arial"/>
          <w:i/>
          <w:iCs/>
          <w:color w:val="44546A"/>
          <w:szCs w:val="20"/>
        </w:rPr>
        <w:t>ZPacP</w:t>
      </w:r>
      <w:proofErr w:type="spellEnd"/>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843"/>
        <w:gridCol w:w="1561"/>
      </w:tblGrid>
      <w:tr w:rsidR="00E17633" w:rsidRPr="00E3533D" w14:paraId="7C1B8005" w14:textId="77777777" w:rsidTr="00A66E2D">
        <w:trPr>
          <w:trHeight w:val="680"/>
        </w:trPr>
        <w:tc>
          <w:tcPr>
            <w:tcW w:w="5132" w:type="dxa"/>
            <w:tcBorders>
              <w:top w:val="single" w:sz="4" w:space="0" w:color="000000"/>
              <w:left w:val="single" w:sz="4" w:space="0" w:color="000000"/>
              <w:bottom w:val="single" w:sz="4" w:space="0" w:color="000000"/>
              <w:right w:val="single" w:sz="4" w:space="0" w:color="000000"/>
            </w:tcBorders>
            <w:shd w:val="clear" w:color="auto" w:fill="BFBFBF"/>
            <w:hideMark/>
          </w:tcPr>
          <w:p w14:paraId="16252418" w14:textId="77777777" w:rsidR="00E17633" w:rsidRPr="00E3533D" w:rsidRDefault="00E17633" w:rsidP="00E3533D">
            <w:pPr>
              <w:autoSpaceDN w:val="0"/>
              <w:spacing w:line="240" w:lineRule="auto"/>
              <w:jc w:val="both"/>
              <w:textAlignment w:val="baseline"/>
              <w:rPr>
                <w:rFonts w:cs="Arial"/>
                <w:b/>
                <w:szCs w:val="20"/>
                <w:lang w:eastAsia="sl-SI"/>
              </w:rPr>
            </w:pPr>
            <w:r w:rsidRPr="00E3533D">
              <w:rPr>
                <w:rFonts w:cs="Arial"/>
                <w:b/>
                <w:szCs w:val="20"/>
                <w:lang w:eastAsia="sl-SI"/>
              </w:rPr>
              <w:t xml:space="preserve">Pravice po </w:t>
            </w:r>
            <w:proofErr w:type="spellStart"/>
            <w:r w:rsidRPr="00E3533D">
              <w:rPr>
                <w:rFonts w:cs="Arial"/>
                <w:b/>
                <w:szCs w:val="20"/>
                <w:lang w:eastAsia="sl-SI"/>
              </w:rPr>
              <w:t>ZPacP</w:t>
            </w:r>
            <w:proofErr w:type="spellEnd"/>
          </w:p>
        </w:tc>
        <w:tc>
          <w:tcPr>
            <w:tcW w:w="1843" w:type="dxa"/>
            <w:tcBorders>
              <w:top w:val="single" w:sz="4" w:space="0" w:color="000000"/>
              <w:left w:val="single" w:sz="4" w:space="0" w:color="auto"/>
              <w:bottom w:val="single" w:sz="4" w:space="0" w:color="000000"/>
              <w:right w:val="single" w:sz="4" w:space="0" w:color="000000"/>
            </w:tcBorders>
            <w:shd w:val="clear" w:color="auto" w:fill="BFBFBF"/>
            <w:hideMark/>
          </w:tcPr>
          <w:p w14:paraId="29E66178" w14:textId="77777777" w:rsidR="00E17633" w:rsidRPr="00E3533D" w:rsidRDefault="00E17633" w:rsidP="00E3533D">
            <w:pPr>
              <w:autoSpaceDN w:val="0"/>
              <w:spacing w:line="240" w:lineRule="auto"/>
              <w:jc w:val="both"/>
              <w:textAlignment w:val="baseline"/>
              <w:rPr>
                <w:rFonts w:cs="Arial"/>
                <w:b/>
                <w:szCs w:val="20"/>
                <w:lang w:eastAsia="sl-SI"/>
              </w:rPr>
            </w:pPr>
            <w:r w:rsidRPr="00E3533D">
              <w:rPr>
                <w:rFonts w:cs="Arial"/>
                <w:b/>
                <w:szCs w:val="20"/>
                <w:lang w:eastAsia="sl-SI"/>
              </w:rPr>
              <w:t>Pojavnost zaznanih kršitev posamezne pravice</w:t>
            </w:r>
            <w:r w:rsidRPr="00E3533D">
              <w:rPr>
                <w:rFonts w:cs="Arial"/>
                <w:szCs w:val="20"/>
                <w:vertAlign w:val="superscript"/>
                <w:lang w:eastAsia="sl-SI"/>
              </w:rPr>
              <w:footnoteReference w:id="1"/>
            </w:r>
          </w:p>
        </w:tc>
        <w:tc>
          <w:tcPr>
            <w:tcW w:w="1559" w:type="dxa"/>
            <w:tcBorders>
              <w:top w:val="single" w:sz="4" w:space="0" w:color="000000"/>
              <w:left w:val="single" w:sz="4" w:space="0" w:color="auto"/>
              <w:bottom w:val="single" w:sz="4" w:space="0" w:color="000000"/>
              <w:right w:val="single" w:sz="4" w:space="0" w:color="000000"/>
            </w:tcBorders>
            <w:shd w:val="clear" w:color="auto" w:fill="BFBFBF"/>
            <w:hideMark/>
          </w:tcPr>
          <w:p w14:paraId="06360DA4" w14:textId="77777777" w:rsidR="00E17633" w:rsidRPr="00E3533D" w:rsidRDefault="00E17633" w:rsidP="00E3533D">
            <w:pPr>
              <w:autoSpaceDN w:val="0"/>
              <w:spacing w:line="240" w:lineRule="auto"/>
              <w:jc w:val="both"/>
              <w:textAlignment w:val="baseline"/>
              <w:rPr>
                <w:rFonts w:cs="Arial"/>
                <w:b/>
                <w:szCs w:val="20"/>
                <w:lang w:eastAsia="sl-SI"/>
              </w:rPr>
            </w:pPr>
            <w:r w:rsidRPr="00E3533D">
              <w:rPr>
                <w:rFonts w:cs="Arial"/>
                <w:b/>
                <w:szCs w:val="20"/>
                <w:lang w:eastAsia="sl-SI"/>
              </w:rPr>
              <w:t xml:space="preserve">Razvrstitev od najpogostejše (1) do najmanj pogoste </w:t>
            </w:r>
          </w:p>
          <w:p w14:paraId="62B60645" w14:textId="77777777" w:rsidR="00E17633" w:rsidRPr="00E3533D" w:rsidRDefault="00E17633" w:rsidP="00E3533D">
            <w:pPr>
              <w:autoSpaceDN w:val="0"/>
              <w:spacing w:line="240" w:lineRule="auto"/>
              <w:jc w:val="both"/>
              <w:textAlignment w:val="baseline"/>
              <w:rPr>
                <w:rFonts w:cs="Arial"/>
                <w:b/>
                <w:szCs w:val="20"/>
                <w:lang w:eastAsia="sl-SI"/>
              </w:rPr>
            </w:pPr>
            <w:r w:rsidRPr="00E3533D">
              <w:rPr>
                <w:rFonts w:cs="Arial"/>
                <w:b/>
                <w:szCs w:val="20"/>
                <w:lang w:eastAsia="sl-SI"/>
              </w:rPr>
              <w:t>kršitve (14)</w:t>
            </w:r>
          </w:p>
        </w:tc>
      </w:tr>
      <w:tr w:rsidR="00E17633" w:rsidRPr="00E3533D" w14:paraId="788FFB32"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460B42CA"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primerne, kakovostne in varne zdravstvene obravnave</w:t>
            </w:r>
          </w:p>
        </w:tc>
        <w:tc>
          <w:tcPr>
            <w:tcW w:w="1843" w:type="dxa"/>
            <w:tcBorders>
              <w:top w:val="single" w:sz="4" w:space="0" w:color="000000"/>
              <w:left w:val="single" w:sz="4" w:space="0" w:color="auto"/>
              <w:bottom w:val="single" w:sz="4" w:space="0" w:color="000000"/>
              <w:right w:val="single" w:sz="4" w:space="0" w:color="000000"/>
            </w:tcBorders>
            <w:hideMark/>
          </w:tcPr>
          <w:p w14:paraId="390E2CB4"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26,74 %</w:t>
            </w:r>
          </w:p>
        </w:tc>
        <w:tc>
          <w:tcPr>
            <w:tcW w:w="1559" w:type="dxa"/>
            <w:tcBorders>
              <w:top w:val="single" w:sz="4" w:space="0" w:color="000000"/>
              <w:left w:val="single" w:sz="4" w:space="0" w:color="auto"/>
              <w:bottom w:val="single" w:sz="4" w:space="0" w:color="000000"/>
              <w:right w:val="single" w:sz="4" w:space="0" w:color="000000"/>
            </w:tcBorders>
            <w:hideMark/>
          </w:tcPr>
          <w:p w14:paraId="6FD5CFC0"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w:t>
            </w:r>
          </w:p>
        </w:tc>
      </w:tr>
      <w:tr w:rsidR="00E17633" w:rsidRPr="00E3533D" w14:paraId="2BF4B111"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46A4B682"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spoštovanja pacientovega časa</w:t>
            </w:r>
          </w:p>
        </w:tc>
        <w:tc>
          <w:tcPr>
            <w:tcW w:w="1843" w:type="dxa"/>
            <w:tcBorders>
              <w:top w:val="single" w:sz="4" w:space="0" w:color="000000"/>
              <w:left w:val="single" w:sz="4" w:space="0" w:color="auto"/>
              <w:bottom w:val="single" w:sz="4" w:space="0" w:color="000000"/>
              <w:right w:val="single" w:sz="4" w:space="0" w:color="000000"/>
            </w:tcBorders>
            <w:hideMark/>
          </w:tcPr>
          <w:p w14:paraId="37FA711E"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17,18 %</w:t>
            </w:r>
          </w:p>
        </w:tc>
        <w:tc>
          <w:tcPr>
            <w:tcW w:w="1559" w:type="dxa"/>
            <w:tcBorders>
              <w:top w:val="single" w:sz="4" w:space="0" w:color="000000"/>
              <w:left w:val="single" w:sz="4" w:space="0" w:color="auto"/>
              <w:bottom w:val="single" w:sz="4" w:space="0" w:color="000000"/>
              <w:right w:val="single" w:sz="4" w:space="0" w:color="000000"/>
            </w:tcBorders>
            <w:hideMark/>
          </w:tcPr>
          <w:p w14:paraId="1DD26836"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2</w:t>
            </w:r>
          </w:p>
        </w:tc>
      </w:tr>
      <w:tr w:rsidR="00E17633" w:rsidRPr="00E3533D" w14:paraId="747F90E3"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65399DA9"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dostopa do zdravstvene obravnave in zagotavljanja preventivnih storitev</w:t>
            </w:r>
          </w:p>
        </w:tc>
        <w:tc>
          <w:tcPr>
            <w:tcW w:w="1843" w:type="dxa"/>
            <w:tcBorders>
              <w:top w:val="single" w:sz="4" w:space="0" w:color="000000"/>
              <w:left w:val="single" w:sz="4" w:space="0" w:color="auto"/>
              <w:bottom w:val="single" w:sz="4" w:space="0" w:color="000000"/>
              <w:right w:val="single" w:sz="4" w:space="0" w:color="000000"/>
            </w:tcBorders>
            <w:hideMark/>
          </w:tcPr>
          <w:p w14:paraId="6E6236FB"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16,57 %</w:t>
            </w:r>
          </w:p>
        </w:tc>
        <w:tc>
          <w:tcPr>
            <w:tcW w:w="1559" w:type="dxa"/>
            <w:tcBorders>
              <w:top w:val="single" w:sz="4" w:space="0" w:color="000000"/>
              <w:left w:val="single" w:sz="4" w:space="0" w:color="auto"/>
              <w:bottom w:val="single" w:sz="4" w:space="0" w:color="000000"/>
              <w:right w:val="single" w:sz="4" w:space="0" w:color="000000"/>
            </w:tcBorders>
            <w:hideMark/>
          </w:tcPr>
          <w:p w14:paraId="48E42C2D"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3</w:t>
            </w:r>
          </w:p>
        </w:tc>
      </w:tr>
      <w:tr w:rsidR="00E17633" w:rsidRPr="00E3533D" w14:paraId="6803696E"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5CE64CCC"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obravnave kršitev pacientovih pravic</w:t>
            </w:r>
          </w:p>
        </w:tc>
        <w:tc>
          <w:tcPr>
            <w:tcW w:w="1843" w:type="dxa"/>
            <w:tcBorders>
              <w:top w:val="single" w:sz="4" w:space="0" w:color="000000"/>
              <w:left w:val="single" w:sz="4" w:space="0" w:color="auto"/>
              <w:bottom w:val="single" w:sz="4" w:space="0" w:color="000000"/>
              <w:right w:val="single" w:sz="4" w:space="0" w:color="000000"/>
            </w:tcBorders>
            <w:hideMark/>
          </w:tcPr>
          <w:p w14:paraId="0A1D2387"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14,87 %</w:t>
            </w:r>
          </w:p>
        </w:tc>
        <w:tc>
          <w:tcPr>
            <w:tcW w:w="1559" w:type="dxa"/>
            <w:tcBorders>
              <w:top w:val="single" w:sz="4" w:space="0" w:color="000000"/>
              <w:left w:val="single" w:sz="4" w:space="0" w:color="auto"/>
              <w:bottom w:val="single" w:sz="4" w:space="0" w:color="000000"/>
              <w:right w:val="single" w:sz="4" w:space="0" w:color="000000"/>
            </w:tcBorders>
            <w:hideMark/>
          </w:tcPr>
          <w:p w14:paraId="1AE8975C"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4</w:t>
            </w:r>
          </w:p>
        </w:tc>
      </w:tr>
      <w:tr w:rsidR="00E17633" w:rsidRPr="00E3533D" w14:paraId="723177D0"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65F085F6"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proste izbire zdravnika in izvajalca zdravstvene dejavnosti</w:t>
            </w:r>
          </w:p>
        </w:tc>
        <w:tc>
          <w:tcPr>
            <w:tcW w:w="1843" w:type="dxa"/>
            <w:tcBorders>
              <w:top w:val="single" w:sz="4" w:space="0" w:color="000000"/>
              <w:left w:val="single" w:sz="4" w:space="0" w:color="auto"/>
              <w:bottom w:val="single" w:sz="4" w:space="0" w:color="000000"/>
              <w:right w:val="single" w:sz="4" w:space="0" w:color="000000"/>
            </w:tcBorders>
            <w:hideMark/>
          </w:tcPr>
          <w:p w14:paraId="575028E0"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10,2 %</w:t>
            </w:r>
          </w:p>
        </w:tc>
        <w:tc>
          <w:tcPr>
            <w:tcW w:w="1559" w:type="dxa"/>
            <w:tcBorders>
              <w:top w:val="single" w:sz="4" w:space="0" w:color="000000"/>
              <w:left w:val="single" w:sz="4" w:space="0" w:color="auto"/>
              <w:bottom w:val="single" w:sz="4" w:space="0" w:color="000000"/>
              <w:right w:val="single" w:sz="4" w:space="0" w:color="000000"/>
            </w:tcBorders>
            <w:hideMark/>
          </w:tcPr>
          <w:p w14:paraId="393CF28A"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5</w:t>
            </w:r>
          </w:p>
        </w:tc>
      </w:tr>
      <w:tr w:rsidR="00E17633" w:rsidRPr="00E3533D" w14:paraId="583208B6"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6ECE650A"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enakopravnega dostopa in obravnave pri zdravstveni obravnavi</w:t>
            </w:r>
          </w:p>
        </w:tc>
        <w:tc>
          <w:tcPr>
            <w:tcW w:w="1843" w:type="dxa"/>
            <w:tcBorders>
              <w:top w:val="single" w:sz="4" w:space="0" w:color="000000"/>
              <w:left w:val="single" w:sz="4" w:space="0" w:color="auto"/>
              <w:bottom w:val="single" w:sz="4" w:space="0" w:color="000000"/>
              <w:right w:val="single" w:sz="4" w:space="0" w:color="000000"/>
            </w:tcBorders>
            <w:hideMark/>
          </w:tcPr>
          <w:p w14:paraId="7F0721D9"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6,92 %</w:t>
            </w:r>
          </w:p>
        </w:tc>
        <w:tc>
          <w:tcPr>
            <w:tcW w:w="1559" w:type="dxa"/>
            <w:tcBorders>
              <w:top w:val="single" w:sz="4" w:space="0" w:color="000000"/>
              <w:left w:val="single" w:sz="4" w:space="0" w:color="auto"/>
              <w:bottom w:val="single" w:sz="4" w:space="0" w:color="000000"/>
              <w:right w:val="single" w:sz="4" w:space="0" w:color="000000"/>
            </w:tcBorders>
            <w:hideMark/>
          </w:tcPr>
          <w:p w14:paraId="4FAA6D5A"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6</w:t>
            </w:r>
          </w:p>
        </w:tc>
      </w:tr>
      <w:tr w:rsidR="00E17633" w:rsidRPr="00E3533D" w14:paraId="7933A886"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128500FE"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upoštevanja vnaprej izražene volje</w:t>
            </w:r>
          </w:p>
        </w:tc>
        <w:tc>
          <w:tcPr>
            <w:tcW w:w="1843" w:type="dxa"/>
            <w:tcBorders>
              <w:top w:val="single" w:sz="4" w:space="0" w:color="000000"/>
              <w:left w:val="single" w:sz="4" w:space="0" w:color="auto"/>
              <w:bottom w:val="single" w:sz="4" w:space="0" w:color="000000"/>
              <w:right w:val="single" w:sz="4" w:space="0" w:color="000000"/>
            </w:tcBorders>
            <w:hideMark/>
          </w:tcPr>
          <w:p w14:paraId="1383BFB5"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5,42 %</w:t>
            </w:r>
          </w:p>
        </w:tc>
        <w:tc>
          <w:tcPr>
            <w:tcW w:w="1559" w:type="dxa"/>
            <w:tcBorders>
              <w:top w:val="single" w:sz="4" w:space="0" w:color="000000"/>
              <w:left w:val="single" w:sz="4" w:space="0" w:color="auto"/>
              <w:bottom w:val="single" w:sz="4" w:space="0" w:color="000000"/>
              <w:right w:val="single" w:sz="4" w:space="0" w:color="000000"/>
            </w:tcBorders>
            <w:hideMark/>
          </w:tcPr>
          <w:p w14:paraId="405E3568"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7</w:t>
            </w:r>
          </w:p>
        </w:tc>
      </w:tr>
      <w:tr w:rsidR="00E17633" w:rsidRPr="00E3533D" w14:paraId="3BA97170"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4DD52366"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obveščenosti in sodelovanja</w:t>
            </w:r>
          </w:p>
        </w:tc>
        <w:tc>
          <w:tcPr>
            <w:tcW w:w="1843" w:type="dxa"/>
            <w:tcBorders>
              <w:top w:val="single" w:sz="4" w:space="0" w:color="000000"/>
              <w:left w:val="single" w:sz="4" w:space="0" w:color="auto"/>
              <w:bottom w:val="single" w:sz="4" w:space="0" w:color="000000"/>
              <w:right w:val="single" w:sz="4" w:space="0" w:color="000000"/>
            </w:tcBorders>
            <w:hideMark/>
          </w:tcPr>
          <w:p w14:paraId="04BBF0AD"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5,16 %</w:t>
            </w:r>
          </w:p>
        </w:tc>
        <w:tc>
          <w:tcPr>
            <w:tcW w:w="1559" w:type="dxa"/>
            <w:tcBorders>
              <w:top w:val="single" w:sz="4" w:space="0" w:color="000000"/>
              <w:left w:val="single" w:sz="4" w:space="0" w:color="auto"/>
              <w:bottom w:val="single" w:sz="4" w:space="0" w:color="000000"/>
              <w:right w:val="single" w:sz="4" w:space="0" w:color="000000"/>
            </w:tcBorders>
            <w:hideMark/>
          </w:tcPr>
          <w:p w14:paraId="390CD08D"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8</w:t>
            </w:r>
          </w:p>
        </w:tc>
      </w:tr>
      <w:tr w:rsidR="00E17633" w:rsidRPr="00E3533D" w14:paraId="1BD56E70"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6E71A2B6"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brezplačne pomoči pri uresničevanju pacientovih pravic</w:t>
            </w:r>
          </w:p>
        </w:tc>
        <w:tc>
          <w:tcPr>
            <w:tcW w:w="1843" w:type="dxa"/>
            <w:tcBorders>
              <w:top w:val="single" w:sz="4" w:space="0" w:color="000000"/>
              <w:left w:val="single" w:sz="4" w:space="0" w:color="auto"/>
              <w:bottom w:val="single" w:sz="4" w:space="0" w:color="000000"/>
              <w:right w:val="single" w:sz="4" w:space="0" w:color="000000"/>
            </w:tcBorders>
            <w:hideMark/>
          </w:tcPr>
          <w:p w14:paraId="187C15D5"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5,08 %</w:t>
            </w:r>
          </w:p>
        </w:tc>
        <w:tc>
          <w:tcPr>
            <w:tcW w:w="1559" w:type="dxa"/>
            <w:tcBorders>
              <w:top w:val="single" w:sz="4" w:space="0" w:color="000000"/>
              <w:left w:val="single" w:sz="4" w:space="0" w:color="auto"/>
              <w:bottom w:val="single" w:sz="4" w:space="0" w:color="000000"/>
              <w:right w:val="single" w:sz="4" w:space="0" w:color="000000"/>
            </w:tcBorders>
            <w:hideMark/>
          </w:tcPr>
          <w:p w14:paraId="6B5E4DA4"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9</w:t>
            </w:r>
          </w:p>
        </w:tc>
      </w:tr>
      <w:tr w:rsidR="00E17633" w:rsidRPr="00E3533D" w14:paraId="0C749DF2"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65FA7ADA"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varstva zasebnosti in varstva osebnih podatkov</w:t>
            </w:r>
          </w:p>
        </w:tc>
        <w:tc>
          <w:tcPr>
            <w:tcW w:w="1843" w:type="dxa"/>
            <w:tcBorders>
              <w:top w:val="single" w:sz="4" w:space="0" w:color="000000"/>
              <w:left w:val="single" w:sz="4" w:space="0" w:color="auto"/>
              <w:bottom w:val="single" w:sz="4" w:space="0" w:color="000000"/>
              <w:right w:val="single" w:sz="4" w:space="0" w:color="000000"/>
            </w:tcBorders>
            <w:hideMark/>
          </w:tcPr>
          <w:p w14:paraId="5547F7ED"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3,8 %</w:t>
            </w:r>
          </w:p>
        </w:tc>
        <w:tc>
          <w:tcPr>
            <w:tcW w:w="1559" w:type="dxa"/>
            <w:tcBorders>
              <w:top w:val="single" w:sz="4" w:space="0" w:color="000000"/>
              <w:left w:val="single" w:sz="4" w:space="0" w:color="auto"/>
              <w:bottom w:val="single" w:sz="4" w:space="0" w:color="000000"/>
              <w:right w:val="single" w:sz="4" w:space="0" w:color="000000"/>
            </w:tcBorders>
            <w:hideMark/>
          </w:tcPr>
          <w:p w14:paraId="44FF2D2B"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10</w:t>
            </w:r>
          </w:p>
        </w:tc>
      </w:tr>
      <w:tr w:rsidR="00E17633" w:rsidRPr="00E3533D" w14:paraId="52D69BAC"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70DBFFCA"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samostojnega odločanja o zdravljenju</w:t>
            </w:r>
          </w:p>
        </w:tc>
        <w:tc>
          <w:tcPr>
            <w:tcW w:w="1843" w:type="dxa"/>
            <w:tcBorders>
              <w:top w:val="single" w:sz="4" w:space="0" w:color="000000"/>
              <w:left w:val="single" w:sz="4" w:space="0" w:color="auto"/>
              <w:bottom w:val="single" w:sz="4" w:space="0" w:color="000000"/>
              <w:right w:val="single" w:sz="4" w:space="0" w:color="000000"/>
            </w:tcBorders>
            <w:hideMark/>
          </w:tcPr>
          <w:p w14:paraId="42F0CF09"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3,6 %</w:t>
            </w:r>
          </w:p>
        </w:tc>
        <w:tc>
          <w:tcPr>
            <w:tcW w:w="1559" w:type="dxa"/>
            <w:tcBorders>
              <w:top w:val="single" w:sz="4" w:space="0" w:color="000000"/>
              <w:left w:val="single" w:sz="4" w:space="0" w:color="auto"/>
              <w:bottom w:val="single" w:sz="4" w:space="0" w:color="000000"/>
              <w:right w:val="single" w:sz="4" w:space="0" w:color="000000"/>
            </w:tcBorders>
            <w:hideMark/>
          </w:tcPr>
          <w:p w14:paraId="2B43606A"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11</w:t>
            </w:r>
          </w:p>
        </w:tc>
      </w:tr>
      <w:tr w:rsidR="00E17633" w:rsidRPr="00E3533D" w14:paraId="6E6A3009"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0E1EF52C"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seznanitve z zdravstveno dokumentacijo</w:t>
            </w:r>
          </w:p>
        </w:tc>
        <w:tc>
          <w:tcPr>
            <w:tcW w:w="1843" w:type="dxa"/>
            <w:tcBorders>
              <w:top w:val="single" w:sz="4" w:space="0" w:color="000000"/>
              <w:left w:val="single" w:sz="4" w:space="0" w:color="auto"/>
              <w:bottom w:val="single" w:sz="4" w:space="0" w:color="000000"/>
              <w:right w:val="single" w:sz="4" w:space="0" w:color="000000"/>
            </w:tcBorders>
            <w:hideMark/>
          </w:tcPr>
          <w:p w14:paraId="54B04ABC"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3,58 %</w:t>
            </w:r>
          </w:p>
        </w:tc>
        <w:tc>
          <w:tcPr>
            <w:tcW w:w="1559" w:type="dxa"/>
            <w:tcBorders>
              <w:top w:val="single" w:sz="4" w:space="0" w:color="000000"/>
              <w:left w:val="single" w:sz="4" w:space="0" w:color="auto"/>
              <w:bottom w:val="single" w:sz="4" w:space="0" w:color="000000"/>
              <w:right w:val="single" w:sz="4" w:space="0" w:color="000000"/>
            </w:tcBorders>
            <w:hideMark/>
          </w:tcPr>
          <w:p w14:paraId="0A2FFF84"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12</w:t>
            </w:r>
          </w:p>
        </w:tc>
      </w:tr>
      <w:tr w:rsidR="00E17633" w:rsidRPr="00E3533D" w14:paraId="4FE4660D"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7AC1B53D"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drugega mnenja</w:t>
            </w:r>
          </w:p>
        </w:tc>
        <w:tc>
          <w:tcPr>
            <w:tcW w:w="1843" w:type="dxa"/>
            <w:tcBorders>
              <w:top w:val="single" w:sz="4" w:space="0" w:color="000000"/>
              <w:left w:val="single" w:sz="4" w:space="0" w:color="auto"/>
              <w:bottom w:val="single" w:sz="4" w:space="0" w:color="000000"/>
              <w:right w:val="single" w:sz="4" w:space="0" w:color="000000"/>
            </w:tcBorders>
            <w:hideMark/>
          </w:tcPr>
          <w:p w14:paraId="7452DB9E"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0,90 %</w:t>
            </w:r>
          </w:p>
        </w:tc>
        <w:tc>
          <w:tcPr>
            <w:tcW w:w="1559" w:type="dxa"/>
            <w:tcBorders>
              <w:top w:val="single" w:sz="4" w:space="0" w:color="000000"/>
              <w:left w:val="single" w:sz="4" w:space="0" w:color="auto"/>
              <w:bottom w:val="single" w:sz="4" w:space="0" w:color="000000"/>
              <w:right w:val="single" w:sz="4" w:space="0" w:color="000000"/>
            </w:tcBorders>
            <w:hideMark/>
          </w:tcPr>
          <w:p w14:paraId="29C04359"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13</w:t>
            </w:r>
          </w:p>
        </w:tc>
      </w:tr>
      <w:tr w:rsidR="00E17633" w:rsidRPr="00E3533D" w14:paraId="76158485" w14:textId="77777777" w:rsidTr="00A66E2D">
        <w:tc>
          <w:tcPr>
            <w:tcW w:w="5132" w:type="dxa"/>
            <w:tcBorders>
              <w:top w:val="single" w:sz="4" w:space="0" w:color="000000"/>
              <w:left w:val="single" w:sz="4" w:space="0" w:color="000000"/>
              <w:bottom w:val="single" w:sz="4" w:space="0" w:color="000000"/>
              <w:right w:val="single" w:sz="4" w:space="0" w:color="000000"/>
            </w:tcBorders>
            <w:hideMark/>
          </w:tcPr>
          <w:p w14:paraId="082BEDD2"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Pravica do preprečevanja in lajšanja trpljenja</w:t>
            </w:r>
          </w:p>
        </w:tc>
        <w:tc>
          <w:tcPr>
            <w:tcW w:w="1843" w:type="dxa"/>
            <w:tcBorders>
              <w:top w:val="single" w:sz="4" w:space="0" w:color="000000"/>
              <w:left w:val="single" w:sz="4" w:space="0" w:color="auto"/>
              <w:bottom w:val="single" w:sz="4" w:space="0" w:color="000000"/>
              <w:right w:val="single" w:sz="4" w:space="0" w:color="000000"/>
            </w:tcBorders>
            <w:hideMark/>
          </w:tcPr>
          <w:p w14:paraId="184F56C0" w14:textId="77777777" w:rsidR="00E17633" w:rsidRPr="00E3533D" w:rsidRDefault="00E17633" w:rsidP="00E3533D">
            <w:pPr>
              <w:tabs>
                <w:tab w:val="left" w:pos="3402"/>
              </w:tabs>
              <w:spacing w:line="240" w:lineRule="auto"/>
              <w:jc w:val="both"/>
              <w:rPr>
                <w:rFonts w:cs="Arial"/>
                <w:szCs w:val="20"/>
              </w:rPr>
            </w:pPr>
            <w:r w:rsidRPr="00E3533D">
              <w:rPr>
                <w:rFonts w:cs="Arial"/>
                <w:szCs w:val="20"/>
              </w:rPr>
              <w:t>0,59 %</w:t>
            </w:r>
          </w:p>
        </w:tc>
        <w:tc>
          <w:tcPr>
            <w:tcW w:w="1559" w:type="dxa"/>
            <w:tcBorders>
              <w:top w:val="single" w:sz="4" w:space="0" w:color="000000"/>
              <w:left w:val="single" w:sz="4" w:space="0" w:color="auto"/>
              <w:bottom w:val="single" w:sz="4" w:space="0" w:color="000000"/>
              <w:right w:val="single" w:sz="4" w:space="0" w:color="000000"/>
            </w:tcBorders>
            <w:hideMark/>
          </w:tcPr>
          <w:p w14:paraId="36BFC5D6" w14:textId="77777777" w:rsidR="00E17633" w:rsidRPr="00E3533D" w:rsidRDefault="00E17633" w:rsidP="00E3533D">
            <w:pPr>
              <w:tabs>
                <w:tab w:val="left" w:pos="3402"/>
              </w:tabs>
              <w:spacing w:line="240" w:lineRule="auto"/>
              <w:jc w:val="both"/>
              <w:rPr>
                <w:rFonts w:cs="Arial"/>
                <w:b/>
                <w:szCs w:val="20"/>
              </w:rPr>
            </w:pPr>
            <w:r w:rsidRPr="00E3533D">
              <w:rPr>
                <w:rFonts w:cs="Arial"/>
                <w:b/>
                <w:szCs w:val="20"/>
              </w:rPr>
              <w:t>14</w:t>
            </w:r>
          </w:p>
        </w:tc>
      </w:tr>
    </w:tbl>
    <w:p w14:paraId="3289E418" w14:textId="77777777" w:rsidR="00E17633" w:rsidRPr="00E3533D" w:rsidRDefault="00E17633" w:rsidP="00E3533D">
      <w:pPr>
        <w:pStyle w:val="Neotevilenodstavek"/>
        <w:spacing w:before="0" w:after="0" w:line="240" w:lineRule="auto"/>
        <w:rPr>
          <w:b/>
          <w:bCs/>
          <w:sz w:val="20"/>
          <w:szCs w:val="20"/>
        </w:rPr>
      </w:pPr>
    </w:p>
    <w:p w14:paraId="1ADE7B1D" w14:textId="2BDE540B" w:rsidR="00E17633" w:rsidRPr="00E3533D" w:rsidRDefault="00E17633" w:rsidP="00E3533D">
      <w:pPr>
        <w:pStyle w:val="Neotevilenodstavek"/>
        <w:spacing w:before="0" w:after="0" w:line="240" w:lineRule="auto"/>
        <w:rPr>
          <w:sz w:val="20"/>
          <w:szCs w:val="20"/>
        </w:rPr>
      </w:pPr>
      <w:r w:rsidRPr="00E3533D">
        <w:rPr>
          <w:sz w:val="20"/>
          <w:szCs w:val="20"/>
        </w:rPr>
        <w:t>Poročilo vključuje pozitivna opažanja:</w:t>
      </w:r>
    </w:p>
    <w:p w14:paraId="6425D875"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aktivnosti za razbremenitev zdravnikov na primarni ravni,</w:t>
      </w:r>
    </w:p>
    <w:p w14:paraId="1AEDE0F0"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izboljšanje postopkov sprejema v domovih za starejše,</w:t>
      </w:r>
    </w:p>
    <w:p w14:paraId="32DB2843"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dobro delovanje patronažne službe,</w:t>
      </w:r>
    </w:p>
    <w:p w14:paraId="1CA45A59"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korektno sodelovanje z instituti za pritožbe pri izvajalcih,</w:t>
      </w:r>
    </w:p>
    <w:p w14:paraId="682AD129"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v teku je normativna podlaga za izjavo volje,</w:t>
      </w:r>
    </w:p>
    <w:p w14:paraId="4DA70103" w14:textId="77777777" w:rsidR="00E17633" w:rsidRPr="00E3533D" w:rsidRDefault="00E17633" w:rsidP="001D1076">
      <w:pPr>
        <w:pStyle w:val="Neotevilenodstavek"/>
        <w:numPr>
          <w:ilvl w:val="0"/>
          <w:numId w:val="18"/>
        </w:numPr>
        <w:suppressAutoHyphens/>
        <w:autoSpaceDN/>
        <w:adjustRightInd/>
        <w:spacing w:before="0" w:after="0" w:line="240" w:lineRule="auto"/>
        <w:rPr>
          <w:sz w:val="20"/>
          <w:szCs w:val="20"/>
        </w:rPr>
      </w:pPr>
      <w:r w:rsidRPr="00E3533D">
        <w:rPr>
          <w:sz w:val="20"/>
          <w:szCs w:val="20"/>
        </w:rPr>
        <w:t>pritožbe postajajo priložnost za izboljšanje kakovosti in varnosti zdravstvene obravnave za večjo podporo pri uvajanju sprememb v organizaciji, zdravstveni obravnavi, itd.</w:t>
      </w:r>
    </w:p>
    <w:p w14:paraId="1ADEB83E" w14:textId="77777777" w:rsidR="00E17633" w:rsidRPr="00E3533D" w:rsidRDefault="00E17633" w:rsidP="00E3533D">
      <w:pPr>
        <w:pStyle w:val="Neotevilenodstavek"/>
        <w:spacing w:before="0" w:after="0" w:line="240" w:lineRule="auto"/>
        <w:rPr>
          <w:sz w:val="20"/>
          <w:szCs w:val="20"/>
        </w:rPr>
      </w:pPr>
    </w:p>
    <w:p w14:paraId="6D4EE86E" w14:textId="77777777" w:rsidR="00E17633" w:rsidRPr="00E3533D" w:rsidRDefault="00E17633" w:rsidP="00E3533D">
      <w:pPr>
        <w:pStyle w:val="Neotevilenodstavek"/>
        <w:spacing w:before="0" w:after="0" w:line="240" w:lineRule="auto"/>
        <w:rPr>
          <w:sz w:val="20"/>
          <w:szCs w:val="20"/>
        </w:rPr>
      </w:pPr>
      <w:r w:rsidRPr="00E3533D">
        <w:rPr>
          <w:sz w:val="20"/>
          <w:szCs w:val="20"/>
        </w:rPr>
        <w:t>In tudi izpostavlja področja z največ pomanjkljivosti:</w:t>
      </w:r>
    </w:p>
    <w:p w14:paraId="0737AFDD"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družinska medicina,</w:t>
      </w:r>
    </w:p>
    <w:p w14:paraId="7E6253F9"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čakalne dobe,</w:t>
      </w:r>
    </w:p>
    <w:p w14:paraId="1D3C7B7C"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dolgotrajna oskrba obolelih starejših,</w:t>
      </w:r>
    </w:p>
    <w:p w14:paraId="3459F99F"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 xml:space="preserve">zobozdravstvo, dostopnost do ortodontov in zobne </w:t>
      </w:r>
      <w:proofErr w:type="spellStart"/>
      <w:r w:rsidRPr="00E3533D">
        <w:rPr>
          <w:sz w:val="20"/>
          <w:szCs w:val="20"/>
        </w:rPr>
        <w:t>protetetike</w:t>
      </w:r>
      <w:proofErr w:type="spellEnd"/>
      <w:r w:rsidRPr="00E3533D">
        <w:rPr>
          <w:sz w:val="20"/>
          <w:szCs w:val="20"/>
        </w:rPr>
        <w:t>,</w:t>
      </w:r>
    </w:p>
    <w:p w14:paraId="7ACA1DBA"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oskrba starejših zapornikov,</w:t>
      </w:r>
    </w:p>
    <w:p w14:paraId="36E36806"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paliativna oskrba: omejevanje obiskov in poslovitve svojcev od hudo bolnih in umirajočih ter porast stroškov prevoza pokojnikov ,</w:t>
      </w:r>
    </w:p>
    <w:p w14:paraId="4D1A86F8"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odnos in komunikacija,</w:t>
      </w:r>
    </w:p>
    <w:p w14:paraId="0DB8BB4D" w14:textId="77777777" w:rsidR="00E17633" w:rsidRPr="00E3533D" w:rsidRDefault="00E17633" w:rsidP="001D1076">
      <w:pPr>
        <w:pStyle w:val="Neotevilenodstavek"/>
        <w:numPr>
          <w:ilvl w:val="0"/>
          <w:numId w:val="19"/>
        </w:numPr>
        <w:suppressAutoHyphens/>
        <w:autoSpaceDN/>
        <w:adjustRightInd/>
        <w:spacing w:before="0" w:after="0" w:line="240" w:lineRule="auto"/>
        <w:rPr>
          <w:sz w:val="20"/>
          <w:szCs w:val="20"/>
        </w:rPr>
      </w:pPr>
      <w:r w:rsidRPr="00E3533D">
        <w:rPr>
          <w:sz w:val="20"/>
          <w:szCs w:val="20"/>
        </w:rPr>
        <w:t>neobvladovanje komuniciranja pacientov po elektronski pošti.</w:t>
      </w:r>
    </w:p>
    <w:p w14:paraId="02F63F56" w14:textId="77777777" w:rsidR="00E17633" w:rsidRPr="00E3533D" w:rsidRDefault="00E17633" w:rsidP="00E3533D">
      <w:pPr>
        <w:tabs>
          <w:tab w:val="left" w:pos="284"/>
        </w:tabs>
        <w:spacing w:line="240" w:lineRule="auto"/>
        <w:jc w:val="both"/>
        <w:rPr>
          <w:rFonts w:cs="Arial"/>
          <w:color w:val="000000"/>
          <w:szCs w:val="20"/>
        </w:rPr>
      </w:pPr>
    </w:p>
    <w:p w14:paraId="3BE868DC" w14:textId="77777777" w:rsidR="00E17633" w:rsidRPr="00E3533D" w:rsidRDefault="00E17633" w:rsidP="00E3533D">
      <w:pPr>
        <w:pStyle w:val="Neotevilenodstavek"/>
        <w:spacing w:before="0" w:after="0" w:line="240" w:lineRule="auto"/>
        <w:rPr>
          <w:sz w:val="20"/>
          <w:szCs w:val="20"/>
        </w:rPr>
      </w:pPr>
      <w:r w:rsidRPr="00E3533D">
        <w:rPr>
          <w:sz w:val="20"/>
          <w:szCs w:val="20"/>
        </w:rPr>
        <w:t>Ministrstvo ocenjuje, da je bilo na področju varstva pravic pacientov narejenega veliko, da pa je treba storiti korak naprej pri upoštevanju ugotovitev zastopnikov in komisije, izvedenih nadzorov in ocen pacientov za uvajanje potrebnih izboljšav. Tudi pritožbe pacientov, ugotovitve nadzorov in rezultati vrednotenja z vidika pacientov so za ministrstvo pomemben smerokaz, katerim področjem je treba v prihodnosti nameniti še več pozornosti. Potrebno je izpeljati začete že začete aktivnosti in boljše izvajati podporo zastopnikom pacientovih pravic. Delovna skupina za pripravo Pravilnika o načinu določitve pacientovega zdravstvenega pooblaščenca in pisnih izjavah volje bo delo nadaljevala. Prav tako se bodo aktivirale izobraževalne aktivnosti za podporo zastopnikom pacientovih pravic. Sprejet bo Poslovnik za delovanje Komisije za varstvo pacientovih pravic. Ministrstvo za zdravje si bo aktivno prizadevalo za uveljavljanje potrebnih sistemskih ukrepov, ki so bili prepoznani glede na pritožbe pacientov.</w:t>
      </w:r>
    </w:p>
    <w:p w14:paraId="5E0B969D" w14:textId="77777777" w:rsidR="00E17633" w:rsidRPr="00E3533D" w:rsidRDefault="00E17633" w:rsidP="00E3533D">
      <w:pPr>
        <w:spacing w:line="240" w:lineRule="auto"/>
        <w:jc w:val="both"/>
        <w:rPr>
          <w:rFonts w:cs="Arial"/>
          <w:b/>
          <w:szCs w:val="20"/>
          <w:lang w:eastAsia="sl-SI"/>
        </w:rPr>
      </w:pPr>
    </w:p>
    <w:p w14:paraId="7D9DFBF1" w14:textId="77777777" w:rsidR="00E17633" w:rsidRPr="00E3533D" w:rsidRDefault="00E17633" w:rsidP="00E3533D">
      <w:pPr>
        <w:spacing w:line="240" w:lineRule="auto"/>
        <w:jc w:val="both"/>
        <w:rPr>
          <w:rFonts w:cs="Arial"/>
          <w:noProof/>
          <w:szCs w:val="20"/>
        </w:rPr>
      </w:pPr>
      <w:r w:rsidRPr="00E3533D">
        <w:rPr>
          <w:rFonts w:cs="Arial"/>
          <w:noProof/>
          <w:szCs w:val="20"/>
        </w:rPr>
        <w:t>Vir: Ministrstvo za zdravje</w:t>
      </w:r>
    </w:p>
    <w:p w14:paraId="1868B6CA" w14:textId="45A572B2" w:rsidR="00E17633" w:rsidRPr="00E3533D" w:rsidRDefault="00E17633" w:rsidP="00E3533D">
      <w:pPr>
        <w:spacing w:line="240" w:lineRule="auto"/>
        <w:jc w:val="both"/>
        <w:rPr>
          <w:rFonts w:cs="Arial"/>
          <w:noProof/>
          <w:szCs w:val="20"/>
        </w:rPr>
      </w:pPr>
      <w:r w:rsidRPr="00E3533D">
        <w:rPr>
          <w:rFonts w:cs="Arial"/>
          <w:noProof/>
          <w:szCs w:val="20"/>
        </w:rPr>
        <w:t xml:space="preserve"> </w:t>
      </w:r>
    </w:p>
    <w:p w14:paraId="772DFF1C" w14:textId="77777777" w:rsidR="00E17633" w:rsidRPr="00E3533D" w:rsidRDefault="00E17633" w:rsidP="00E3533D">
      <w:pPr>
        <w:spacing w:line="240" w:lineRule="auto"/>
        <w:jc w:val="both"/>
        <w:rPr>
          <w:rFonts w:cs="Arial"/>
          <w:noProof/>
          <w:szCs w:val="20"/>
        </w:rPr>
      </w:pPr>
    </w:p>
    <w:p w14:paraId="043931C3" w14:textId="77777777" w:rsidR="00E17633" w:rsidRPr="00E3533D" w:rsidRDefault="00E17633" w:rsidP="00E3533D">
      <w:pPr>
        <w:pStyle w:val="Neotevilenodstavek"/>
        <w:spacing w:before="0" w:after="0" w:line="240" w:lineRule="auto"/>
        <w:rPr>
          <w:b/>
          <w:bCs/>
          <w:sz w:val="20"/>
          <w:szCs w:val="20"/>
        </w:rPr>
      </w:pPr>
      <w:r w:rsidRPr="00E3533D">
        <w:rPr>
          <w:b/>
          <w:bCs/>
          <w:sz w:val="20"/>
          <w:szCs w:val="20"/>
        </w:rPr>
        <w:t>Vlada sprejela Poročilo o uresničevanju Akcijskega programa za invalide v letu 2021</w:t>
      </w:r>
    </w:p>
    <w:p w14:paraId="2136B92B" w14:textId="77777777" w:rsidR="00E17633" w:rsidRPr="00E3533D" w:rsidRDefault="00E17633" w:rsidP="00E3533D">
      <w:pPr>
        <w:overflowPunct w:val="0"/>
        <w:autoSpaceDE w:val="0"/>
        <w:autoSpaceDN w:val="0"/>
        <w:spacing w:line="240" w:lineRule="auto"/>
        <w:jc w:val="both"/>
        <w:rPr>
          <w:rFonts w:cs="Arial"/>
          <w:szCs w:val="20"/>
        </w:rPr>
      </w:pPr>
    </w:p>
    <w:p w14:paraId="4B6A6A5B" w14:textId="77777777" w:rsidR="00E17633" w:rsidRPr="00E3533D" w:rsidRDefault="00E17633" w:rsidP="00E3533D">
      <w:pPr>
        <w:pStyle w:val="Neotevilenodstavek"/>
        <w:spacing w:before="0" w:after="0" w:line="240" w:lineRule="auto"/>
        <w:rPr>
          <w:sz w:val="20"/>
          <w:szCs w:val="20"/>
        </w:rPr>
      </w:pPr>
      <w:r w:rsidRPr="00E3533D">
        <w:rPr>
          <w:sz w:val="20"/>
          <w:szCs w:val="20"/>
        </w:rPr>
        <w:t>Vlada je sprejela Poročilo o uresničevanju Akcijskega programa za invalide v letu 2021.</w:t>
      </w:r>
    </w:p>
    <w:p w14:paraId="4C7F06B1" w14:textId="77777777" w:rsidR="00E17633" w:rsidRPr="00E3533D" w:rsidRDefault="00E17633" w:rsidP="00E3533D">
      <w:pPr>
        <w:spacing w:line="240" w:lineRule="auto"/>
        <w:jc w:val="both"/>
        <w:rPr>
          <w:rFonts w:cs="Arial"/>
          <w:szCs w:val="20"/>
          <w:lang w:eastAsia="sl-SI"/>
        </w:rPr>
      </w:pPr>
    </w:p>
    <w:p w14:paraId="403081C7" w14:textId="77777777" w:rsidR="00E17633" w:rsidRPr="00E3533D" w:rsidRDefault="00E17633" w:rsidP="00E3533D">
      <w:pPr>
        <w:spacing w:line="240" w:lineRule="auto"/>
        <w:jc w:val="both"/>
        <w:rPr>
          <w:rFonts w:cs="Arial"/>
          <w:szCs w:val="20"/>
        </w:rPr>
      </w:pPr>
      <w:r w:rsidRPr="00E3533D">
        <w:rPr>
          <w:rFonts w:cs="Arial"/>
          <w:szCs w:val="20"/>
        </w:rPr>
        <w:t>Naloga komisije, ki jo sestavljajo predstavniki resornih ministrstev, strokovnih organizacij, Nacionalnega sveta invalidskih organizacij Slovenije (NSIOS),  drugih invalidskih organizacij izven NSIOS in Zveza društev upokojencev Slovenije,  je, da vsako leto predloži vladi poročilo o izvajanju Akcijskega programa za preteklo leto. Komisija je pripravila poročilo za leto 2021.</w:t>
      </w:r>
    </w:p>
    <w:p w14:paraId="1FEF8217" w14:textId="77777777" w:rsidR="00E17633" w:rsidRPr="00E3533D" w:rsidRDefault="00E17633" w:rsidP="00E3533D">
      <w:pPr>
        <w:spacing w:line="240" w:lineRule="auto"/>
        <w:jc w:val="both"/>
        <w:rPr>
          <w:rFonts w:cs="Arial"/>
          <w:szCs w:val="20"/>
        </w:rPr>
      </w:pPr>
    </w:p>
    <w:p w14:paraId="425E7B2E" w14:textId="77777777" w:rsidR="00E17633" w:rsidRPr="00E3533D" w:rsidRDefault="00E17633" w:rsidP="00E3533D">
      <w:pPr>
        <w:spacing w:line="240" w:lineRule="auto"/>
        <w:jc w:val="both"/>
        <w:rPr>
          <w:rFonts w:cs="Arial"/>
          <w:szCs w:val="20"/>
        </w:rPr>
      </w:pPr>
      <w:r w:rsidRPr="00E3533D">
        <w:rPr>
          <w:rFonts w:cs="Arial"/>
          <w:szCs w:val="20"/>
        </w:rPr>
        <w:t>Namen Akcijskega programa za invalide je spodbujati, varovati in zagotavljati polnopravno in enakovredno uživanje človekovih pravic invalidov ter spodbujati spoštovanje njihovega dostojanstva. Program se nanaša na obdobje 2014–2021 in obsega 13 temeljnih ciljev in 91 ukrepov, ki celovito urejajo vsa področja življenja invalidov.</w:t>
      </w:r>
    </w:p>
    <w:p w14:paraId="3DA870D9" w14:textId="77777777" w:rsidR="00E17633" w:rsidRPr="00E3533D" w:rsidRDefault="00E17633" w:rsidP="00E3533D">
      <w:pPr>
        <w:spacing w:line="240" w:lineRule="auto"/>
        <w:jc w:val="both"/>
        <w:rPr>
          <w:rFonts w:cs="Arial"/>
          <w:szCs w:val="20"/>
        </w:rPr>
      </w:pPr>
    </w:p>
    <w:p w14:paraId="01FE0635" w14:textId="77777777" w:rsidR="00E17633" w:rsidRPr="00E3533D" w:rsidRDefault="00E17633" w:rsidP="00E3533D">
      <w:pPr>
        <w:spacing w:line="240" w:lineRule="auto"/>
        <w:jc w:val="both"/>
        <w:rPr>
          <w:rFonts w:cs="Arial"/>
          <w:szCs w:val="20"/>
        </w:rPr>
      </w:pPr>
      <w:r w:rsidRPr="00E3533D">
        <w:rPr>
          <w:rFonts w:cs="Arial"/>
          <w:szCs w:val="20"/>
        </w:rPr>
        <w:t>Vir: Ministrstvo za delo, družino, socialne zadeve in enake možnosti</w:t>
      </w:r>
    </w:p>
    <w:p w14:paraId="0940DCC6" w14:textId="77777777" w:rsidR="00E17633" w:rsidRPr="00E3533D" w:rsidRDefault="00E17633" w:rsidP="00E3533D">
      <w:pPr>
        <w:spacing w:line="240" w:lineRule="auto"/>
        <w:jc w:val="both"/>
        <w:rPr>
          <w:rFonts w:cs="Arial"/>
          <w:szCs w:val="20"/>
        </w:rPr>
      </w:pPr>
    </w:p>
    <w:p w14:paraId="18625048" w14:textId="77777777" w:rsidR="00E17633" w:rsidRPr="00E3533D" w:rsidRDefault="00E17633" w:rsidP="00E3533D">
      <w:pPr>
        <w:overflowPunct w:val="0"/>
        <w:spacing w:line="240" w:lineRule="auto"/>
        <w:jc w:val="both"/>
        <w:textAlignment w:val="baseline"/>
        <w:rPr>
          <w:rFonts w:cs="Arial"/>
          <w:b/>
          <w:bCs/>
          <w:szCs w:val="20"/>
          <w:lang w:eastAsia="sl-SI"/>
        </w:rPr>
      </w:pPr>
    </w:p>
    <w:p w14:paraId="0EAE950B" w14:textId="77777777" w:rsidR="00E17633" w:rsidRPr="00E3533D" w:rsidRDefault="00E17633" w:rsidP="00E3533D">
      <w:pPr>
        <w:overflowPunct w:val="0"/>
        <w:spacing w:line="240" w:lineRule="auto"/>
        <w:jc w:val="both"/>
        <w:textAlignment w:val="baseline"/>
        <w:rPr>
          <w:rFonts w:cs="Arial"/>
          <w:b/>
          <w:bCs/>
          <w:szCs w:val="20"/>
          <w:lang w:eastAsia="sl-SI"/>
        </w:rPr>
      </w:pPr>
      <w:r w:rsidRPr="00E3533D">
        <w:rPr>
          <w:rFonts w:cs="Arial"/>
          <w:b/>
          <w:bCs/>
          <w:szCs w:val="20"/>
          <w:lang w:eastAsia="sl-SI"/>
        </w:rPr>
        <w:t>Vlada sprejela poročilo o delu inšpektorata za delo</w:t>
      </w:r>
    </w:p>
    <w:p w14:paraId="5A9888BF" w14:textId="77777777" w:rsidR="00E17633" w:rsidRPr="00E3533D" w:rsidRDefault="00E17633" w:rsidP="00E3533D">
      <w:pPr>
        <w:overflowPunct w:val="0"/>
        <w:spacing w:line="240" w:lineRule="auto"/>
        <w:jc w:val="both"/>
        <w:textAlignment w:val="baseline"/>
        <w:rPr>
          <w:rFonts w:cs="Arial"/>
          <w:szCs w:val="20"/>
          <w:lang w:eastAsia="sl-SI"/>
        </w:rPr>
      </w:pPr>
    </w:p>
    <w:p w14:paraId="28C2DCFE" w14:textId="77777777" w:rsidR="00E17633" w:rsidRPr="00E3533D" w:rsidRDefault="00E17633" w:rsidP="00E3533D">
      <w:pPr>
        <w:overflowPunct w:val="0"/>
        <w:spacing w:line="240" w:lineRule="auto"/>
        <w:jc w:val="both"/>
        <w:textAlignment w:val="baseline"/>
        <w:rPr>
          <w:rFonts w:cs="Arial"/>
          <w:szCs w:val="20"/>
          <w:lang w:eastAsia="sl-SI"/>
        </w:rPr>
      </w:pPr>
      <w:r w:rsidRPr="00E3533D">
        <w:rPr>
          <w:rFonts w:cs="Arial"/>
          <w:szCs w:val="20"/>
          <w:lang w:eastAsia="sl-SI"/>
        </w:rPr>
        <w:t xml:space="preserve">Vlada je sprejela Poročilo o delu Inšpektorata Republike Slovenije za delo za leto 2021 in ga pošlje Državnemu zboru Republike Slovenije, generalnemu direktorju Mednarodnega urada za delo in Ekonomsko-socialnemu svetu. </w:t>
      </w:r>
    </w:p>
    <w:p w14:paraId="56A4D716" w14:textId="77777777" w:rsidR="00E17633" w:rsidRPr="00E3533D" w:rsidRDefault="00E17633" w:rsidP="00E3533D">
      <w:pPr>
        <w:spacing w:line="240" w:lineRule="auto"/>
        <w:ind w:left="720"/>
        <w:contextualSpacing/>
        <w:jc w:val="both"/>
        <w:rPr>
          <w:rFonts w:cs="Arial"/>
          <w:szCs w:val="20"/>
          <w:lang w:eastAsia="sl-SI"/>
        </w:rPr>
      </w:pPr>
    </w:p>
    <w:p w14:paraId="0CDC4687" w14:textId="77777777" w:rsidR="00E17633" w:rsidRPr="00E3533D" w:rsidRDefault="00E17633" w:rsidP="00E3533D">
      <w:pPr>
        <w:spacing w:line="240" w:lineRule="auto"/>
        <w:jc w:val="both"/>
        <w:rPr>
          <w:rFonts w:cs="Arial"/>
          <w:szCs w:val="20"/>
        </w:rPr>
      </w:pPr>
      <w:r w:rsidRPr="00E3533D">
        <w:rPr>
          <w:rFonts w:cs="Arial"/>
          <w:szCs w:val="20"/>
        </w:rPr>
        <w:t xml:space="preserve">Inšpektorat opravlja inšpekcijski nadzor na treh področjih, področju delovnih razmerij, varnosti in zdravja pri delu ter na področju socialnega varstva. </w:t>
      </w:r>
    </w:p>
    <w:p w14:paraId="798A7338" w14:textId="77777777" w:rsidR="00E17633" w:rsidRPr="00E3533D" w:rsidRDefault="00E17633" w:rsidP="00E3533D">
      <w:pPr>
        <w:spacing w:line="240" w:lineRule="auto"/>
        <w:jc w:val="both"/>
        <w:rPr>
          <w:rFonts w:cs="Arial"/>
          <w:szCs w:val="20"/>
        </w:rPr>
      </w:pPr>
    </w:p>
    <w:p w14:paraId="4F7324CD" w14:textId="77777777" w:rsidR="00E17633" w:rsidRPr="00E3533D" w:rsidRDefault="00E17633" w:rsidP="00E3533D">
      <w:pPr>
        <w:spacing w:line="240" w:lineRule="auto"/>
        <w:jc w:val="both"/>
        <w:rPr>
          <w:rFonts w:cs="Arial"/>
          <w:szCs w:val="20"/>
        </w:rPr>
      </w:pPr>
      <w:r w:rsidRPr="00E3533D">
        <w:rPr>
          <w:rFonts w:cs="Arial"/>
          <w:szCs w:val="20"/>
        </w:rPr>
        <w:t xml:space="preserve">Enako kot leto 2020 je bilo tudi leto 2021 v znamenju koronavirusne bolezni, kar je bistveno vplivalo na delo inšpektorata. Poleg obstoječih pristojnosti, vključno z intervencijsko zakonodajo iz leta 2020, je bilo inšpektoratu podeljenih še nekaj pristojnosti. Inšpektorji so tako izvrševali podeljena pooblastila, pri čemer se je precejšen obseg dela nanašal na nadzor intervencijske zakonodaje in </w:t>
      </w:r>
      <w:bookmarkStart w:id="1" w:name="_Hlk104812270"/>
      <w:r w:rsidRPr="00E3533D">
        <w:rPr>
          <w:rFonts w:cs="Arial"/>
          <w:szCs w:val="20"/>
        </w:rPr>
        <w:t>ZNB</w:t>
      </w:r>
      <w:bookmarkEnd w:id="1"/>
      <w:r w:rsidRPr="00E3533D">
        <w:rPr>
          <w:rFonts w:cs="Arial"/>
          <w:szCs w:val="20"/>
        </w:rPr>
        <w:t xml:space="preserve">, v povezavi z odloki vlade na tem področju. </w:t>
      </w:r>
    </w:p>
    <w:p w14:paraId="0F57B740" w14:textId="77777777" w:rsidR="00E17633" w:rsidRPr="00E3533D" w:rsidRDefault="00E17633" w:rsidP="00E3533D">
      <w:pPr>
        <w:spacing w:line="240" w:lineRule="auto"/>
        <w:jc w:val="both"/>
        <w:rPr>
          <w:rFonts w:cs="Arial"/>
          <w:szCs w:val="20"/>
        </w:rPr>
      </w:pPr>
    </w:p>
    <w:p w14:paraId="331DBF82" w14:textId="77777777" w:rsidR="00E17633" w:rsidRPr="00E3533D" w:rsidRDefault="00E17633" w:rsidP="00E3533D">
      <w:pPr>
        <w:spacing w:line="240" w:lineRule="auto"/>
        <w:jc w:val="both"/>
        <w:rPr>
          <w:rFonts w:cs="Arial"/>
          <w:szCs w:val="20"/>
        </w:rPr>
      </w:pPr>
      <w:r w:rsidRPr="00E3533D">
        <w:rPr>
          <w:rFonts w:cs="Arial"/>
          <w:szCs w:val="20"/>
        </w:rPr>
        <w:lastRenderedPageBreak/>
        <w:t xml:space="preserve">V letu 2021 so na inšpektoratu prejeli </w:t>
      </w:r>
      <w:r w:rsidRPr="00E3533D">
        <w:rPr>
          <w:rFonts w:cs="Arial"/>
          <w:bCs/>
          <w:szCs w:val="20"/>
        </w:rPr>
        <w:t>6.797 prijav</w:t>
      </w:r>
      <w:r w:rsidRPr="00E3533D">
        <w:rPr>
          <w:rFonts w:cs="Arial"/>
          <w:szCs w:val="20"/>
        </w:rPr>
        <w:t>, in sicer na področju varnosti in zdravja pri delu 1.677 prijav, na področju delovnih razmerij 4.914 prijav, Socialna inšpekcija pa je prejela 206 novih prijav.</w:t>
      </w:r>
    </w:p>
    <w:p w14:paraId="1748ACFB" w14:textId="77777777" w:rsidR="00E17633" w:rsidRPr="00E3533D" w:rsidRDefault="00E17633" w:rsidP="00E3533D">
      <w:pPr>
        <w:spacing w:line="240" w:lineRule="auto"/>
        <w:jc w:val="both"/>
        <w:rPr>
          <w:rFonts w:cs="Arial"/>
          <w:szCs w:val="20"/>
        </w:rPr>
      </w:pPr>
    </w:p>
    <w:p w14:paraId="5A20C8FD" w14:textId="77777777" w:rsidR="00E17633" w:rsidRPr="00E3533D" w:rsidRDefault="00E17633" w:rsidP="00E3533D">
      <w:pPr>
        <w:spacing w:line="240" w:lineRule="auto"/>
        <w:jc w:val="both"/>
        <w:rPr>
          <w:rFonts w:cs="Arial"/>
          <w:szCs w:val="20"/>
        </w:rPr>
      </w:pPr>
      <w:r w:rsidRPr="00E3533D">
        <w:rPr>
          <w:rFonts w:cs="Arial"/>
          <w:szCs w:val="20"/>
        </w:rPr>
        <w:t xml:space="preserve">V poročevalskem letu je inšpektorat izvedel </w:t>
      </w:r>
      <w:r w:rsidRPr="00E3533D">
        <w:rPr>
          <w:rFonts w:cs="Arial"/>
          <w:bCs/>
          <w:szCs w:val="20"/>
        </w:rPr>
        <w:t>7 usmerjenih akcij nadzora oziroma poostrenih celoletnih usmerjenih nadzorov</w:t>
      </w:r>
      <w:r w:rsidRPr="00E3533D">
        <w:rPr>
          <w:rFonts w:cs="Arial"/>
          <w:szCs w:val="20"/>
        </w:rPr>
        <w:t xml:space="preserve">.  </w:t>
      </w:r>
    </w:p>
    <w:p w14:paraId="36CB6767" w14:textId="77777777" w:rsidR="00E17633" w:rsidRPr="00E3533D" w:rsidRDefault="00E17633" w:rsidP="00E3533D">
      <w:pPr>
        <w:spacing w:line="240" w:lineRule="auto"/>
        <w:jc w:val="both"/>
        <w:rPr>
          <w:rFonts w:cs="Arial"/>
          <w:szCs w:val="20"/>
        </w:rPr>
      </w:pPr>
      <w:r w:rsidRPr="00E3533D">
        <w:rPr>
          <w:rFonts w:cs="Arial"/>
          <w:szCs w:val="20"/>
        </w:rPr>
        <w:t> </w:t>
      </w:r>
    </w:p>
    <w:p w14:paraId="344ABDEC" w14:textId="77777777" w:rsidR="00E17633" w:rsidRPr="00E3533D" w:rsidRDefault="00E17633" w:rsidP="00E3533D">
      <w:pPr>
        <w:spacing w:line="240" w:lineRule="auto"/>
        <w:jc w:val="both"/>
        <w:rPr>
          <w:rFonts w:cs="Arial"/>
          <w:szCs w:val="20"/>
        </w:rPr>
      </w:pPr>
      <w:r w:rsidRPr="00E3533D">
        <w:rPr>
          <w:rFonts w:cs="Arial"/>
          <w:szCs w:val="20"/>
        </w:rPr>
        <w:t xml:space="preserve">Inšpektorji so v letu 2021 opravili </w:t>
      </w:r>
      <w:r w:rsidRPr="00E3533D">
        <w:rPr>
          <w:rFonts w:cs="Arial"/>
          <w:bCs/>
          <w:szCs w:val="20"/>
        </w:rPr>
        <w:t>38.624 inšpekcijskih pregledov</w:t>
      </w:r>
      <w:r w:rsidRPr="00E3533D">
        <w:rPr>
          <w:rFonts w:cs="Arial"/>
          <w:szCs w:val="20"/>
        </w:rPr>
        <w:t>, od tega na področju nadzora delovnih razmerij 23.639 pregledov, na področju varnosti in zdravja pri delu 14.549 pregledov, inšpektorji za socialne zadeve pa so opravili 436 pregledov. Inšpekcijske preglede izvajajo v obliki rednih, izrednih in kontrolnih pregledov. S kontrolnimi pregledi preverjajo uresničevanje izrečenih ukrepov.</w:t>
      </w:r>
    </w:p>
    <w:p w14:paraId="3264E8F7" w14:textId="77777777" w:rsidR="00E17633" w:rsidRPr="00E3533D" w:rsidRDefault="00E17633" w:rsidP="00E3533D">
      <w:pPr>
        <w:spacing w:line="240" w:lineRule="auto"/>
        <w:jc w:val="both"/>
        <w:rPr>
          <w:rFonts w:cs="Arial"/>
          <w:szCs w:val="20"/>
        </w:rPr>
      </w:pPr>
    </w:p>
    <w:p w14:paraId="644A2A96" w14:textId="77777777" w:rsidR="00E17633" w:rsidRPr="00E3533D" w:rsidRDefault="00E17633" w:rsidP="00E3533D">
      <w:pPr>
        <w:spacing w:line="240" w:lineRule="auto"/>
        <w:jc w:val="both"/>
        <w:rPr>
          <w:rFonts w:cs="Arial"/>
          <w:bCs/>
          <w:szCs w:val="20"/>
        </w:rPr>
      </w:pPr>
      <w:r w:rsidRPr="00E3533D">
        <w:rPr>
          <w:rFonts w:cs="Arial"/>
          <w:szCs w:val="20"/>
        </w:rPr>
        <w:t xml:space="preserve">Z vseh treh področij dela je inšpektorat v letu 2021 ugotovil </w:t>
      </w:r>
      <w:r w:rsidRPr="00E3533D">
        <w:rPr>
          <w:rFonts w:cs="Arial"/>
          <w:bCs/>
          <w:szCs w:val="20"/>
        </w:rPr>
        <w:t>18.343 različnih kršitev</w:t>
      </w:r>
      <w:r w:rsidRPr="00E3533D">
        <w:rPr>
          <w:rFonts w:cs="Arial"/>
          <w:szCs w:val="20"/>
        </w:rPr>
        <w:t xml:space="preserve"> in na podlagi tega izdal </w:t>
      </w:r>
      <w:r w:rsidRPr="00E3533D">
        <w:rPr>
          <w:rFonts w:cs="Arial"/>
          <w:bCs/>
          <w:szCs w:val="20"/>
        </w:rPr>
        <w:t xml:space="preserve">9.736 upravnih in </w:t>
      </w:r>
      <w:proofErr w:type="spellStart"/>
      <w:r w:rsidRPr="00E3533D">
        <w:rPr>
          <w:rFonts w:cs="Arial"/>
          <w:bCs/>
          <w:szCs w:val="20"/>
        </w:rPr>
        <w:t>prekrškovnih</w:t>
      </w:r>
      <w:proofErr w:type="spellEnd"/>
      <w:r w:rsidRPr="00E3533D">
        <w:rPr>
          <w:rFonts w:cs="Arial"/>
          <w:bCs/>
          <w:szCs w:val="20"/>
        </w:rPr>
        <w:t xml:space="preserve"> ukrepov</w:t>
      </w:r>
      <w:r w:rsidRPr="00E3533D">
        <w:rPr>
          <w:rFonts w:cs="Arial"/>
          <w:szCs w:val="20"/>
        </w:rPr>
        <w:t xml:space="preserve"> ter dal </w:t>
      </w:r>
      <w:r w:rsidRPr="00E3533D">
        <w:rPr>
          <w:rFonts w:cs="Arial"/>
          <w:bCs/>
          <w:szCs w:val="20"/>
        </w:rPr>
        <w:t>36 naznanil sumov storitve kaznivega dejanja oziroma kazenskih ovadb</w:t>
      </w:r>
      <w:r w:rsidRPr="00E3533D">
        <w:rPr>
          <w:rFonts w:cs="Arial"/>
          <w:szCs w:val="20"/>
        </w:rPr>
        <w:t xml:space="preserve">. Izrečenih je bilo za </w:t>
      </w:r>
      <w:r w:rsidRPr="00E3533D">
        <w:rPr>
          <w:rFonts w:cs="Arial"/>
          <w:bCs/>
          <w:szCs w:val="20"/>
        </w:rPr>
        <w:t>3.546.856,72 EUR glob</w:t>
      </w:r>
      <w:r w:rsidRPr="00E3533D">
        <w:rPr>
          <w:rFonts w:cs="Arial"/>
          <w:szCs w:val="20"/>
        </w:rPr>
        <w:t xml:space="preserve">. Na inšpektoratu so izdali tudi </w:t>
      </w:r>
      <w:r w:rsidRPr="00E3533D">
        <w:rPr>
          <w:rFonts w:cs="Arial"/>
          <w:bCs/>
          <w:szCs w:val="20"/>
        </w:rPr>
        <w:t>755 dovoljenj za delo otrok.</w:t>
      </w:r>
    </w:p>
    <w:p w14:paraId="0C50BB0D" w14:textId="77777777" w:rsidR="00E17633" w:rsidRPr="00E3533D" w:rsidRDefault="00E17633" w:rsidP="00E3533D">
      <w:pPr>
        <w:spacing w:line="240" w:lineRule="auto"/>
        <w:jc w:val="both"/>
        <w:rPr>
          <w:rFonts w:cs="Arial"/>
          <w:szCs w:val="20"/>
        </w:rPr>
      </w:pPr>
    </w:p>
    <w:p w14:paraId="10248D2F" w14:textId="77777777" w:rsidR="00E17633" w:rsidRPr="00E3533D" w:rsidRDefault="00E17633" w:rsidP="00E3533D">
      <w:pPr>
        <w:spacing w:line="240" w:lineRule="auto"/>
        <w:jc w:val="both"/>
        <w:rPr>
          <w:rFonts w:cs="Arial"/>
          <w:szCs w:val="20"/>
        </w:rPr>
      </w:pPr>
      <w:r w:rsidRPr="00E3533D">
        <w:rPr>
          <w:rFonts w:cs="Arial"/>
          <w:szCs w:val="20"/>
        </w:rPr>
        <w:t xml:space="preserve">Na zadnji koledarski dan leta 2021 je bilo na inšpektoratu zaposlenih skupaj 121 javnih uslužbencev, od tega poleg glavnega inšpektorja </w:t>
      </w:r>
      <w:r w:rsidRPr="00E3533D">
        <w:rPr>
          <w:rFonts w:cs="Arial"/>
          <w:bCs/>
          <w:szCs w:val="20"/>
        </w:rPr>
        <w:t>92 inšpektorjev</w:t>
      </w:r>
      <w:r w:rsidRPr="00E3533D">
        <w:rPr>
          <w:rFonts w:cs="Arial"/>
          <w:szCs w:val="20"/>
        </w:rPr>
        <w:t xml:space="preserve">. </w:t>
      </w:r>
    </w:p>
    <w:p w14:paraId="65490509" w14:textId="77777777" w:rsidR="00E17633" w:rsidRPr="00E3533D" w:rsidRDefault="00E17633" w:rsidP="00E3533D">
      <w:pPr>
        <w:spacing w:line="240" w:lineRule="auto"/>
        <w:jc w:val="both"/>
        <w:rPr>
          <w:rFonts w:cs="Arial"/>
          <w:szCs w:val="20"/>
        </w:rPr>
      </w:pPr>
    </w:p>
    <w:p w14:paraId="3D53169E" w14:textId="77777777" w:rsidR="00E17633" w:rsidRPr="00E3533D" w:rsidRDefault="00E17633" w:rsidP="00E3533D">
      <w:pPr>
        <w:spacing w:line="240" w:lineRule="auto"/>
        <w:jc w:val="both"/>
        <w:rPr>
          <w:rFonts w:cs="Arial"/>
          <w:szCs w:val="20"/>
        </w:rPr>
      </w:pPr>
      <w:r w:rsidRPr="00E3533D">
        <w:rPr>
          <w:rFonts w:cs="Arial"/>
          <w:szCs w:val="20"/>
        </w:rPr>
        <w:t>Vir: Ministrstvo za delo, družino, socialne zadeve in enake možnosti</w:t>
      </w:r>
    </w:p>
    <w:p w14:paraId="379777E7" w14:textId="77777777" w:rsidR="00E17633" w:rsidRPr="00E3533D" w:rsidRDefault="00E17633" w:rsidP="00E3533D">
      <w:pPr>
        <w:spacing w:line="240" w:lineRule="auto"/>
        <w:jc w:val="both"/>
        <w:rPr>
          <w:rFonts w:cs="Arial"/>
          <w:szCs w:val="20"/>
        </w:rPr>
      </w:pPr>
    </w:p>
    <w:p w14:paraId="45B7923B" w14:textId="111E2DB5" w:rsidR="00E17633" w:rsidRPr="00E3533D" w:rsidRDefault="00E17633" w:rsidP="00E3533D">
      <w:pPr>
        <w:spacing w:line="240" w:lineRule="auto"/>
        <w:jc w:val="both"/>
        <w:rPr>
          <w:rFonts w:cs="Arial"/>
          <w:szCs w:val="20"/>
        </w:rPr>
      </w:pPr>
    </w:p>
    <w:p w14:paraId="2E71B9B3" w14:textId="77777777" w:rsidR="00E17633" w:rsidRPr="00E3533D" w:rsidRDefault="00E17633" w:rsidP="00E3533D">
      <w:pPr>
        <w:spacing w:line="240" w:lineRule="auto"/>
        <w:jc w:val="both"/>
        <w:rPr>
          <w:rFonts w:cs="Arial"/>
          <w:b/>
          <w:bCs/>
          <w:szCs w:val="20"/>
        </w:rPr>
      </w:pPr>
      <w:r w:rsidRPr="00E3533D">
        <w:rPr>
          <w:rFonts w:cs="Arial"/>
          <w:b/>
          <w:bCs/>
          <w:szCs w:val="20"/>
        </w:rPr>
        <w:t>Vlada se je seznanila z revidiranim letnim poročilom Agencije za javni nadzor nad revidiranjem za leto 2021</w:t>
      </w:r>
    </w:p>
    <w:p w14:paraId="5BEDE0D1" w14:textId="77777777" w:rsidR="00E17633" w:rsidRPr="00E3533D" w:rsidRDefault="00E17633" w:rsidP="00E3533D">
      <w:pPr>
        <w:spacing w:line="240" w:lineRule="auto"/>
        <w:jc w:val="both"/>
        <w:rPr>
          <w:rFonts w:cs="Arial"/>
          <w:b/>
          <w:bCs/>
          <w:szCs w:val="20"/>
        </w:rPr>
      </w:pPr>
    </w:p>
    <w:p w14:paraId="4FD69521" w14:textId="77777777" w:rsidR="00E17633" w:rsidRPr="00E3533D" w:rsidRDefault="00E17633" w:rsidP="00E3533D">
      <w:pPr>
        <w:spacing w:line="240" w:lineRule="auto"/>
        <w:jc w:val="both"/>
        <w:rPr>
          <w:rFonts w:cs="Arial"/>
          <w:szCs w:val="20"/>
        </w:rPr>
      </w:pPr>
      <w:r w:rsidRPr="00E3533D">
        <w:rPr>
          <w:rFonts w:cs="Arial"/>
          <w:szCs w:val="20"/>
        </w:rPr>
        <w:t>Vlada se je seznanila z revidiranim letnim poročilom Agencije za javni nadzor nad revidiranjem za leto 2021 ter dala soglasje k predlogu uporabe presežka prihodkov nad odhodki agencije.</w:t>
      </w:r>
    </w:p>
    <w:p w14:paraId="7623FFB5" w14:textId="77777777" w:rsidR="00E17633" w:rsidRPr="00E3533D" w:rsidRDefault="00E17633" w:rsidP="00E3533D">
      <w:pPr>
        <w:spacing w:line="240" w:lineRule="auto"/>
        <w:jc w:val="both"/>
        <w:rPr>
          <w:rFonts w:cs="Arial"/>
          <w:szCs w:val="20"/>
        </w:rPr>
      </w:pPr>
    </w:p>
    <w:p w14:paraId="5E15B219" w14:textId="77777777" w:rsidR="00E17633" w:rsidRPr="00E3533D" w:rsidRDefault="00E17633" w:rsidP="00E3533D">
      <w:pPr>
        <w:spacing w:line="240" w:lineRule="auto"/>
        <w:jc w:val="both"/>
        <w:rPr>
          <w:rFonts w:cs="Arial"/>
          <w:szCs w:val="20"/>
        </w:rPr>
      </w:pPr>
      <w:r w:rsidRPr="00E3533D">
        <w:rPr>
          <w:rFonts w:cs="Arial"/>
          <w:szCs w:val="20"/>
        </w:rPr>
        <w:t>Vlada se je seznanila z revidiranim letnim poročilom Agencije za javni nadzor nad revidiranjem za leto 2021 in dala soglasje k predlogu uporabe presežka prihodkov nad odhodki Agencije za javni nadzor nad revidiranjem. Presežek prihodkov nad odhodki agencije se nameni za opravljanje in razvoj dejavnosti.</w:t>
      </w:r>
    </w:p>
    <w:p w14:paraId="015E3FEE" w14:textId="77777777" w:rsidR="00E17633" w:rsidRPr="00E3533D" w:rsidRDefault="00E17633" w:rsidP="00E3533D">
      <w:pPr>
        <w:spacing w:line="240" w:lineRule="auto"/>
        <w:jc w:val="both"/>
        <w:rPr>
          <w:rFonts w:cs="Arial"/>
          <w:szCs w:val="20"/>
        </w:rPr>
      </w:pPr>
    </w:p>
    <w:p w14:paraId="17C72E95" w14:textId="77777777" w:rsidR="00E17633" w:rsidRPr="00E3533D" w:rsidRDefault="00E17633" w:rsidP="00E3533D">
      <w:pPr>
        <w:spacing w:line="240" w:lineRule="auto"/>
        <w:jc w:val="both"/>
        <w:rPr>
          <w:rFonts w:cs="Arial"/>
          <w:szCs w:val="20"/>
        </w:rPr>
      </w:pPr>
      <w:r w:rsidRPr="00E3533D">
        <w:rPr>
          <w:rFonts w:cs="Arial"/>
          <w:szCs w:val="20"/>
        </w:rPr>
        <w:t>Agencija v letnem poročilu navaja, da so bili v letu 2021 v celoti doseženi vsi cilji, ki si jih je zadala, saj so pomembni za uresničevanje pristojnosti agencije ter za zagotavljanje kakovosti in razvoj revizijske in ocenjevalske stroke v Sloveniji.</w:t>
      </w:r>
    </w:p>
    <w:p w14:paraId="4F52C88B" w14:textId="77777777" w:rsidR="00E17633" w:rsidRPr="00E3533D" w:rsidRDefault="00E17633" w:rsidP="00E3533D">
      <w:pPr>
        <w:spacing w:line="240" w:lineRule="auto"/>
        <w:jc w:val="both"/>
        <w:rPr>
          <w:rFonts w:cs="Arial"/>
          <w:szCs w:val="20"/>
        </w:rPr>
      </w:pPr>
    </w:p>
    <w:p w14:paraId="35E46D9A" w14:textId="77777777" w:rsidR="00E17633" w:rsidRPr="00E3533D" w:rsidRDefault="00E17633" w:rsidP="00E3533D">
      <w:pPr>
        <w:spacing w:line="240" w:lineRule="auto"/>
        <w:jc w:val="both"/>
        <w:rPr>
          <w:rFonts w:cs="Arial"/>
          <w:b/>
          <w:szCs w:val="20"/>
          <w:lang w:eastAsia="sl-SI"/>
        </w:rPr>
      </w:pPr>
      <w:r w:rsidRPr="00E3533D">
        <w:rPr>
          <w:rFonts w:cs="Arial"/>
          <w:szCs w:val="20"/>
        </w:rPr>
        <w:t>Vir: Ministrstvo za finance</w:t>
      </w:r>
    </w:p>
    <w:p w14:paraId="174D7AB9" w14:textId="77777777" w:rsidR="00E17633" w:rsidRPr="00E3533D" w:rsidRDefault="00E17633" w:rsidP="00E3533D">
      <w:pPr>
        <w:spacing w:line="240" w:lineRule="auto"/>
        <w:jc w:val="both"/>
        <w:rPr>
          <w:rFonts w:cs="Arial"/>
          <w:szCs w:val="20"/>
        </w:rPr>
      </w:pPr>
    </w:p>
    <w:p w14:paraId="1269D384" w14:textId="77777777" w:rsidR="00E17633" w:rsidRPr="00E3533D" w:rsidRDefault="00E17633" w:rsidP="00E3533D">
      <w:pPr>
        <w:spacing w:line="240" w:lineRule="auto"/>
        <w:jc w:val="both"/>
        <w:rPr>
          <w:rFonts w:cs="Arial"/>
          <w:szCs w:val="20"/>
        </w:rPr>
      </w:pPr>
    </w:p>
    <w:p w14:paraId="00E42D4C" w14:textId="77777777" w:rsidR="00E17633" w:rsidRPr="00E3533D" w:rsidRDefault="00E17633" w:rsidP="00E3533D">
      <w:pPr>
        <w:spacing w:line="240" w:lineRule="auto"/>
        <w:jc w:val="both"/>
        <w:rPr>
          <w:rFonts w:cs="Arial"/>
          <w:b/>
          <w:bCs/>
          <w:szCs w:val="20"/>
        </w:rPr>
      </w:pPr>
      <w:r w:rsidRPr="00E3533D">
        <w:rPr>
          <w:rFonts w:cs="Arial"/>
          <w:b/>
          <w:bCs/>
          <w:szCs w:val="20"/>
        </w:rPr>
        <w:t>Vlada o stališču Slovenije glede predloga sklepa o uvedbi evra na Hrvaškem</w:t>
      </w:r>
    </w:p>
    <w:p w14:paraId="4CAA74E1" w14:textId="77777777" w:rsidR="00E17633" w:rsidRPr="00E3533D" w:rsidRDefault="00E17633" w:rsidP="00E3533D">
      <w:pPr>
        <w:spacing w:line="240" w:lineRule="auto"/>
        <w:jc w:val="both"/>
        <w:rPr>
          <w:rFonts w:cs="Arial"/>
          <w:b/>
          <w:bCs/>
          <w:szCs w:val="20"/>
          <w:lang w:val="it-IT"/>
        </w:rPr>
      </w:pPr>
    </w:p>
    <w:p w14:paraId="4252C563" w14:textId="77777777" w:rsidR="00E17633" w:rsidRPr="00E3533D" w:rsidRDefault="00E17633" w:rsidP="00E3533D">
      <w:pPr>
        <w:spacing w:line="240" w:lineRule="auto"/>
        <w:jc w:val="both"/>
        <w:rPr>
          <w:rFonts w:cs="Arial"/>
          <w:szCs w:val="20"/>
        </w:rPr>
      </w:pPr>
      <w:r w:rsidRPr="00E3533D">
        <w:rPr>
          <w:rFonts w:cs="Arial"/>
          <w:szCs w:val="20"/>
        </w:rPr>
        <w:t>Vlada je sprejela stališče Republike Slovenije glede predloga sklepa Sveta o uvedbi evra na Hrvaškem 1. januarja 2023. Slovenija se s predlogom sklepa strinja.</w:t>
      </w:r>
    </w:p>
    <w:p w14:paraId="7C6B509C" w14:textId="77777777" w:rsidR="00E17633" w:rsidRPr="00E3533D" w:rsidRDefault="00E17633" w:rsidP="00E3533D">
      <w:pPr>
        <w:spacing w:line="240" w:lineRule="auto"/>
        <w:jc w:val="both"/>
        <w:rPr>
          <w:rFonts w:cs="Arial"/>
          <w:szCs w:val="20"/>
        </w:rPr>
      </w:pPr>
    </w:p>
    <w:p w14:paraId="3C007538" w14:textId="77777777" w:rsidR="00E17633" w:rsidRPr="00E3533D" w:rsidRDefault="00E17633" w:rsidP="00E3533D">
      <w:pPr>
        <w:spacing w:line="240" w:lineRule="auto"/>
        <w:jc w:val="both"/>
        <w:rPr>
          <w:rFonts w:cs="Arial"/>
          <w:szCs w:val="20"/>
        </w:rPr>
      </w:pPr>
      <w:r w:rsidRPr="00E3533D">
        <w:rPr>
          <w:rFonts w:cs="Arial"/>
          <w:szCs w:val="20"/>
        </w:rPr>
        <w:t>Slovenija se je seznanila z ugotovitvami Evropske centralne banke in Evropske komisije, da Hrvaška izpolnjuje pogoje za prevzem evra. Slovenija se posledično strinja s predlogom sklepa Sveta o uvedbi evra na Hrvaškem 1. januarja 2023.</w:t>
      </w:r>
    </w:p>
    <w:p w14:paraId="789DCB9E" w14:textId="77777777" w:rsidR="00E17633" w:rsidRPr="00E3533D" w:rsidRDefault="00E17633" w:rsidP="00E3533D">
      <w:pPr>
        <w:spacing w:line="240" w:lineRule="auto"/>
        <w:jc w:val="both"/>
        <w:rPr>
          <w:rFonts w:cs="Arial"/>
          <w:szCs w:val="20"/>
        </w:rPr>
      </w:pPr>
    </w:p>
    <w:p w14:paraId="58996A47" w14:textId="77777777" w:rsidR="00E17633" w:rsidRPr="00E3533D" w:rsidRDefault="00E17633" w:rsidP="00E3533D">
      <w:pPr>
        <w:spacing w:line="240" w:lineRule="auto"/>
        <w:jc w:val="both"/>
        <w:rPr>
          <w:rFonts w:cs="Arial"/>
          <w:szCs w:val="20"/>
        </w:rPr>
      </w:pPr>
      <w:r w:rsidRPr="00E3533D">
        <w:rPr>
          <w:rFonts w:cs="Arial"/>
          <w:szCs w:val="20"/>
        </w:rPr>
        <w:t>Obenem pozdravljamo nadaljnjo zavezanost Hrvaške k izvajanju trajnostnih gospodarskih in strukturnih politik, ki dodatno krepijo konkurenčnost in odpornost hrvaškega gospodarstva, vključno s finančnim sistemom, ter doseganju okolja, ki bo ugodno vplivalo na njeno zmanjševanje gospodarskih razlik.</w:t>
      </w:r>
    </w:p>
    <w:p w14:paraId="108F05A1" w14:textId="77777777" w:rsidR="00E17633" w:rsidRPr="00E3533D" w:rsidRDefault="00E17633" w:rsidP="00E3533D">
      <w:pPr>
        <w:spacing w:line="240" w:lineRule="auto"/>
        <w:jc w:val="both"/>
        <w:rPr>
          <w:rFonts w:cs="Arial"/>
          <w:szCs w:val="20"/>
        </w:rPr>
      </w:pPr>
    </w:p>
    <w:p w14:paraId="59D7B12D" w14:textId="77777777" w:rsidR="00E17633" w:rsidRPr="00E3533D" w:rsidRDefault="00E17633" w:rsidP="00E3533D">
      <w:pPr>
        <w:spacing w:line="240" w:lineRule="auto"/>
        <w:jc w:val="both"/>
        <w:rPr>
          <w:rFonts w:cs="Arial"/>
          <w:b/>
          <w:szCs w:val="20"/>
          <w:lang w:eastAsia="sl-SI"/>
        </w:rPr>
      </w:pPr>
      <w:r w:rsidRPr="00E3533D">
        <w:rPr>
          <w:rFonts w:cs="Arial"/>
          <w:szCs w:val="20"/>
        </w:rPr>
        <w:t>Vir: Ministrstvo za finance</w:t>
      </w:r>
    </w:p>
    <w:p w14:paraId="42B4F453" w14:textId="77777777" w:rsidR="00E17633" w:rsidRPr="00E3533D" w:rsidRDefault="00E17633" w:rsidP="00E3533D">
      <w:pPr>
        <w:spacing w:line="240" w:lineRule="auto"/>
        <w:jc w:val="both"/>
        <w:rPr>
          <w:rFonts w:cs="Arial"/>
          <w:szCs w:val="20"/>
        </w:rPr>
      </w:pPr>
    </w:p>
    <w:p w14:paraId="330DD9FD" w14:textId="77777777" w:rsidR="00E17633" w:rsidRPr="00E3533D" w:rsidRDefault="00E17633" w:rsidP="00E3533D">
      <w:pPr>
        <w:spacing w:line="240" w:lineRule="auto"/>
        <w:jc w:val="both"/>
        <w:rPr>
          <w:rFonts w:cs="Arial"/>
          <w:szCs w:val="20"/>
        </w:rPr>
      </w:pPr>
    </w:p>
    <w:p w14:paraId="35707D7A" w14:textId="77777777" w:rsidR="00E17633" w:rsidRPr="00E3533D" w:rsidRDefault="00E17633" w:rsidP="00E3533D">
      <w:pPr>
        <w:spacing w:line="240" w:lineRule="auto"/>
        <w:jc w:val="both"/>
        <w:rPr>
          <w:rFonts w:cs="Arial"/>
          <w:b/>
          <w:bCs/>
          <w:szCs w:val="20"/>
        </w:rPr>
      </w:pPr>
      <w:r w:rsidRPr="00E3533D">
        <w:rPr>
          <w:rFonts w:cs="Arial"/>
          <w:b/>
          <w:bCs/>
          <w:szCs w:val="20"/>
        </w:rPr>
        <w:lastRenderedPageBreak/>
        <w:t>Vlada sprejela stališče Slovenije glede predloga evropske uredbe o uvedbi evra na Hrvaškem</w:t>
      </w:r>
    </w:p>
    <w:p w14:paraId="378A7E7F" w14:textId="77777777" w:rsidR="00E17633" w:rsidRPr="00E3533D" w:rsidRDefault="00E17633" w:rsidP="00E3533D">
      <w:pPr>
        <w:spacing w:line="240" w:lineRule="auto"/>
        <w:jc w:val="both"/>
        <w:rPr>
          <w:rFonts w:cs="Arial"/>
          <w:szCs w:val="20"/>
        </w:rPr>
      </w:pPr>
    </w:p>
    <w:p w14:paraId="5723AB6C" w14:textId="77777777" w:rsidR="00E17633" w:rsidRPr="00E3533D" w:rsidRDefault="00E17633" w:rsidP="00E3533D">
      <w:pPr>
        <w:spacing w:line="240" w:lineRule="auto"/>
        <w:jc w:val="both"/>
        <w:rPr>
          <w:rFonts w:cs="Arial"/>
          <w:szCs w:val="20"/>
        </w:rPr>
      </w:pPr>
      <w:r w:rsidRPr="00E3533D">
        <w:rPr>
          <w:rFonts w:cs="Arial"/>
          <w:szCs w:val="20"/>
        </w:rPr>
        <w:t>Vlada je sprejela stališče Slovenije glede predloga evropske uredbe o uvedbi evra na Hrvaškem. Slovenija se je seznanila z ugotovitvami Evropske centralne banke in Evropske komisije, da Hrvaška izpolnjuje pogoje za prevzem evra in posledično podpira predlog omenjene uredbe.</w:t>
      </w:r>
    </w:p>
    <w:p w14:paraId="0E742D8C" w14:textId="77777777" w:rsidR="00E17633" w:rsidRPr="00E3533D" w:rsidRDefault="00E17633" w:rsidP="00E3533D">
      <w:pPr>
        <w:spacing w:line="240" w:lineRule="auto"/>
        <w:jc w:val="both"/>
        <w:rPr>
          <w:rFonts w:cs="Arial"/>
          <w:szCs w:val="20"/>
        </w:rPr>
      </w:pPr>
    </w:p>
    <w:p w14:paraId="1A040923" w14:textId="77777777" w:rsidR="00E17633" w:rsidRPr="00E3533D" w:rsidRDefault="00E17633" w:rsidP="00E3533D">
      <w:pPr>
        <w:spacing w:line="240" w:lineRule="auto"/>
        <w:jc w:val="both"/>
        <w:rPr>
          <w:rFonts w:cs="Arial"/>
          <w:szCs w:val="20"/>
        </w:rPr>
      </w:pPr>
      <w:r w:rsidRPr="00E3533D">
        <w:rPr>
          <w:rFonts w:cs="Arial"/>
          <w:szCs w:val="20"/>
        </w:rPr>
        <w:t xml:space="preserve">Vlada se je opredelila do Uredbe Sveta o spremembi Uredbe (ES) št. 974/98 zaradi uvedbe evra na Hrvaškem. Slovenija se je seznanila z ugotovitvami Evropske centralne banke in Evropske komisije, da Hrvaška izpolnjuje pogoje za prevzem evra. Slovenija zato podpira predlog omenjene uredbe. </w:t>
      </w:r>
    </w:p>
    <w:p w14:paraId="27DF3CD0" w14:textId="77777777" w:rsidR="00E17633" w:rsidRPr="00E3533D" w:rsidRDefault="00E17633" w:rsidP="00E3533D">
      <w:pPr>
        <w:spacing w:line="240" w:lineRule="auto"/>
        <w:jc w:val="both"/>
        <w:rPr>
          <w:rFonts w:cs="Arial"/>
          <w:szCs w:val="20"/>
        </w:rPr>
      </w:pPr>
    </w:p>
    <w:p w14:paraId="3A2CBAC6" w14:textId="77777777" w:rsidR="00E17633" w:rsidRPr="00E3533D" w:rsidRDefault="00E17633" w:rsidP="00E3533D">
      <w:pPr>
        <w:spacing w:line="240" w:lineRule="auto"/>
        <w:jc w:val="both"/>
        <w:rPr>
          <w:rFonts w:cs="Arial"/>
          <w:szCs w:val="20"/>
        </w:rPr>
      </w:pPr>
      <w:r w:rsidRPr="00E3533D">
        <w:rPr>
          <w:rFonts w:cs="Arial"/>
          <w:szCs w:val="20"/>
        </w:rPr>
        <w:t>Slovenija obenem pozdravlja nadaljnjo zavezanost Hrvaške k izvajanju trajnostnih gospodarskih in strukturnih politik, ki dodatno krepijo konkurenčnost in odpornost hrvaškega gospodarstva, vključno s finančnim sistemom, ter doseganju okolja, ki bo ugodno vplivalo na njeno zmanjševanje gospodarskih razlik.</w:t>
      </w:r>
    </w:p>
    <w:p w14:paraId="61061525" w14:textId="77777777" w:rsidR="00E17633" w:rsidRPr="00E3533D" w:rsidRDefault="00E17633" w:rsidP="00E3533D">
      <w:pPr>
        <w:spacing w:line="240" w:lineRule="auto"/>
        <w:jc w:val="both"/>
        <w:rPr>
          <w:rFonts w:cs="Arial"/>
          <w:szCs w:val="20"/>
        </w:rPr>
      </w:pPr>
    </w:p>
    <w:p w14:paraId="04842D61" w14:textId="3FBCAE8F" w:rsidR="00E17633" w:rsidRPr="00E3533D" w:rsidRDefault="00E17633" w:rsidP="00E3533D">
      <w:pPr>
        <w:spacing w:line="240" w:lineRule="auto"/>
        <w:jc w:val="both"/>
        <w:rPr>
          <w:rFonts w:cs="Arial"/>
          <w:b/>
          <w:szCs w:val="20"/>
          <w:lang w:eastAsia="sl-SI"/>
        </w:rPr>
      </w:pPr>
      <w:r w:rsidRPr="00E3533D">
        <w:rPr>
          <w:rFonts w:cs="Arial"/>
          <w:szCs w:val="20"/>
        </w:rPr>
        <w:t>Vir: Ministrstvo za finance</w:t>
      </w:r>
    </w:p>
    <w:p w14:paraId="49B8561C" w14:textId="77777777" w:rsidR="00E3533D" w:rsidRDefault="00E3533D" w:rsidP="00E3533D">
      <w:pPr>
        <w:autoSpaceDE w:val="0"/>
        <w:autoSpaceDN w:val="0"/>
        <w:adjustRightInd w:val="0"/>
        <w:spacing w:line="240" w:lineRule="auto"/>
        <w:ind w:right="181"/>
        <w:jc w:val="both"/>
        <w:rPr>
          <w:rFonts w:cs="Arial"/>
          <w:b/>
          <w:szCs w:val="20"/>
        </w:rPr>
      </w:pPr>
    </w:p>
    <w:p w14:paraId="19ADB8DF" w14:textId="77777777" w:rsidR="00E3533D" w:rsidRDefault="00E3533D" w:rsidP="00E3533D">
      <w:pPr>
        <w:autoSpaceDE w:val="0"/>
        <w:autoSpaceDN w:val="0"/>
        <w:adjustRightInd w:val="0"/>
        <w:spacing w:line="240" w:lineRule="auto"/>
        <w:ind w:right="181"/>
        <w:jc w:val="both"/>
        <w:rPr>
          <w:rFonts w:cs="Arial"/>
          <w:b/>
          <w:szCs w:val="20"/>
        </w:rPr>
      </w:pPr>
    </w:p>
    <w:p w14:paraId="3500879E" w14:textId="3FCC3F85" w:rsidR="00E17633" w:rsidRPr="00E3533D" w:rsidRDefault="00E17633" w:rsidP="00E3533D">
      <w:pPr>
        <w:autoSpaceDE w:val="0"/>
        <w:autoSpaceDN w:val="0"/>
        <w:adjustRightInd w:val="0"/>
        <w:spacing w:line="240" w:lineRule="auto"/>
        <w:ind w:right="181"/>
        <w:jc w:val="both"/>
        <w:rPr>
          <w:rFonts w:cs="Arial"/>
          <w:b/>
          <w:szCs w:val="20"/>
        </w:rPr>
      </w:pPr>
      <w:r w:rsidRPr="00E3533D">
        <w:rPr>
          <w:rFonts w:cs="Arial"/>
          <w:b/>
          <w:szCs w:val="20"/>
        </w:rPr>
        <w:t xml:space="preserve">Vlada sprejela stališče do </w:t>
      </w:r>
      <w:r w:rsidRPr="00E3533D">
        <w:rPr>
          <w:rFonts w:cs="Arial"/>
          <w:b/>
          <w:bCs/>
          <w:szCs w:val="20"/>
        </w:rPr>
        <w:t xml:space="preserve">Predloga uredbe Evropskega parlamenta in Sveta o določitvi </w:t>
      </w:r>
      <w:proofErr w:type="spellStart"/>
      <w:r w:rsidRPr="00E3533D">
        <w:rPr>
          <w:rFonts w:cs="Arial"/>
          <w:b/>
          <w:bCs/>
          <w:szCs w:val="20"/>
        </w:rPr>
        <w:t>harmoniziranih</w:t>
      </w:r>
      <w:proofErr w:type="spellEnd"/>
      <w:r w:rsidRPr="00E3533D">
        <w:rPr>
          <w:rFonts w:cs="Arial"/>
          <w:b/>
          <w:bCs/>
          <w:szCs w:val="20"/>
        </w:rPr>
        <w:t xml:space="preserve"> pogojev za trženje gradbenih izdelkov</w:t>
      </w:r>
    </w:p>
    <w:p w14:paraId="705F7CA8" w14:textId="77777777" w:rsidR="00E17633" w:rsidRPr="00E3533D" w:rsidRDefault="00E17633" w:rsidP="00E3533D">
      <w:pPr>
        <w:autoSpaceDE w:val="0"/>
        <w:autoSpaceDN w:val="0"/>
        <w:adjustRightInd w:val="0"/>
        <w:spacing w:line="240" w:lineRule="auto"/>
        <w:ind w:right="181"/>
        <w:jc w:val="both"/>
        <w:rPr>
          <w:rFonts w:cs="Arial"/>
          <w:b/>
          <w:szCs w:val="20"/>
        </w:rPr>
      </w:pPr>
    </w:p>
    <w:p w14:paraId="1A3E2515" w14:textId="77777777" w:rsidR="00E17633" w:rsidRPr="00E3533D" w:rsidRDefault="00E17633" w:rsidP="00E3533D">
      <w:pPr>
        <w:spacing w:line="240" w:lineRule="auto"/>
        <w:jc w:val="both"/>
        <w:rPr>
          <w:rFonts w:cs="Arial"/>
          <w:bCs/>
          <w:szCs w:val="20"/>
        </w:rPr>
      </w:pPr>
      <w:r w:rsidRPr="00E3533D">
        <w:rPr>
          <w:rFonts w:cs="Arial"/>
          <w:iCs/>
          <w:szCs w:val="20"/>
        </w:rPr>
        <w:t xml:space="preserve">Vlada je sprejela stališče do </w:t>
      </w:r>
      <w:r w:rsidRPr="00E3533D">
        <w:rPr>
          <w:rFonts w:cs="Arial"/>
          <w:bCs/>
          <w:szCs w:val="20"/>
        </w:rPr>
        <w:t xml:space="preserve">Predloga uredbe Evropskega parlamenta in Sveta o določitvi </w:t>
      </w:r>
      <w:proofErr w:type="spellStart"/>
      <w:r w:rsidRPr="00E3533D">
        <w:rPr>
          <w:rFonts w:cs="Arial"/>
          <w:bCs/>
          <w:szCs w:val="20"/>
        </w:rPr>
        <w:t>harmoniziranih</w:t>
      </w:r>
      <w:proofErr w:type="spellEnd"/>
      <w:r w:rsidRPr="00E3533D">
        <w:rPr>
          <w:rFonts w:cs="Arial"/>
          <w:bCs/>
          <w:szCs w:val="20"/>
        </w:rPr>
        <w:t xml:space="preserve"> pogojev za trženje gradbenih izdelkov, spremembi Uredbe (EU) 2019/1020 in razveljavitvi Uredbe (EU) št. 305/2011.</w:t>
      </w:r>
    </w:p>
    <w:p w14:paraId="5D214768" w14:textId="77777777" w:rsidR="00E17633" w:rsidRPr="00E3533D" w:rsidRDefault="00E17633" w:rsidP="00E3533D">
      <w:pPr>
        <w:spacing w:line="240" w:lineRule="auto"/>
        <w:jc w:val="both"/>
        <w:rPr>
          <w:rFonts w:cs="Arial"/>
          <w:bCs/>
          <w:szCs w:val="20"/>
        </w:rPr>
      </w:pPr>
    </w:p>
    <w:p w14:paraId="60BD4422" w14:textId="77777777" w:rsidR="00E17633" w:rsidRPr="00E3533D" w:rsidRDefault="00E17633" w:rsidP="00E3533D">
      <w:pPr>
        <w:spacing w:line="240" w:lineRule="auto"/>
        <w:jc w:val="both"/>
        <w:rPr>
          <w:rFonts w:cs="Arial"/>
          <w:iCs/>
          <w:szCs w:val="20"/>
        </w:rPr>
      </w:pPr>
      <w:r w:rsidRPr="00E3533D">
        <w:rPr>
          <w:rFonts w:cs="Arial"/>
          <w:iCs/>
          <w:szCs w:val="20"/>
        </w:rPr>
        <w:t>Republika Slovenija pozdravlja predlog in njegova ključna cilja izboljšanja delovanja notranjega trga za gradbene proizvode in usklajenosti s širšimi politikami zelenega in digitalnega prehoda in varstva potrošnikov. Slovenija podpira uvedbo dodatnih zahtev za gradbene proizvode ter širitev in bolj jasno opredelitev področja uporabe. Vendar je potrebno opozoriti, da je sistem, ki ga vzpostavlja predlog, zelo zapleten, ob tem pa ni jasno, ali bodo predlagane rešitve dejansko naslovile ključne identificirane pomanjkljivosti sedanjega zakonodajnega okvira. Slovenija si bo v postopku usklajevanja prizadevala za izboljšanje besedila v smislu usklajenosti predloga z zastavljenim ciljem poenostavitve zakonodajnega okvira, za predlog, ki bo jasen, razumljiv, uravnotežen in bo hkrati upošteval potrebe vseh deležnikov, ki delujejo na trgu gradbenih proizvodov.</w:t>
      </w:r>
    </w:p>
    <w:p w14:paraId="57EBC702" w14:textId="77777777" w:rsidR="00E17633" w:rsidRPr="00E3533D" w:rsidRDefault="00E17633" w:rsidP="00E3533D">
      <w:pPr>
        <w:autoSpaceDE w:val="0"/>
        <w:autoSpaceDN w:val="0"/>
        <w:adjustRightInd w:val="0"/>
        <w:spacing w:line="240" w:lineRule="auto"/>
        <w:ind w:left="142" w:right="181"/>
        <w:jc w:val="both"/>
        <w:rPr>
          <w:rFonts w:cs="Arial"/>
          <w:szCs w:val="20"/>
        </w:rPr>
      </w:pPr>
    </w:p>
    <w:p w14:paraId="0B3E7ED5" w14:textId="77777777" w:rsidR="00E17633" w:rsidRPr="00E3533D" w:rsidRDefault="00E17633" w:rsidP="00E3533D">
      <w:pPr>
        <w:autoSpaceDE w:val="0"/>
        <w:autoSpaceDN w:val="0"/>
        <w:adjustRightInd w:val="0"/>
        <w:spacing w:line="240" w:lineRule="auto"/>
        <w:ind w:right="181"/>
        <w:jc w:val="both"/>
        <w:rPr>
          <w:rFonts w:cs="Arial"/>
          <w:szCs w:val="20"/>
        </w:rPr>
      </w:pPr>
      <w:r w:rsidRPr="00E3533D">
        <w:rPr>
          <w:rFonts w:cs="Arial"/>
          <w:szCs w:val="20"/>
        </w:rPr>
        <w:t>Vir: Ministrstvo za gospodarski razvoj in tehnologijo</w:t>
      </w:r>
    </w:p>
    <w:p w14:paraId="77946274" w14:textId="7764AD67" w:rsidR="00E17633" w:rsidRPr="00E3533D" w:rsidRDefault="00E17633" w:rsidP="00E3533D">
      <w:pPr>
        <w:spacing w:line="240" w:lineRule="auto"/>
        <w:jc w:val="both"/>
        <w:rPr>
          <w:rFonts w:cs="Arial"/>
          <w:szCs w:val="20"/>
        </w:rPr>
      </w:pPr>
      <w:r w:rsidRPr="00E3533D">
        <w:rPr>
          <w:rFonts w:cs="Arial"/>
          <w:szCs w:val="20"/>
        </w:rPr>
        <w:t xml:space="preserve"> </w:t>
      </w:r>
    </w:p>
    <w:p w14:paraId="6C5D3D4E" w14:textId="77777777" w:rsidR="00E17633" w:rsidRPr="00E3533D" w:rsidRDefault="00E17633" w:rsidP="00E3533D">
      <w:pPr>
        <w:spacing w:line="240" w:lineRule="auto"/>
        <w:jc w:val="both"/>
        <w:rPr>
          <w:rFonts w:cs="Arial"/>
          <w:szCs w:val="20"/>
        </w:rPr>
      </w:pPr>
    </w:p>
    <w:p w14:paraId="1291FB5F" w14:textId="77777777" w:rsidR="00E17633" w:rsidRPr="00E3533D" w:rsidRDefault="00E17633" w:rsidP="00E3533D">
      <w:pPr>
        <w:autoSpaceDE w:val="0"/>
        <w:autoSpaceDN w:val="0"/>
        <w:adjustRightInd w:val="0"/>
        <w:spacing w:line="240" w:lineRule="auto"/>
        <w:ind w:right="181"/>
        <w:jc w:val="both"/>
        <w:rPr>
          <w:rFonts w:cs="Arial"/>
          <w:b/>
          <w:szCs w:val="20"/>
        </w:rPr>
      </w:pPr>
      <w:r w:rsidRPr="00E3533D">
        <w:rPr>
          <w:rFonts w:cs="Arial"/>
          <w:b/>
          <w:szCs w:val="20"/>
        </w:rPr>
        <w:t xml:space="preserve">Vlada sprejela stališče do Predloga uredbe </w:t>
      </w:r>
      <w:r w:rsidRPr="00E3533D">
        <w:rPr>
          <w:rFonts w:cs="Arial"/>
          <w:b/>
          <w:color w:val="000000"/>
          <w:szCs w:val="20"/>
          <w:lang w:eastAsia="en-GB"/>
        </w:rPr>
        <w:t>Evropskega parlamenta in Sveta o začasnih ukrepih za trgovinsko liberalizacijo, ki dopolnjujejo trgovinske koncesije, ki se uporabljajo za moldavske proizvode</w:t>
      </w:r>
    </w:p>
    <w:p w14:paraId="05652F7A" w14:textId="77777777" w:rsidR="00E17633" w:rsidRPr="00E3533D" w:rsidRDefault="00E17633" w:rsidP="00E3533D">
      <w:pPr>
        <w:autoSpaceDE w:val="0"/>
        <w:autoSpaceDN w:val="0"/>
        <w:adjustRightInd w:val="0"/>
        <w:spacing w:line="240" w:lineRule="auto"/>
        <w:ind w:right="181"/>
        <w:jc w:val="both"/>
        <w:rPr>
          <w:rFonts w:cs="Arial"/>
          <w:b/>
          <w:szCs w:val="20"/>
        </w:rPr>
      </w:pPr>
    </w:p>
    <w:p w14:paraId="15DB0522" w14:textId="77777777" w:rsidR="00E17633" w:rsidRPr="00E3533D" w:rsidRDefault="00E17633" w:rsidP="00E3533D">
      <w:pPr>
        <w:spacing w:line="240" w:lineRule="auto"/>
        <w:jc w:val="both"/>
        <w:rPr>
          <w:rFonts w:cs="Arial"/>
          <w:bCs/>
          <w:szCs w:val="20"/>
        </w:rPr>
      </w:pPr>
      <w:r w:rsidRPr="00E3533D">
        <w:rPr>
          <w:rFonts w:cs="Arial"/>
          <w:iCs/>
          <w:szCs w:val="20"/>
        </w:rPr>
        <w:t xml:space="preserve">Vlada se strinja s </w:t>
      </w:r>
      <w:r w:rsidRPr="00E3533D">
        <w:rPr>
          <w:rFonts w:cs="Arial"/>
          <w:color w:val="000000"/>
          <w:szCs w:val="20"/>
          <w:lang w:eastAsia="en-GB"/>
        </w:rPr>
        <w:t>Predlogom uredbe Evropskega parlamenta in Sveta o začasnih ukrepih za trgovinsko liberalizacijo, ki dopolnjujejo trgovinske koncesije, ki se uporabljajo za moldavske proizvode v okviru Pridružitvenega sporazuma med Evropsko unijo in Evropsko skupnostjo za atomsko energijo in njunimi državami članicami na eni strani ter Republiko Moldavijo na drugi strani</w:t>
      </w:r>
      <w:r w:rsidRPr="00E3533D">
        <w:rPr>
          <w:rFonts w:cs="Arial"/>
          <w:bCs/>
          <w:szCs w:val="20"/>
        </w:rPr>
        <w:t>.</w:t>
      </w:r>
    </w:p>
    <w:p w14:paraId="0E60AA78" w14:textId="77777777" w:rsidR="00E17633" w:rsidRPr="00E3533D" w:rsidRDefault="00E17633" w:rsidP="00E3533D">
      <w:pPr>
        <w:spacing w:line="240" w:lineRule="auto"/>
        <w:jc w:val="both"/>
        <w:rPr>
          <w:rFonts w:cs="Arial"/>
          <w:bCs/>
          <w:szCs w:val="20"/>
        </w:rPr>
      </w:pPr>
    </w:p>
    <w:p w14:paraId="2D786B27" w14:textId="77777777" w:rsidR="00E17633" w:rsidRPr="00E3533D" w:rsidRDefault="00E17633" w:rsidP="00E3533D">
      <w:pPr>
        <w:spacing w:line="240" w:lineRule="auto"/>
        <w:jc w:val="both"/>
        <w:rPr>
          <w:rFonts w:cs="Arial"/>
          <w:szCs w:val="20"/>
          <w:lang w:eastAsia="sl-SI"/>
        </w:rPr>
      </w:pPr>
      <w:r w:rsidRPr="00E3533D">
        <w:rPr>
          <w:rFonts w:cs="Arial"/>
          <w:szCs w:val="20"/>
        </w:rPr>
        <w:t xml:space="preserve">Vojaška agresija Rusije v Ukrajini negativno vpliva tudi na trgovinsko menjavo Moldavije s preostalim svetom. Zato evropska komisija predlaga, da se tudi Moldaviji, podobno kot pred tem Ukrajini, odobrijo dodatne trgovinske ugodnosti pri uvozu na trg EU. </w:t>
      </w:r>
      <w:r w:rsidRPr="00E3533D">
        <w:rPr>
          <w:rFonts w:cs="Arial"/>
          <w:szCs w:val="20"/>
          <w:lang w:eastAsia="sl-SI"/>
        </w:rPr>
        <w:t>Predlog uredbe predvideva, da se za eno leto za nekatere kmetijske izdelke začasno odobri dodatne brezcarinske tarifne kvote (za svež paradižnik, česen, namizno grozdje, jabolka, češnje, slive in grozdni sok).</w:t>
      </w:r>
    </w:p>
    <w:p w14:paraId="7FB37B6D" w14:textId="77777777" w:rsidR="00E17633" w:rsidRPr="00E3533D" w:rsidRDefault="00E17633" w:rsidP="00E3533D">
      <w:pPr>
        <w:spacing w:line="240" w:lineRule="auto"/>
        <w:jc w:val="both"/>
        <w:rPr>
          <w:rFonts w:cs="Arial"/>
          <w:szCs w:val="20"/>
          <w:lang w:eastAsia="sl-SI"/>
        </w:rPr>
      </w:pPr>
    </w:p>
    <w:p w14:paraId="2392F0A5" w14:textId="77777777" w:rsidR="00E17633" w:rsidRPr="00E3533D" w:rsidRDefault="00E17633" w:rsidP="00E3533D">
      <w:pPr>
        <w:spacing w:line="240" w:lineRule="auto"/>
        <w:jc w:val="both"/>
        <w:rPr>
          <w:rFonts w:cs="Arial"/>
          <w:iCs/>
          <w:szCs w:val="20"/>
        </w:rPr>
      </w:pPr>
      <w:r w:rsidRPr="00E3533D">
        <w:rPr>
          <w:rFonts w:cs="Arial"/>
          <w:iCs/>
          <w:szCs w:val="20"/>
        </w:rPr>
        <w:t xml:space="preserve">Začasna opustitev je pogojena s spoštovanjem pravil o poreklu blaga, vzdržanem uvajanja novih carin in dajatev s strani Moldavije ter spoštovanjem demokratičnih načel, človekovih pravic in temeljnih svoboščin, spoštovanjem načel pravne države in nadaljnjim prizadevanjem za boj proti </w:t>
      </w:r>
      <w:r w:rsidRPr="00E3533D">
        <w:rPr>
          <w:rFonts w:cs="Arial"/>
          <w:iCs/>
          <w:szCs w:val="20"/>
        </w:rPr>
        <w:lastRenderedPageBreak/>
        <w:t xml:space="preserve">korupciji in nezakonitim aktivnostim v skladu z določbami Sporazuma o pridružitvi med EU in Moldavijo. V primeru kršitve predlog uredbe predvideva začasno delno ali popolno prenehanje veljavnosti dodatne liberalizacije trgovine. </w:t>
      </w:r>
    </w:p>
    <w:p w14:paraId="5726C115" w14:textId="77777777" w:rsidR="00E17633" w:rsidRPr="00E3533D" w:rsidRDefault="00E17633" w:rsidP="00E3533D">
      <w:pPr>
        <w:spacing w:line="240" w:lineRule="auto"/>
        <w:jc w:val="both"/>
        <w:rPr>
          <w:rFonts w:cs="Arial"/>
          <w:iCs/>
          <w:szCs w:val="20"/>
        </w:rPr>
      </w:pPr>
    </w:p>
    <w:p w14:paraId="04CA25FD" w14:textId="77777777" w:rsidR="00E17633" w:rsidRPr="00E3533D" w:rsidRDefault="00E17633" w:rsidP="00E3533D">
      <w:pPr>
        <w:spacing w:line="240" w:lineRule="auto"/>
        <w:jc w:val="both"/>
        <w:rPr>
          <w:rFonts w:cs="Arial"/>
          <w:iCs/>
          <w:szCs w:val="20"/>
        </w:rPr>
      </w:pPr>
      <w:r w:rsidRPr="00E3533D">
        <w:rPr>
          <w:rFonts w:cs="Arial"/>
          <w:iCs/>
          <w:szCs w:val="20"/>
        </w:rPr>
        <w:t>Evropska komisija bo natančno spremljala učinek uredbe, vključno z vplivom na cene na trgu EU. Predlog vsebuje zaščitno klavzulo, ki se lahko uporabi v primeru prekomernega uvoza izdelkov iz Moldavije, ki bi povzročil ali grozil s povzročitvijo resnih težav proizvajalcem v EU.</w:t>
      </w:r>
    </w:p>
    <w:p w14:paraId="5A2008D7" w14:textId="77777777" w:rsidR="00E17633" w:rsidRPr="00E3533D" w:rsidRDefault="00E17633" w:rsidP="00E3533D">
      <w:pPr>
        <w:spacing w:line="240" w:lineRule="auto"/>
        <w:jc w:val="both"/>
        <w:rPr>
          <w:rFonts w:cs="Arial"/>
          <w:iCs/>
          <w:szCs w:val="20"/>
        </w:rPr>
      </w:pPr>
    </w:p>
    <w:p w14:paraId="1A000736" w14:textId="77777777" w:rsidR="00E17633" w:rsidRPr="00E3533D" w:rsidRDefault="00E17633" w:rsidP="00E3533D">
      <w:pPr>
        <w:spacing w:line="240" w:lineRule="auto"/>
        <w:jc w:val="both"/>
        <w:rPr>
          <w:rFonts w:cs="Arial"/>
          <w:iCs/>
          <w:szCs w:val="20"/>
        </w:rPr>
      </w:pPr>
      <w:r w:rsidRPr="00E3533D">
        <w:rPr>
          <w:rFonts w:cs="Arial"/>
          <w:iCs/>
          <w:szCs w:val="20"/>
        </w:rPr>
        <w:t xml:space="preserve">Ta začasni in izredni ukrep bo prispeval k podpori in spodbujanju obstoječih trgovinskih tokov iz Moldavije v EU. To je v skladu z enim od ciljev Sporazuma o pridružitvi, tj. vzpostaviti pogoje za okrepljene gospodarske in trgovinske odnose, ki vodijo v postopno povezovanje Moldavije z notranjim trgom EU. </w:t>
      </w:r>
    </w:p>
    <w:p w14:paraId="0E2153B3" w14:textId="77777777" w:rsidR="00E17633" w:rsidRPr="00E3533D" w:rsidRDefault="00E17633" w:rsidP="00E3533D">
      <w:pPr>
        <w:autoSpaceDE w:val="0"/>
        <w:autoSpaceDN w:val="0"/>
        <w:adjustRightInd w:val="0"/>
        <w:spacing w:line="240" w:lineRule="auto"/>
        <w:ind w:left="142" w:right="181"/>
        <w:jc w:val="both"/>
        <w:rPr>
          <w:rFonts w:cs="Arial"/>
          <w:szCs w:val="20"/>
        </w:rPr>
      </w:pPr>
    </w:p>
    <w:p w14:paraId="2F94AC88" w14:textId="77777777" w:rsidR="00E17633" w:rsidRPr="00E3533D" w:rsidRDefault="00E17633" w:rsidP="00E3533D">
      <w:pPr>
        <w:autoSpaceDE w:val="0"/>
        <w:autoSpaceDN w:val="0"/>
        <w:adjustRightInd w:val="0"/>
        <w:spacing w:line="240" w:lineRule="auto"/>
        <w:ind w:right="181"/>
        <w:jc w:val="both"/>
        <w:rPr>
          <w:rFonts w:cs="Arial"/>
          <w:szCs w:val="20"/>
        </w:rPr>
      </w:pPr>
      <w:r w:rsidRPr="00E3533D">
        <w:rPr>
          <w:rFonts w:cs="Arial"/>
          <w:szCs w:val="20"/>
        </w:rPr>
        <w:t>Vir: Ministrstvo za gospodarski razvoj in tehnologijo</w:t>
      </w:r>
    </w:p>
    <w:p w14:paraId="75ABA137"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1766FE2C" w14:textId="77777777" w:rsidR="00E17633" w:rsidRPr="00E3533D" w:rsidRDefault="00E17633" w:rsidP="00E3533D">
      <w:pPr>
        <w:autoSpaceDE w:val="0"/>
        <w:autoSpaceDN w:val="0"/>
        <w:adjustRightInd w:val="0"/>
        <w:spacing w:line="240" w:lineRule="auto"/>
        <w:ind w:right="181"/>
        <w:jc w:val="both"/>
        <w:rPr>
          <w:rFonts w:cs="Arial"/>
          <w:b/>
          <w:szCs w:val="20"/>
        </w:rPr>
      </w:pPr>
    </w:p>
    <w:p w14:paraId="4E14547C" w14:textId="77777777" w:rsidR="00E17633" w:rsidRPr="00E3533D" w:rsidRDefault="00E17633" w:rsidP="00E3533D">
      <w:pPr>
        <w:autoSpaceDE w:val="0"/>
        <w:autoSpaceDN w:val="0"/>
        <w:adjustRightInd w:val="0"/>
        <w:spacing w:line="240" w:lineRule="auto"/>
        <w:ind w:right="181"/>
        <w:jc w:val="both"/>
        <w:rPr>
          <w:rFonts w:cs="Arial"/>
          <w:b/>
          <w:szCs w:val="20"/>
        </w:rPr>
      </w:pPr>
      <w:r w:rsidRPr="00E3533D">
        <w:rPr>
          <w:rFonts w:cs="Arial"/>
          <w:b/>
          <w:szCs w:val="20"/>
        </w:rPr>
        <w:t xml:space="preserve">Vlada sprejela stališče do </w:t>
      </w:r>
      <w:r w:rsidRPr="00E3533D">
        <w:rPr>
          <w:rFonts w:cs="Arial"/>
          <w:b/>
          <w:bCs/>
          <w:szCs w:val="20"/>
        </w:rPr>
        <w:t>sprememb evropskih direktiv v zvezi s krepitvijo vloge potrošnikov za zeleni prehod z boljšim varstvom pred nepoštenimi praksami in boljšim obveščanjem</w:t>
      </w:r>
    </w:p>
    <w:p w14:paraId="7CF9EC37" w14:textId="77777777" w:rsidR="00E17633" w:rsidRPr="00E3533D" w:rsidRDefault="00E17633" w:rsidP="00E3533D">
      <w:pPr>
        <w:autoSpaceDE w:val="0"/>
        <w:autoSpaceDN w:val="0"/>
        <w:adjustRightInd w:val="0"/>
        <w:spacing w:line="240" w:lineRule="auto"/>
        <w:ind w:right="181"/>
        <w:jc w:val="both"/>
        <w:rPr>
          <w:rFonts w:cs="Arial"/>
          <w:b/>
          <w:szCs w:val="20"/>
        </w:rPr>
      </w:pPr>
    </w:p>
    <w:p w14:paraId="1AE7EBA6" w14:textId="77777777" w:rsidR="00E17633" w:rsidRPr="00E3533D" w:rsidRDefault="00E17633" w:rsidP="00E3533D">
      <w:pPr>
        <w:spacing w:line="240" w:lineRule="auto"/>
        <w:jc w:val="both"/>
        <w:rPr>
          <w:rFonts w:cs="Arial"/>
          <w:bCs/>
          <w:szCs w:val="20"/>
        </w:rPr>
      </w:pPr>
      <w:r w:rsidRPr="00E3533D">
        <w:rPr>
          <w:rFonts w:cs="Arial"/>
          <w:iCs/>
          <w:szCs w:val="20"/>
        </w:rPr>
        <w:t xml:space="preserve">Vlada </w:t>
      </w:r>
      <w:r w:rsidRPr="00E3533D">
        <w:rPr>
          <w:rFonts w:cs="Arial"/>
          <w:iCs/>
          <w:color w:val="000000"/>
          <w:szCs w:val="20"/>
          <w:lang w:eastAsia="sl-SI"/>
        </w:rPr>
        <w:t xml:space="preserve">podpira cilje, ki jih zasleduje </w:t>
      </w:r>
      <w:r w:rsidRPr="00E3533D">
        <w:rPr>
          <w:rFonts w:cs="Arial"/>
          <w:bCs/>
          <w:szCs w:val="20"/>
        </w:rPr>
        <w:t xml:space="preserve">Predlog direktive Evropskega parlamenta in Sveta o spremembi direktiv 2005/29/ES in 2011/83/EU v zvezi s krepitvijo vloge potrošnikov za zeleni prehod z boljšim varstvom pred nepoštenimi praksami in boljšim obveščanjem. </w:t>
      </w:r>
    </w:p>
    <w:p w14:paraId="4E4807E9" w14:textId="77777777" w:rsidR="00E17633" w:rsidRPr="00E3533D" w:rsidRDefault="00E17633" w:rsidP="00E3533D">
      <w:pPr>
        <w:spacing w:line="240" w:lineRule="auto"/>
        <w:jc w:val="both"/>
        <w:rPr>
          <w:rFonts w:cs="Arial"/>
          <w:bCs/>
          <w:szCs w:val="20"/>
        </w:rPr>
      </w:pPr>
    </w:p>
    <w:p w14:paraId="3C644FDC" w14:textId="77777777" w:rsidR="00E17633" w:rsidRPr="00E3533D" w:rsidRDefault="00E17633" w:rsidP="00E3533D">
      <w:pPr>
        <w:spacing w:line="240" w:lineRule="auto"/>
        <w:jc w:val="both"/>
        <w:rPr>
          <w:rFonts w:cs="Arial"/>
          <w:iCs/>
          <w:szCs w:val="20"/>
        </w:rPr>
      </w:pPr>
      <w:r w:rsidRPr="00E3533D">
        <w:rPr>
          <w:rFonts w:cs="Arial"/>
          <w:iCs/>
          <w:szCs w:val="20"/>
        </w:rPr>
        <w:t xml:space="preserve">Namen predloga direktive je opolnomočiti potrošnike, da igrajo aktivno vlogo pri zelenem prehodu z izvajanjem izbir in odločitev, ki temeljijo na zanesljivih, dostopnih in jasnih informacijah, ki potrošnike opozarjajo na bolj trajnostne izdelke. Prav tako je cilj bolje zaščititi potrošnike pred nekaterimi nepoštenimi in </w:t>
      </w:r>
      <w:proofErr w:type="spellStart"/>
      <w:r w:rsidRPr="00E3533D">
        <w:rPr>
          <w:rFonts w:cs="Arial"/>
          <w:iCs/>
          <w:szCs w:val="20"/>
        </w:rPr>
        <w:t>netrajnostnimi</w:t>
      </w:r>
      <w:proofErr w:type="spellEnd"/>
      <w:r w:rsidRPr="00E3533D">
        <w:rPr>
          <w:rFonts w:cs="Arial"/>
          <w:iCs/>
          <w:szCs w:val="20"/>
        </w:rPr>
        <w:t xml:space="preserve"> poslovnimi praksami, ki potrošnike velikokrat odvračajo od trajnostnih potrošniških odločitev, in izboljšati izvrševanje potrošniške zakonodaje. Ta predlog direktive bo pomagal vzpostaviti enake konkurenčne pogoje za trajnostne izdelke na notranjem trgu. Potrošniki bodo tako lahko sprejemali informirane odločitve o nakupu in s tem doprinesli k bolj trajnostni potrošnji, prispevali h krožnemu, čistemu in zelenemu gospodarstvu EU.</w:t>
      </w:r>
    </w:p>
    <w:p w14:paraId="6F587912" w14:textId="77777777" w:rsidR="00E17633" w:rsidRPr="00E3533D" w:rsidRDefault="00E17633" w:rsidP="00E3533D">
      <w:pPr>
        <w:spacing w:line="240" w:lineRule="auto"/>
        <w:jc w:val="both"/>
        <w:rPr>
          <w:rFonts w:cs="Arial"/>
          <w:iCs/>
          <w:szCs w:val="20"/>
        </w:rPr>
      </w:pPr>
    </w:p>
    <w:p w14:paraId="302992B0" w14:textId="77777777" w:rsidR="00E17633" w:rsidRPr="00E3533D" w:rsidRDefault="00E17633" w:rsidP="00E3533D">
      <w:pPr>
        <w:spacing w:line="240" w:lineRule="auto"/>
        <w:jc w:val="both"/>
        <w:rPr>
          <w:rFonts w:cs="Arial"/>
          <w:iCs/>
          <w:szCs w:val="20"/>
        </w:rPr>
      </w:pPr>
      <w:r w:rsidRPr="00E3533D">
        <w:rPr>
          <w:rFonts w:cs="Arial"/>
          <w:iCs/>
          <w:szCs w:val="20"/>
        </w:rPr>
        <w:t>Slovenija meni, da so takšne spremembe in dopolnitve potrebne. Vseeno pa opozarja, da je treba nove določbe natančno preučiti in zagotoviti sorazmernost predlaganih ukrepov s cilji ter njihovo usklajenost s slovenskim pravnim redom. Prav tako je zaradi zagotovitve enakopravne obravnave  potrošnikov, okolja in podjetji na notranjem trgu treba zagotoviti jasnost in enostavnost uporabe predlaganih določb.</w:t>
      </w:r>
    </w:p>
    <w:p w14:paraId="45ED3A30" w14:textId="77777777" w:rsidR="00E17633" w:rsidRPr="00E3533D" w:rsidRDefault="00E17633" w:rsidP="00E3533D">
      <w:pPr>
        <w:autoSpaceDE w:val="0"/>
        <w:autoSpaceDN w:val="0"/>
        <w:adjustRightInd w:val="0"/>
        <w:spacing w:line="240" w:lineRule="auto"/>
        <w:ind w:right="181"/>
        <w:jc w:val="both"/>
        <w:rPr>
          <w:rFonts w:cs="Arial"/>
          <w:szCs w:val="20"/>
        </w:rPr>
      </w:pPr>
    </w:p>
    <w:p w14:paraId="38DE0B85" w14:textId="77777777" w:rsidR="00E17633" w:rsidRPr="00E3533D" w:rsidRDefault="00E17633" w:rsidP="00E3533D">
      <w:pPr>
        <w:autoSpaceDE w:val="0"/>
        <w:autoSpaceDN w:val="0"/>
        <w:adjustRightInd w:val="0"/>
        <w:spacing w:line="240" w:lineRule="auto"/>
        <w:ind w:right="181"/>
        <w:jc w:val="both"/>
        <w:rPr>
          <w:rFonts w:cs="Arial"/>
          <w:szCs w:val="20"/>
        </w:rPr>
      </w:pPr>
      <w:r w:rsidRPr="00E3533D">
        <w:rPr>
          <w:rFonts w:cs="Arial"/>
          <w:szCs w:val="20"/>
        </w:rPr>
        <w:t>Vir: Ministrstvo za gospodarski razvoj in tehnologijo</w:t>
      </w:r>
    </w:p>
    <w:p w14:paraId="396CBD1E"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1B9FEC89" w14:textId="77777777" w:rsidR="00E17633" w:rsidRPr="00E3533D" w:rsidRDefault="00E17633" w:rsidP="00E3533D">
      <w:pPr>
        <w:spacing w:line="240" w:lineRule="auto"/>
        <w:jc w:val="both"/>
        <w:rPr>
          <w:rFonts w:cs="Arial"/>
          <w:szCs w:val="20"/>
        </w:rPr>
      </w:pPr>
    </w:p>
    <w:p w14:paraId="614205EE" w14:textId="77777777" w:rsidR="00E17633" w:rsidRPr="00E3533D" w:rsidRDefault="00E17633" w:rsidP="00E3533D">
      <w:pPr>
        <w:spacing w:line="240" w:lineRule="auto"/>
        <w:jc w:val="both"/>
        <w:rPr>
          <w:rFonts w:cs="Arial"/>
          <w:b/>
          <w:szCs w:val="20"/>
        </w:rPr>
      </w:pPr>
      <w:r w:rsidRPr="00E3533D">
        <w:rPr>
          <w:rFonts w:cs="Arial"/>
          <w:b/>
          <w:szCs w:val="20"/>
        </w:rPr>
        <w:t>Predlog stališča Republike Slovenije do Predloga uredbe Sveta o spremembi Uredbe Sveta (EU) 2022/109 o določitvi ribolovnih možnosti za leto 2022 za nekatere staleže rib in skupine staležev rib, ki se uporabljajo za vode Unije in za ribiška plovila Unije v nekaterih vodah zunaj Unije</w:t>
      </w:r>
    </w:p>
    <w:p w14:paraId="3CEA6436" w14:textId="77777777" w:rsidR="00E17633" w:rsidRPr="00E3533D" w:rsidRDefault="00E17633" w:rsidP="00E3533D">
      <w:pPr>
        <w:spacing w:line="240" w:lineRule="auto"/>
        <w:jc w:val="both"/>
        <w:rPr>
          <w:rFonts w:cs="Arial"/>
          <w:b/>
          <w:szCs w:val="20"/>
        </w:rPr>
      </w:pPr>
    </w:p>
    <w:p w14:paraId="071342EA" w14:textId="77777777" w:rsidR="00E17633" w:rsidRPr="00E3533D" w:rsidRDefault="00E17633" w:rsidP="00E3533D">
      <w:pPr>
        <w:spacing w:line="240" w:lineRule="auto"/>
        <w:jc w:val="both"/>
        <w:rPr>
          <w:rFonts w:cs="Arial"/>
          <w:iCs/>
          <w:szCs w:val="20"/>
        </w:rPr>
      </w:pPr>
      <w:r w:rsidRPr="00E3533D">
        <w:rPr>
          <w:rFonts w:cs="Arial"/>
          <w:iCs/>
          <w:szCs w:val="20"/>
        </w:rPr>
        <w:t>Vlada je sprejela stališče k Predlogu uredbe Sveta o spremembi Uredbe Sveta (EU) 2022/109 o določitvi ribolovnih možnosti za leto 2022 za nekatere staleže rib in skupine staležev rib, ki se uporabljajo za vode Unije in za ribiška plovila Unije v nekaterih vodah zunaj Unije.</w:t>
      </w:r>
    </w:p>
    <w:p w14:paraId="08FAAF94" w14:textId="77777777" w:rsidR="00E17633" w:rsidRPr="00E3533D" w:rsidRDefault="00E17633" w:rsidP="00E3533D">
      <w:pPr>
        <w:spacing w:line="240" w:lineRule="auto"/>
        <w:jc w:val="both"/>
        <w:rPr>
          <w:rFonts w:cs="Arial"/>
          <w:iCs/>
          <w:szCs w:val="20"/>
        </w:rPr>
      </w:pPr>
    </w:p>
    <w:p w14:paraId="142E6675" w14:textId="77777777" w:rsidR="00E17633" w:rsidRPr="00E3533D" w:rsidRDefault="00E17633" w:rsidP="00E3533D">
      <w:pPr>
        <w:spacing w:line="240" w:lineRule="auto"/>
        <w:jc w:val="both"/>
        <w:rPr>
          <w:rFonts w:cs="Arial"/>
          <w:iCs/>
          <w:szCs w:val="20"/>
        </w:rPr>
      </w:pPr>
      <w:r w:rsidRPr="00E3533D">
        <w:rPr>
          <w:rFonts w:cs="Arial"/>
          <w:iCs/>
          <w:szCs w:val="20"/>
        </w:rPr>
        <w:t>Republika Slovenija je preučila predlog uredbe in mu ne namerava nasprotovati. Republika Slovenija podpira Predlog uredbe Sveta o spremembi Uredbe Sveta (EU) 2022/109 o določitvi ribolovnih možnosti za leto 2022 za nekatere staleže rib in skupine staležev rib, ki se uporabljajo za vode Unije in za ribiška plovila Unije v nekaterih vodah zunaj Unije.</w:t>
      </w:r>
    </w:p>
    <w:p w14:paraId="531D57FE" w14:textId="77777777" w:rsidR="00E17633" w:rsidRPr="00E3533D" w:rsidRDefault="00E17633" w:rsidP="00E3533D">
      <w:pPr>
        <w:spacing w:line="240" w:lineRule="auto"/>
        <w:jc w:val="both"/>
        <w:rPr>
          <w:rFonts w:cs="Arial"/>
          <w:iCs/>
          <w:szCs w:val="20"/>
        </w:rPr>
      </w:pPr>
    </w:p>
    <w:p w14:paraId="27C57BAC" w14:textId="77777777" w:rsidR="00E17633" w:rsidRPr="00E3533D" w:rsidRDefault="00E17633" w:rsidP="00E3533D">
      <w:pPr>
        <w:spacing w:line="240" w:lineRule="auto"/>
        <w:jc w:val="both"/>
        <w:rPr>
          <w:rFonts w:cs="Arial"/>
          <w:iCs/>
          <w:szCs w:val="20"/>
        </w:rPr>
      </w:pPr>
      <w:r w:rsidRPr="00E3533D">
        <w:rPr>
          <w:rFonts w:cs="Arial"/>
          <w:iCs/>
          <w:szCs w:val="20"/>
        </w:rPr>
        <w:t>Uredba Sveta (EU) 2022/109 s 27. januarja 2022 o določitvi ribolovnih možnosti za leto 2022 za nekatere staleže rib in skupine staležev rib, ki se uporabljajo za vode Unije in za ribiška plovila Unije v nekaterih vodah zunaj Unije določa začasni celotni dovoljeni ulov (TAC) za severne kozice (</w:t>
      </w:r>
      <w:proofErr w:type="spellStart"/>
      <w:r w:rsidRPr="00E3533D">
        <w:rPr>
          <w:rFonts w:cs="Arial"/>
          <w:iCs/>
          <w:szCs w:val="20"/>
        </w:rPr>
        <w:t>Pandalus</w:t>
      </w:r>
      <w:proofErr w:type="spellEnd"/>
      <w:r w:rsidRPr="00E3533D">
        <w:rPr>
          <w:rFonts w:cs="Arial"/>
          <w:iCs/>
          <w:szCs w:val="20"/>
        </w:rPr>
        <w:t xml:space="preserve"> </w:t>
      </w:r>
      <w:proofErr w:type="spellStart"/>
      <w:r w:rsidRPr="00E3533D">
        <w:rPr>
          <w:rFonts w:cs="Arial"/>
          <w:iCs/>
          <w:szCs w:val="20"/>
        </w:rPr>
        <w:t>borealis</w:t>
      </w:r>
      <w:proofErr w:type="spellEnd"/>
      <w:r w:rsidRPr="00E3533D">
        <w:rPr>
          <w:rFonts w:cs="Arial"/>
          <w:iCs/>
          <w:szCs w:val="20"/>
        </w:rPr>
        <w:t>), določa nični TAC za sardona (</w:t>
      </w:r>
      <w:proofErr w:type="spellStart"/>
      <w:r w:rsidRPr="00E3533D">
        <w:rPr>
          <w:rFonts w:cs="Arial"/>
          <w:iCs/>
          <w:szCs w:val="20"/>
        </w:rPr>
        <w:t>Engraulis</w:t>
      </w:r>
      <w:proofErr w:type="spellEnd"/>
      <w:r w:rsidRPr="00E3533D">
        <w:rPr>
          <w:rFonts w:cs="Arial"/>
          <w:iCs/>
          <w:szCs w:val="20"/>
        </w:rPr>
        <w:t xml:space="preserve"> </w:t>
      </w:r>
      <w:proofErr w:type="spellStart"/>
      <w:r w:rsidRPr="00E3533D">
        <w:rPr>
          <w:rFonts w:cs="Arial"/>
          <w:iCs/>
          <w:szCs w:val="20"/>
        </w:rPr>
        <w:t>encrasicolus</w:t>
      </w:r>
      <w:proofErr w:type="spellEnd"/>
      <w:r w:rsidRPr="00E3533D">
        <w:rPr>
          <w:rFonts w:cs="Arial"/>
          <w:iCs/>
          <w:szCs w:val="20"/>
        </w:rPr>
        <w:t xml:space="preserve">) in kvoto za </w:t>
      </w:r>
      <w:proofErr w:type="spellStart"/>
      <w:r w:rsidRPr="00E3533D">
        <w:rPr>
          <w:rFonts w:cs="Arial"/>
          <w:iCs/>
          <w:szCs w:val="20"/>
        </w:rPr>
        <w:lastRenderedPageBreak/>
        <w:t>rumenoplavutega</w:t>
      </w:r>
      <w:proofErr w:type="spellEnd"/>
      <w:r w:rsidRPr="00E3533D">
        <w:rPr>
          <w:rFonts w:cs="Arial"/>
          <w:iCs/>
          <w:szCs w:val="20"/>
        </w:rPr>
        <w:t xml:space="preserve"> tuna (</w:t>
      </w:r>
      <w:proofErr w:type="spellStart"/>
      <w:r w:rsidRPr="00E3533D">
        <w:rPr>
          <w:rFonts w:cs="Arial"/>
          <w:iCs/>
          <w:szCs w:val="20"/>
        </w:rPr>
        <w:t>Thunnus</w:t>
      </w:r>
      <w:proofErr w:type="spellEnd"/>
      <w:r w:rsidRPr="00E3533D">
        <w:rPr>
          <w:rFonts w:cs="Arial"/>
          <w:iCs/>
          <w:szCs w:val="20"/>
        </w:rPr>
        <w:t xml:space="preserve"> </w:t>
      </w:r>
      <w:proofErr w:type="spellStart"/>
      <w:r w:rsidRPr="00E3533D">
        <w:rPr>
          <w:rFonts w:cs="Arial"/>
          <w:iCs/>
          <w:szCs w:val="20"/>
        </w:rPr>
        <w:t>albacares</w:t>
      </w:r>
      <w:proofErr w:type="spellEnd"/>
      <w:r w:rsidRPr="00E3533D">
        <w:rPr>
          <w:rFonts w:cs="Arial"/>
          <w:iCs/>
          <w:szCs w:val="20"/>
        </w:rPr>
        <w:t xml:space="preserve">) za zadevne države članice oz. dokler se zadevne članice ne dogovorijo o končni notranji dodelitvi znotraj Unije. Ko bo izid razprav znan, bodo službe Komisije Svetu predložile delovni dokument, v katerem bodo določene ustrezne ribolovne možnosti. Svet bo nato moral določiti ustrezne ribolovne možnosti, preden se 30. junija 2022 konča obdobje uporabe prvotne dodelitve. </w:t>
      </w:r>
    </w:p>
    <w:p w14:paraId="5E264B80" w14:textId="77777777" w:rsidR="00E17633" w:rsidRPr="00E3533D" w:rsidRDefault="00E17633" w:rsidP="00E3533D">
      <w:pPr>
        <w:spacing w:line="240" w:lineRule="auto"/>
        <w:jc w:val="both"/>
        <w:rPr>
          <w:rFonts w:cs="Arial"/>
          <w:iCs/>
          <w:szCs w:val="20"/>
        </w:rPr>
      </w:pPr>
    </w:p>
    <w:p w14:paraId="7E2B5B6B" w14:textId="77777777" w:rsidR="00E17633" w:rsidRPr="00E3533D" w:rsidRDefault="00E17633" w:rsidP="00E3533D">
      <w:pPr>
        <w:spacing w:line="240" w:lineRule="auto"/>
        <w:jc w:val="both"/>
        <w:rPr>
          <w:rFonts w:cs="Arial"/>
          <w:iCs/>
          <w:szCs w:val="20"/>
        </w:rPr>
      </w:pPr>
      <w:r w:rsidRPr="00E3533D">
        <w:rPr>
          <w:rFonts w:cs="Arial"/>
          <w:iCs/>
          <w:szCs w:val="20"/>
        </w:rPr>
        <w:t>Predlog uredbe sicer ne zadeva slovenskega ribištva.</w:t>
      </w:r>
    </w:p>
    <w:p w14:paraId="605F039E" w14:textId="77777777" w:rsidR="00E17633" w:rsidRPr="00E3533D" w:rsidRDefault="00E17633" w:rsidP="00E3533D">
      <w:pPr>
        <w:spacing w:line="240" w:lineRule="auto"/>
        <w:jc w:val="both"/>
        <w:rPr>
          <w:rFonts w:cs="Arial"/>
          <w:iCs/>
          <w:szCs w:val="20"/>
        </w:rPr>
      </w:pPr>
    </w:p>
    <w:p w14:paraId="381AA608" w14:textId="77777777" w:rsidR="00E17633" w:rsidRPr="00E3533D" w:rsidRDefault="00E17633" w:rsidP="00E3533D">
      <w:pPr>
        <w:spacing w:line="240" w:lineRule="auto"/>
        <w:jc w:val="both"/>
        <w:rPr>
          <w:rFonts w:cs="Arial"/>
          <w:b/>
          <w:iCs/>
          <w:szCs w:val="20"/>
        </w:rPr>
      </w:pPr>
      <w:r w:rsidRPr="00E3533D">
        <w:rPr>
          <w:rFonts w:cs="Arial"/>
          <w:iCs/>
          <w:szCs w:val="20"/>
        </w:rPr>
        <w:t>Vir: Ministrstvo za kmetijstvo, gozdarstvo in prehrano</w:t>
      </w:r>
    </w:p>
    <w:p w14:paraId="71604E61" w14:textId="77777777" w:rsidR="00E17633" w:rsidRPr="00E3533D" w:rsidRDefault="00E17633" w:rsidP="00E3533D">
      <w:pPr>
        <w:spacing w:line="240" w:lineRule="auto"/>
        <w:jc w:val="both"/>
        <w:rPr>
          <w:rFonts w:cs="Arial"/>
          <w:b/>
          <w:szCs w:val="20"/>
        </w:rPr>
      </w:pPr>
    </w:p>
    <w:p w14:paraId="16ABD866" w14:textId="77777777" w:rsidR="00E17633" w:rsidRPr="00E3533D" w:rsidRDefault="00E17633" w:rsidP="00E3533D">
      <w:pPr>
        <w:spacing w:line="240" w:lineRule="auto"/>
        <w:jc w:val="both"/>
        <w:rPr>
          <w:rFonts w:cs="Arial"/>
          <w:szCs w:val="20"/>
        </w:rPr>
      </w:pPr>
    </w:p>
    <w:p w14:paraId="59998FF4" w14:textId="77777777" w:rsidR="00E17633" w:rsidRPr="00E3533D" w:rsidRDefault="00E17633" w:rsidP="00E3533D">
      <w:pPr>
        <w:spacing w:line="240" w:lineRule="auto"/>
        <w:jc w:val="both"/>
        <w:rPr>
          <w:rFonts w:cs="Arial"/>
          <w:b/>
          <w:bCs/>
          <w:szCs w:val="20"/>
        </w:rPr>
      </w:pPr>
      <w:r w:rsidRPr="00E3533D">
        <w:rPr>
          <w:rFonts w:cs="Arial"/>
          <w:b/>
          <w:bCs/>
          <w:szCs w:val="20"/>
        </w:rPr>
        <w:t>Vlada sprejela stališče Republike Slovenije do Predloga uredbe Evropskega parlamenta in Sveta o evropskem zdravstvenem podatkovnem prostoru</w:t>
      </w:r>
    </w:p>
    <w:p w14:paraId="733467BE" w14:textId="77777777" w:rsidR="00E17633" w:rsidRPr="00E3533D" w:rsidRDefault="00E17633" w:rsidP="00E3533D">
      <w:pPr>
        <w:spacing w:line="240" w:lineRule="auto"/>
        <w:jc w:val="both"/>
        <w:rPr>
          <w:rFonts w:cs="Arial"/>
          <w:b/>
          <w:bCs/>
          <w:szCs w:val="20"/>
        </w:rPr>
      </w:pPr>
    </w:p>
    <w:p w14:paraId="3C7CD7A3" w14:textId="77777777" w:rsidR="00E17633" w:rsidRPr="00E3533D" w:rsidRDefault="00E17633" w:rsidP="00E3533D">
      <w:pPr>
        <w:pStyle w:val="Neotevilenodstavek"/>
        <w:spacing w:before="0" w:after="0" w:line="240" w:lineRule="auto"/>
        <w:rPr>
          <w:bCs/>
          <w:iCs/>
          <w:sz w:val="20"/>
          <w:szCs w:val="20"/>
        </w:rPr>
      </w:pPr>
      <w:r w:rsidRPr="00E3533D">
        <w:rPr>
          <w:bCs/>
          <w:iCs/>
          <w:sz w:val="20"/>
          <w:szCs w:val="20"/>
        </w:rPr>
        <w:t xml:space="preserve">Predlog Uredbe Evropskega parlamenta in Sveta o evropskem zdravstvenem podatkovnem prostoru (Uredba) predstavlja poenotenje pravil na notranjem trgu glede izmenjave primarnih ter sekundarnih zdravstvenih podatkov, nadzornih organov, infrastrukture, postopkov in pravic fizičnih oseb. Uredba je v skladu z glavnimi cilji EU.  </w:t>
      </w:r>
    </w:p>
    <w:p w14:paraId="1C696C8C" w14:textId="77777777" w:rsidR="00E17633" w:rsidRPr="00E3533D" w:rsidRDefault="00E17633" w:rsidP="00E3533D">
      <w:pPr>
        <w:pStyle w:val="Neotevilenodstavek"/>
        <w:spacing w:before="0" w:after="0" w:line="240" w:lineRule="auto"/>
        <w:rPr>
          <w:bCs/>
          <w:iCs/>
          <w:sz w:val="20"/>
          <w:szCs w:val="20"/>
        </w:rPr>
      </w:pPr>
    </w:p>
    <w:p w14:paraId="1375F2A8" w14:textId="77777777" w:rsidR="00E17633" w:rsidRPr="00E3533D" w:rsidRDefault="00E17633" w:rsidP="00E3533D">
      <w:pPr>
        <w:pStyle w:val="Neotevilenodstavek"/>
        <w:spacing w:before="0" w:after="0" w:line="240" w:lineRule="auto"/>
        <w:rPr>
          <w:sz w:val="20"/>
          <w:szCs w:val="20"/>
        </w:rPr>
      </w:pPr>
      <w:r w:rsidRPr="00E3533D">
        <w:rPr>
          <w:sz w:val="20"/>
          <w:szCs w:val="20"/>
        </w:rPr>
        <w:t xml:space="preserve">Ta predlog določa številne obveznosti za organe držav članic in same države članice, saj predvideva posebne ukrepe za: </w:t>
      </w:r>
    </w:p>
    <w:p w14:paraId="2EEAC88F" w14:textId="77777777" w:rsidR="00E17633" w:rsidRPr="00E3533D" w:rsidRDefault="00E17633" w:rsidP="00881C19">
      <w:pPr>
        <w:pStyle w:val="Neotevilenodstavek"/>
        <w:numPr>
          <w:ilvl w:val="0"/>
          <w:numId w:val="20"/>
        </w:numPr>
        <w:suppressAutoHyphens/>
        <w:autoSpaceDN/>
        <w:adjustRightInd/>
        <w:spacing w:before="0" w:after="0" w:line="240" w:lineRule="auto"/>
        <w:rPr>
          <w:sz w:val="20"/>
          <w:szCs w:val="20"/>
        </w:rPr>
      </w:pPr>
      <w:r w:rsidRPr="00E3533D">
        <w:rPr>
          <w:sz w:val="20"/>
          <w:szCs w:val="20"/>
        </w:rPr>
        <w:t>ustanovitev ter delovanje nacionalne kontaktne točke, ki bo pristojna za spremljanje in ustrezno izvajanje pravic ter mehanizmov v zvezi z dostopom do podatkov fizičnih oseb,</w:t>
      </w:r>
    </w:p>
    <w:p w14:paraId="001CF244" w14:textId="77777777" w:rsidR="00E17633" w:rsidRPr="00E3533D" w:rsidRDefault="00E17633" w:rsidP="00881C19">
      <w:pPr>
        <w:pStyle w:val="Neotevilenodstavek"/>
        <w:numPr>
          <w:ilvl w:val="0"/>
          <w:numId w:val="20"/>
        </w:numPr>
        <w:suppressAutoHyphens/>
        <w:autoSpaceDN/>
        <w:adjustRightInd/>
        <w:spacing w:before="0" w:after="0" w:line="240" w:lineRule="auto"/>
        <w:rPr>
          <w:sz w:val="20"/>
          <w:szCs w:val="20"/>
        </w:rPr>
      </w:pPr>
      <w:r w:rsidRPr="00E3533D">
        <w:rPr>
          <w:sz w:val="20"/>
          <w:szCs w:val="20"/>
        </w:rPr>
        <w:t xml:space="preserve">ustanovitev sheme certificiranja sistemov za vodenje elektronskih zdravstvenih zapisov in </w:t>
      </w:r>
    </w:p>
    <w:p w14:paraId="7186C5C9" w14:textId="77777777" w:rsidR="00E17633" w:rsidRPr="00E3533D" w:rsidRDefault="00E17633" w:rsidP="00881C19">
      <w:pPr>
        <w:pStyle w:val="Neotevilenodstavek"/>
        <w:numPr>
          <w:ilvl w:val="0"/>
          <w:numId w:val="20"/>
        </w:numPr>
        <w:suppressAutoHyphens/>
        <w:autoSpaceDN/>
        <w:adjustRightInd/>
        <w:spacing w:before="0" w:after="0" w:line="240" w:lineRule="auto"/>
        <w:rPr>
          <w:sz w:val="20"/>
          <w:szCs w:val="20"/>
        </w:rPr>
      </w:pPr>
      <w:r w:rsidRPr="00E3533D">
        <w:rPr>
          <w:sz w:val="20"/>
          <w:szCs w:val="20"/>
        </w:rPr>
        <w:t>ustanovitev organa za dostop do zdravstvenih podatkov za sekundarno uporabo.</w:t>
      </w:r>
    </w:p>
    <w:p w14:paraId="21DFC3C3" w14:textId="77777777" w:rsidR="00881C19" w:rsidRDefault="00881C19" w:rsidP="00E3533D">
      <w:pPr>
        <w:pStyle w:val="Neotevilenodstavek"/>
        <w:spacing w:before="0" w:after="0" w:line="240" w:lineRule="auto"/>
        <w:rPr>
          <w:sz w:val="20"/>
          <w:szCs w:val="20"/>
        </w:rPr>
      </w:pPr>
    </w:p>
    <w:p w14:paraId="5A5E9ADE" w14:textId="429D26A1" w:rsidR="00E17633" w:rsidRPr="00E3533D" w:rsidRDefault="00E17633" w:rsidP="00E3533D">
      <w:pPr>
        <w:pStyle w:val="Neotevilenodstavek"/>
        <w:spacing w:before="0" w:after="0" w:line="240" w:lineRule="auto"/>
        <w:rPr>
          <w:sz w:val="20"/>
          <w:szCs w:val="20"/>
        </w:rPr>
      </w:pPr>
      <w:r w:rsidRPr="00E3533D">
        <w:rPr>
          <w:sz w:val="20"/>
          <w:szCs w:val="20"/>
        </w:rPr>
        <w:t>Republika Slovenija podpira Uredbo, vendar ocenjuje, da bo potrebno v času sprejemanja akta dodatno pozornost nameniti obsegu predloga uredbe z vidika načel subsidiarnosti in sorazmernosti ter posledic, ki jih bo predlog Uredbe v času implementacije prinesel posamezni državi članici. Posebej to velja v smislu potrebnih tehničnih, kadrovskih in finančnih posledic za zdravstvo, ki se že danes srečuje z izzivom zagotavljanja vzdržnosti. Republika Slovenija kot težavo pri implementaciji izpostavlja nekonkurenčnost javnega sektorja pri pridobivanju in zagotavljanju zadostnega števila strokovnjakov z znanji s področja digitalizacije, kibernetske varnosti in obdelave podatkov. V času sprejemanja predloga uredbe bo potrebno pozornost nameniti tudi izostritvi definicij ter zagotoviti, da bo implementacija vsebine predloga Uredbe omogočala tehnološko nevtralnost.</w:t>
      </w:r>
    </w:p>
    <w:p w14:paraId="7A681F9F" w14:textId="77777777" w:rsidR="00E17633" w:rsidRPr="00E3533D" w:rsidRDefault="00E17633" w:rsidP="00E3533D">
      <w:pPr>
        <w:spacing w:line="240" w:lineRule="auto"/>
        <w:jc w:val="both"/>
        <w:rPr>
          <w:rFonts w:cs="Arial"/>
          <w:noProof/>
          <w:szCs w:val="20"/>
        </w:rPr>
      </w:pPr>
    </w:p>
    <w:p w14:paraId="079202F6" w14:textId="77777777" w:rsidR="00E17633" w:rsidRPr="00E3533D" w:rsidRDefault="00E17633" w:rsidP="00E3533D">
      <w:pPr>
        <w:spacing w:line="240" w:lineRule="auto"/>
        <w:jc w:val="both"/>
        <w:rPr>
          <w:rFonts w:cs="Arial"/>
          <w:szCs w:val="20"/>
        </w:rPr>
      </w:pPr>
      <w:r w:rsidRPr="00E3533D">
        <w:rPr>
          <w:rFonts w:cs="Arial"/>
          <w:szCs w:val="20"/>
        </w:rPr>
        <w:t xml:space="preserve">Vir: Ministrstvo za zdravje </w:t>
      </w:r>
    </w:p>
    <w:p w14:paraId="078855F0" w14:textId="77777777" w:rsidR="00E17633" w:rsidRPr="00E3533D" w:rsidRDefault="00E17633" w:rsidP="00E3533D">
      <w:pPr>
        <w:spacing w:line="240" w:lineRule="auto"/>
        <w:jc w:val="both"/>
        <w:rPr>
          <w:rFonts w:cs="Arial"/>
          <w:szCs w:val="20"/>
        </w:rPr>
      </w:pPr>
    </w:p>
    <w:p w14:paraId="14557F01" w14:textId="77777777" w:rsidR="00E17633" w:rsidRPr="00E3533D" w:rsidRDefault="00E17633" w:rsidP="00E3533D">
      <w:pPr>
        <w:spacing w:line="240" w:lineRule="auto"/>
        <w:jc w:val="both"/>
        <w:rPr>
          <w:rFonts w:cs="Arial"/>
          <w:b/>
          <w:iCs/>
          <w:szCs w:val="20"/>
        </w:rPr>
      </w:pPr>
    </w:p>
    <w:p w14:paraId="2EF60049" w14:textId="77777777" w:rsidR="00E17633" w:rsidRPr="00E3533D" w:rsidRDefault="00E17633" w:rsidP="00E3533D">
      <w:pPr>
        <w:spacing w:line="240" w:lineRule="auto"/>
        <w:jc w:val="both"/>
        <w:rPr>
          <w:rFonts w:cs="Arial"/>
          <w:b/>
          <w:iCs/>
          <w:szCs w:val="20"/>
        </w:rPr>
      </w:pPr>
      <w:r w:rsidRPr="00E3533D">
        <w:rPr>
          <w:rFonts w:cs="Arial"/>
          <w:b/>
          <w:iCs/>
          <w:szCs w:val="20"/>
        </w:rPr>
        <w:t xml:space="preserve">Stališče Republike Slovenije o sporočanju </w:t>
      </w:r>
      <w:proofErr w:type="spellStart"/>
      <w:r w:rsidRPr="00E3533D">
        <w:rPr>
          <w:rFonts w:cs="Arial"/>
          <w:b/>
          <w:iCs/>
          <w:szCs w:val="20"/>
        </w:rPr>
        <w:t>okoljskih</w:t>
      </w:r>
      <w:proofErr w:type="spellEnd"/>
      <w:r w:rsidRPr="00E3533D">
        <w:rPr>
          <w:rFonts w:cs="Arial"/>
          <w:b/>
          <w:iCs/>
          <w:szCs w:val="20"/>
        </w:rPr>
        <w:t xml:space="preserve"> podatkov industrijskih obratov in vzpostavitvi portala industrijskih emisij </w:t>
      </w:r>
    </w:p>
    <w:p w14:paraId="2E75CFD4" w14:textId="77777777" w:rsidR="00E17633" w:rsidRPr="00E3533D" w:rsidRDefault="00E17633" w:rsidP="00E3533D">
      <w:pPr>
        <w:spacing w:line="240" w:lineRule="auto"/>
        <w:jc w:val="both"/>
        <w:rPr>
          <w:rFonts w:cs="Arial"/>
          <w:iCs/>
          <w:szCs w:val="20"/>
        </w:rPr>
      </w:pPr>
    </w:p>
    <w:p w14:paraId="78B2D3A6" w14:textId="77777777" w:rsidR="00E17633" w:rsidRPr="00E3533D" w:rsidRDefault="00E17633" w:rsidP="00E3533D">
      <w:pPr>
        <w:spacing w:line="240" w:lineRule="auto"/>
        <w:jc w:val="both"/>
        <w:rPr>
          <w:rFonts w:cs="Arial"/>
          <w:iCs/>
          <w:szCs w:val="20"/>
        </w:rPr>
      </w:pPr>
      <w:r w:rsidRPr="00E3533D">
        <w:rPr>
          <w:rFonts w:cs="Arial"/>
          <w:iCs/>
          <w:szCs w:val="20"/>
        </w:rPr>
        <w:t xml:space="preserve">Vlada je sprejela stališče Republike Slovenije k zadevi Predlog uredbe Evropskega parlamenta in Sveta o sporočanju </w:t>
      </w:r>
      <w:proofErr w:type="spellStart"/>
      <w:r w:rsidRPr="00E3533D">
        <w:rPr>
          <w:rFonts w:cs="Arial"/>
          <w:iCs/>
          <w:szCs w:val="20"/>
        </w:rPr>
        <w:t>okoljskih</w:t>
      </w:r>
      <w:proofErr w:type="spellEnd"/>
      <w:r w:rsidRPr="00E3533D">
        <w:rPr>
          <w:rFonts w:cs="Arial"/>
          <w:iCs/>
          <w:szCs w:val="20"/>
        </w:rPr>
        <w:t xml:space="preserve"> podatkov industrijskih obratov in vzpostavitvi portala industrijskih emisij  (8121/22). </w:t>
      </w:r>
    </w:p>
    <w:p w14:paraId="7F6E8D20" w14:textId="77777777" w:rsidR="00E17633" w:rsidRPr="00E3533D" w:rsidRDefault="00E17633" w:rsidP="00E3533D">
      <w:pPr>
        <w:spacing w:line="240" w:lineRule="auto"/>
        <w:jc w:val="both"/>
        <w:rPr>
          <w:rFonts w:cs="Arial"/>
          <w:iCs/>
          <w:szCs w:val="20"/>
        </w:rPr>
      </w:pPr>
    </w:p>
    <w:p w14:paraId="4F28EE59" w14:textId="77777777" w:rsidR="00E17633" w:rsidRPr="00E3533D" w:rsidRDefault="00E17633" w:rsidP="00E3533D">
      <w:pPr>
        <w:spacing w:line="240" w:lineRule="auto"/>
        <w:jc w:val="both"/>
        <w:rPr>
          <w:rFonts w:cs="Arial"/>
          <w:iCs/>
          <w:szCs w:val="20"/>
        </w:rPr>
      </w:pPr>
      <w:r w:rsidRPr="00E3533D">
        <w:rPr>
          <w:rFonts w:cs="Arial"/>
          <w:iCs/>
          <w:szCs w:val="20"/>
        </w:rPr>
        <w:t xml:space="preserve">Republika Slovenija pozdravlja podan predlog uredbe Evropskega parlamenta in Sveta o poročanju o </w:t>
      </w:r>
      <w:proofErr w:type="spellStart"/>
      <w:r w:rsidRPr="00E3533D">
        <w:rPr>
          <w:rFonts w:cs="Arial"/>
          <w:iCs/>
          <w:szCs w:val="20"/>
        </w:rPr>
        <w:t>okoljskih</w:t>
      </w:r>
      <w:proofErr w:type="spellEnd"/>
      <w:r w:rsidRPr="00E3533D">
        <w:rPr>
          <w:rFonts w:cs="Arial"/>
          <w:iCs/>
          <w:szCs w:val="20"/>
        </w:rPr>
        <w:t xml:space="preserve"> podatkih iz industrijskih naprav in vzpostavitvi portala o industrijskih emisijah (Predlog uredbe), s katerim se pomembno nadgrajuje temelje, ki so bili postavljeni z uredbo Evropskega parlamenta in Sveta (ES) št. 166/2006 z dne 18. januarja 2006 o Evropskem registru izpustov in prenosov onesnaževal.  S predlogom uredbe se bo izboljšala dodana vrednost in dostop javnosti do več in visoko kakovostnih podatkov o izpustih iz industrijskih aktivnosti. </w:t>
      </w:r>
    </w:p>
    <w:p w14:paraId="704CB18F" w14:textId="77777777" w:rsidR="00E17633" w:rsidRPr="00E3533D" w:rsidRDefault="00E17633" w:rsidP="00E3533D">
      <w:pPr>
        <w:spacing w:line="240" w:lineRule="auto"/>
        <w:jc w:val="both"/>
        <w:rPr>
          <w:rFonts w:cs="Arial"/>
          <w:iCs/>
          <w:szCs w:val="20"/>
        </w:rPr>
      </w:pPr>
    </w:p>
    <w:p w14:paraId="4944A400" w14:textId="77777777" w:rsidR="00E17633" w:rsidRPr="00E3533D" w:rsidRDefault="00E17633" w:rsidP="00E3533D">
      <w:pPr>
        <w:spacing w:line="240" w:lineRule="auto"/>
        <w:jc w:val="both"/>
        <w:rPr>
          <w:rFonts w:cs="Arial"/>
          <w:iCs/>
          <w:szCs w:val="20"/>
        </w:rPr>
      </w:pPr>
      <w:r w:rsidRPr="00E3533D">
        <w:rPr>
          <w:rFonts w:cs="Arial"/>
          <w:iCs/>
          <w:szCs w:val="20"/>
        </w:rPr>
        <w:t xml:space="preserve">Glede poročanja  </w:t>
      </w:r>
      <w:proofErr w:type="spellStart"/>
      <w:r w:rsidRPr="00E3533D">
        <w:rPr>
          <w:rFonts w:cs="Arial"/>
          <w:iCs/>
          <w:szCs w:val="20"/>
        </w:rPr>
        <w:t>okoljskih</w:t>
      </w:r>
      <w:proofErr w:type="spellEnd"/>
      <w:r w:rsidRPr="00E3533D">
        <w:rPr>
          <w:rFonts w:cs="Arial"/>
          <w:iCs/>
          <w:szCs w:val="20"/>
        </w:rPr>
        <w:t xml:space="preserve"> podatkov iz industrijskih naprav Slovenija meni,  da bi bilo za uspešno implementacijo, tako za države, kot tudi za upravljavce industrijskih naprav, treba zagotoviti več časa.</w:t>
      </w:r>
    </w:p>
    <w:p w14:paraId="695460F3" w14:textId="77777777" w:rsidR="00E17633" w:rsidRPr="00E3533D" w:rsidRDefault="00E17633" w:rsidP="00E3533D">
      <w:pPr>
        <w:spacing w:line="240" w:lineRule="auto"/>
        <w:jc w:val="both"/>
        <w:rPr>
          <w:rFonts w:cs="Arial"/>
          <w:b/>
          <w:iCs/>
          <w:szCs w:val="20"/>
        </w:rPr>
      </w:pPr>
    </w:p>
    <w:p w14:paraId="65183905" w14:textId="77777777" w:rsidR="00E17633" w:rsidRPr="00E3533D" w:rsidRDefault="00E17633" w:rsidP="00E3533D">
      <w:pPr>
        <w:spacing w:line="240" w:lineRule="auto"/>
        <w:jc w:val="both"/>
        <w:rPr>
          <w:rFonts w:cs="Arial"/>
          <w:bCs/>
          <w:iCs/>
          <w:szCs w:val="20"/>
        </w:rPr>
      </w:pPr>
      <w:r w:rsidRPr="00E3533D">
        <w:rPr>
          <w:rFonts w:cs="Arial"/>
          <w:bCs/>
          <w:iCs/>
          <w:szCs w:val="20"/>
        </w:rPr>
        <w:t>Vir: Ministrstvo za okolje in prostor</w:t>
      </w:r>
    </w:p>
    <w:p w14:paraId="6D50607C" w14:textId="77777777" w:rsidR="00E17633" w:rsidRPr="00E3533D" w:rsidRDefault="00E17633" w:rsidP="00E3533D">
      <w:pPr>
        <w:pStyle w:val="Neotevilenodstavek"/>
        <w:spacing w:before="0" w:after="0" w:line="240" w:lineRule="auto"/>
        <w:rPr>
          <w:bCs/>
          <w:iCs/>
          <w:sz w:val="20"/>
          <w:szCs w:val="20"/>
        </w:rPr>
      </w:pPr>
    </w:p>
    <w:p w14:paraId="70C2C8C1" w14:textId="77777777" w:rsidR="00E17633" w:rsidRPr="00E3533D" w:rsidRDefault="00E17633" w:rsidP="00E3533D">
      <w:pPr>
        <w:spacing w:line="240" w:lineRule="auto"/>
        <w:jc w:val="both"/>
        <w:rPr>
          <w:rFonts w:cs="Arial"/>
          <w:b/>
          <w:szCs w:val="20"/>
        </w:rPr>
      </w:pPr>
      <w:r w:rsidRPr="00E3533D">
        <w:rPr>
          <w:rFonts w:cs="Arial"/>
          <w:b/>
          <w:szCs w:val="20"/>
        </w:rPr>
        <w:t xml:space="preserve">Vlada </w:t>
      </w:r>
      <w:r w:rsidRPr="00E3533D">
        <w:rPr>
          <w:rFonts w:cs="Arial"/>
          <w:b/>
          <w:szCs w:val="20"/>
          <w:lang w:eastAsia="ar-SA"/>
        </w:rPr>
        <w:t xml:space="preserve">je sprejela stališče o evropskem Sporočilu glede privabljanja znanj, spretnosti in talentov v </w:t>
      </w:r>
      <w:r w:rsidRPr="00E3533D">
        <w:rPr>
          <w:rFonts w:cs="Arial"/>
          <w:b/>
          <w:szCs w:val="20"/>
        </w:rPr>
        <w:t xml:space="preserve">EU </w:t>
      </w:r>
    </w:p>
    <w:p w14:paraId="7B9C9523" w14:textId="77777777" w:rsidR="00E17633" w:rsidRPr="00E3533D" w:rsidRDefault="00E17633" w:rsidP="00E3533D">
      <w:pPr>
        <w:spacing w:line="240" w:lineRule="auto"/>
        <w:jc w:val="both"/>
        <w:rPr>
          <w:rFonts w:cs="Arial"/>
          <w:szCs w:val="20"/>
        </w:rPr>
      </w:pPr>
    </w:p>
    <w:p w14:paraId="411257D3" w14:textId="77777777" w:rsidR="00E17633" w:rsidRPr="00E3533D" w:rsidRDefault="00E17633" w:rsidP="00E3533D">
      <w:pPr>
        <w:spacing w:line="240" w:lineRule="auto"/>
        <w:jc w:val="both"/>
        <w:rPr>
          <w:rFonts w:cs="Arial"/>
          <w:iCs/>
          <w:szCs w:val="20"/>
        </w:rPr>
      </w:pPr>
      <w:r w:rsidRPr="00E3533D">
        <w:rPr>
          <w:rFonts w:cs="Arial"/>
          <w:iCs/>
          <w:szCs w:val="20"/>
        </w:rPr>
        <w:t xml:space="preserve">Vlada je sprejela stališče Slovenije, da se strinja s Sporočilom Komisije Evropskemu parlamentu, Svetu, Evropskemu ekonomsko-socialnemu odboru in Odboru regij glede privabljanja znanj, spretnosti in talentov v Evropski uniji.  </w:t>
      </w:r>
    </w:p>
    <w:p w14:paraId="77C01A15" w14:textId="77777777" w:rsidR="00E17633" w:rsidRPr="00E3533D" w:rsidRDefault="00E17633" w:rsidP="00E3533D">
      <w:pPr>
        <w:spacing w:line="240" w:lineRule="auto"/>
        <w:jc w:val="both"/>
        <w:rPr>
          <w:rFonts w:cs="Arial"/>
          <w:iCs/>
          <w:szCs w:val="20"/>
        </w:rPr>
      </w:pPr>
    </w:p>
    <w:p w14:paraId="1FB58F11" w14:textId="77777777" w:rsidR="00E17633" w:rsidRPr="00E3533D" w:rsidRDefault="00E17633" w:rsidP="00E3533D">
      <w:pPr>
        <w:spacing w:line="240" w:lineRule="auto"/>
        <w:jc w:val="both"/>
        <w:rPr>
          <w:rFonts w:cs="Arial"/>
          <w:iCs/>
          <w:szCs w:val="20"/>
        </w:rPr>
      </w:pPr>
      <w:r w:rsidRPr="00E3533D">
        <w:rPr>
          <w:rFonts w:cs="Arial"/>
          <w:iCs/>
          <w:szCs w:val="20"/>
        </w:rPr>
        <w:t xml:space="preserve">Evropska komisija je 29. aprila 2022 objavila sporočilo, v katerem poudarja, da so zakonite migracije bistven del celovitega pristopa k migracijam. Ta je določen v Paktu o migracijah in azilu, ki zagotavlja večjo skladnost med notranjo in zunanjo razsežnostjo migracijskih politik. </w:t>
      </w:r>
    </w:p>
    <w:p w14:paraId="133E4756" w14:textId="77777777" w:rsidR="00E17633" w:rsidRPr="00E3533D" w:rsidRDefault="00E17633" w:rsidP="00E3533D">
      <w:pPr>
        <w:spacing w:line="240" w:lineRule="auto"/>
        <w:jc w:val="both"/>
        <w:rPr>
          <w:rFonts w:cs="Arial"/>
          <w:iCs/>
          <w:szCs w:val="20"/>
        </w:rPr>
      </w:pPr>
    </w:p>
    <w:p w14:paraId="57435EA5" w14:textId="77777777" w:rsidR="00E17633" w:rsidRPr="00E3533D" w:rsidRDefault="00E17633" w:rsidP="00E3533D">
      <w:pPr>
        <w:spacing w:line="240" w:lineRule="auto"/>
        <w:jc w:val="both"/>
        <w:rPr>
          <w:rFonts w:cs="Arial"/>
          <w:iCs/>
          <w:szCs w:val="20"/>
        </w:rPr>
      </w:pPr>
      <w:r w:rsidRPr="00E3533D">
        <w:rPr>
          <w:rFonts w:cs="Arial"/>
          <w:iCs/>
          <w:szCs w:val="20"/>
        </w:rPr>
        <w:t xml:space="preserve">Slovenija med drugim podpira idejo o poenostavitvi postopkov za sprejem delavcev različnih ravni usposobljenosti iz EU in okrepitvi mobilnosti delavcev iz tretjih držav ter istočasni izboljšavi njihovih pravic in zaščite pred izkoriščanjem delovne sile. </w:t>
      </w:r>
    </w:p>
    <w:p w14:paraId="4E92C6D1" w14:textId="77777777" w:rsidR="00E17633" w:rsidRPr="00E3533D" w:rsidRDefault="00E17633" w:rsidP="00E3533D">
      <w:pPr>
        <w:spacing w:line="240" w:lineRule="auto"/>
        <w:jc w:val="both"/>
        <w:rPr>
          <w:rFonts w:cs="Arial"/>
          <w:iCs/>
          <w:szCs w:val="20"/>
        </w:rPr>
      </w:pPr>
    </w:p>
    <w:p w14:paraId="6FE228D3" w14:textId="77777777" w:rsidR="00E17633" w:rsidRPr="00E3533D" w:rsidRDefault="00E17633" w:rsidP="00E3533D">
      <w:pPr>
        <w:spacing w:line="240" w:lineRule="auto"/>
        <w:jc w:val="both"/>
        <w:rPr>
          <w:rFonts w:cs="Arial"/>
          <w:iCs/>
          <w:szCs w:val="20"/>
        </w:rPr>
      </w:pPr>
      <w:r w:rsidRPr="00E3533D">
        <w:rPr>
          <w:rFonts w:cs="Arial"/>
          <w:iCs/>
          <w:szCs w:val="20"/>
        </w:rPr>
        <w:t xml:space="preserve">Podpiramo olajšanje pogojev za pridobitev statusa rezidenta za daljši čas in prizadevanja za  racionalizacijo postopka obravnave vlog po prenovljeni direktivi o enotnem dovoljenju. Podpiramo tudi idejo o vzpostavitvi spletnega portala, preko katerega bi kandidati iz tretjih držav lahko izrazili interes za delo v EU. Z vidika mobilnosti mladih podpiramo programe EU za mobilnost mladih o sklepanju vzajemnih sporazumov ali dogovorov s tretjimi. </w:t>
      </w:r>
    </w:p>
    <w:p w14:paraId="52450BE1" w14:textId="77777777" w:rsidR="00E17633" w:rsidRPr="00E3533D" w:rsidRDefault="00E17633" w:rsidP="00E3533D">
      <w:pPr>
        <w:spacing w:line="240" w:lineRule="auto"/>
        <w:jc w:val="both"/>
        <w:rPr>
          <w:rFonts w:cs="Arial"/>
          <w:iCs/>
          <w:szCs w:val="20"/>
        </w:rPr>
      </w:pPr>
    </w:p>
    <w:p w14:paraId="3DE59FDD" w14:textId="77777777" w:rsidR="00E17633" w:rsidRPr="00E3533D" w:rsidRDefault="00E17633" w:rsidP="00E3533D">
      <w:pPr>
        <w:spacing w:line="240" w:lineRule="auto"/>
        <w:jc w:val="both"/>
        <w:rPr>
          <w:rFonts w:cs="Arial"/>
          <w:szCs w:val="20"/>
        </w:rPr>
      </w:pPr>
      <w:r w:rsidRPr="00E3533D">
        <w:rPr>
          <w:rFonts w:cs="Arial"/>
          <w:szCs w:val="20"/>
        </w:rPr>
        <w:t xml:space="preserve">Vir: Ministrstvo za notranje zadeve </w:t>
      </w:r>
    </w:p>
    <w:p w14:paraId="2D32B50E" w14:textId="77777777" w:rsidR="00E17633" w:rsidRPr="00E3533D" w:rsidRDefault="00E17633" w:rsidP="00E3533D">
      <w:pPr>
        <w:spacing w:line="240" w:lineRule="auto"/>
        <w:jc w:val="both"/>
        <w:rPr>
          <w:rFonts w:cs="Arial"/>
          <w:szCs w:val="20"/>
        </w:rPr>
      </w:pPr>
    </w:p>
    <w:p w14:paraId="0D58B6C7" w14:textId="77777777" w:rsidR="00E17633" w:rsidRPr="00E3533D" w:rsidRDefault="00E17633" w:rsidP="00E3533D">
      <w:pPr>
        <w:spacing w:line="240" w:lineRule="auto"/>
        <w:jc w:val="both"/>
        <w:rPr>
          <w:rFonts w:cs="Arial"/>
          <w:szCs w:val="20"/>
        </w:rPr>
      </w:pPr>
    </w:p>
    <w:p w14:paraId="1F6897DC" w14:textId="77777777" w:rsidR="00E17633" w:rsidRPr="00E3533D" w:rsidRDefault="00E17633" w:rsidP="00E3533D">
      <w:pPr>
        <w:tabs>
          <w:tab w:val="left" w:pos="-1276"/>
        </w:tabs>
        <w:spacing w:line="240" w:lineRule="auto"/>
        <w:jc w:val="both"/>
        <w:rPr>
          <w:rFonts w:eastAsia="Calibri" w:cs="Arial"/>
          <w:b/>
          <w:iCs/>
          <w:szCs w:val="20"/>
          <w:lang w:eastAsia="sl-SI"/>
        </w:rPr>
      </w:pPr>
      <w:r w:rsidRPr="00E3533D">
        <w:rPr>
          <w:rFonts w:eastAsia="Calibri" w:cs="Arial"/>
          <w:b/>
          <w:iCs/>
          <w:szCs w:val="20"/>
          <w:lang w:eastAsia="sl-SI"/>
        </w:rPr>
        <w:t xml:space="preserve">Zakon o ratifikaciji Sporazuma med Vlado Republike Slovenije in Vlado Italijanske republike o solidarnostnih ukrepih za zagotovitev zanesljivosti oskrbe s plinom </w:t>
      </w:r>
    </w:p>
    <w:p w14:paraId="0A9682CE" w14:textId="77777777" w:rsidR="00E17633" w:rsidRPr="00E3533D" w:rsidRDefault="00E17633" w:rsidP="00E3533D">
      <w:pPr>
        <w:tabs>
          <w:tab w:val="left" w:pos="-1276"/>
        </w:tabs>
        <w:spacing w:line="240" w:lineRule="auto"/>
        <w:jc w:val="both"/>
        <w:rPr>
          <w:rFonts w:eastAsia="Calibri" w:cs="Arial"/>
          <w:b/>
          <w:iCs/>
          <w:szCs w:val="20"/>
          <w:lang w:eastAsia="sl-SI"/>
        </w:rPr>
      </w:pPr>
    </w:p>
    <w:p w14:paraId="4B24CEEF"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Vlada je določila besedilo Predloga zakona o ratifikaciji Sporazuma med Vlado Republike Slovenije in Vlado Italijanske republike o solidarnostnih ukrepih za zagotovitev zanesljivosti oskrbe s plinom, ki je bil podpisan v Rimu 22. aprila 2022. Zakon je poslala v obravnavo Državnemu zboru Republike Slovenije.</w:t>
      </w:r>
    </w:p>
    <w:p w14:paraId="5E238635" w14:textId="77777777" w:rsidR="00E17633" w:rsidRPr="00E3533D" w:rsidRDefault="00E17633" w:rsidP="00E3533D">
      <w:pPr>
        <w:tabs>
          <w:tab w:val="left" w:pos="-1276"/>
        </w:tabs>
        <w:spacing w:line="240" w:lineRule="auto"/>
        <w:jc w:val="both"/>
        <w:rPr>
          <w:rFonts w:eastAsia="Calibri" w:cs="Arial"/>
          <w:szCs w:val="20"/>
        </w:rPr>
      </w:pPr>
    </w:p>
    <w:p w14:paraId="13E081DD"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Zakon ureja tehnične, pravne in finančne podlage za izvajanje solidarnostnega mehanizma med državami članicami EU za pomoč pri dobavi plina zaščitenim odjemalcem. Celoten mehanizem solidarnostne pomoči se aktivira kot zadnja možnost države članice, potem ko je izvedla že vse ukrepe za zagotovitev oskrbe svojih zaščitenih odjemalcev, vključno z ukinitvijo dobave plina vsem svojim nezaščitenim odjemalcem.</w:t>
      </w:r>
    </w:p>
    <w:p w14:paraId="26E2B043" w14:textId="77777777" w:rsidR="00E17633" w:rsidRPr="00E3533D" w:rsidRDefault="00E17633" w:rsidP="00E3533D">
      <w:pPr>
        <w:tabs>
          <w:tab w:val="left" w:pos="-1276"/>
        </w:tabs>
        <w:spacing w:line="240" w:lineRule="auto"/>
        <w:jc w:val="both"/>
        <w:rPr>
          <w:rFonts w:eastAsia="Calibri" w:cs="Arial"/>
          <w:szCs w:val="20"/>
        </w:rPr>
      </w:pPr>
    </w:p>
    <w:p w14:paraId="6190BDEC"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Skladno s sporazumom bo država, ki nudi solidarnostno pomoč, po svojih najboljših močeh izvedla ukrepe v svojem plinskem sistemu, da bi lahko ponudila potrebno količino plina za solidarnostno pomoč pri dobavi plina zaščitenim odjemalcem v državi prejemnici. Država prejemnica se lahko odloči, ali določeno ponudbo sprejme ali ne.</w:t>
      </w:r>
    </w:p>
    <w:p w14:paraId="08D300CC" w14:textId="77777777" w:rsidR="00E17633" w:rsidRPr="00E3533D" w:rsidRDefault="00E17633" w:rsidP="00E3533D">
      <w:pPr>
        <w:tabs>
          <w:tab w:val="left" w:pos="-1276"/>
        </w:tabs>
        <w:spacing w:line="240" w:lineRule="auto"/>
        <w:jc w:val="both"/>
        <w:rPr>
          <w:rFonts w:eastAsia="Calibri" w:cs="Arial"/>
          <w:szCs w:val="20"/>
        </w:rPr>
      </w:pPr>
    </w:p>
    <w:p w14:paraId="21D24177" w14:textId="77777777" w:rsidR="00E17633" w:rsidRPr="00E3533D" w:rsidRDefault="00E17633" w:rsidP="00E3533D">
      <w:pPr>
        <w:tabs>
          <w:tab w:val="left" w:pos="-1276"/>
        </w:tabs>
        <w:spacing w:line="240" w:lineRule="auto"/>
        <w:jc w:val="both"/>
        <w:rPr>
          <w:rFonts w:cs="Arial"/>
          <w:szCs w:val="20"/>
        </w:rPr>
      </w:pPr>
      <w:r w:rsidRPr="00E3533D">
        <w:rPr>
          <w:rFonts w:eastAsia="Calibri" w:cs="Arial"/>
          <w:szCs w:val="20"/>
        </w:rPr>
        <w:t>Vir: Ministrstvo za zunanje zadeve</w:t>
      </w:r>
    </w:p>
    <w:p w14:paraId="1A264448" w14:textId="77777777" w:rsidR="00E17633" w:rsidRPr="00E3533D" w:rsidRDefault="00E17633" w:rsidP="00E3533D">
      <w:pPr>
        <w:spacing w:line="240" w:lineRule="auto"/>
        <w:jc w:val="both"/>
        <w:rPr>
          <w:rFonts w:cs="Arial"/>
          <w:szCs w:val="20"/>
        </w:rPr>
      </w:pPr>
    </w:p>
    <w:p w14:paraId="72E28C60" w14:textId="0EE08D0B" w:rsidR="00E17633" w:rsidRPr="00E3533D" w:rsidRDefault="00E17633" w:rsidP="00E3533D">
      <w:pPr>
        <w:spacing w:line="240" w:lineRule="auto"/>
        <w:jc w:val="both"/>
        <w:rPr>
          <w:rFonts w:cs="Arial"/>
          <w:szCs w:val="20"/>
        </w:rPr>
      </w:pPr>
      <w:r w:rsidRPr="00E3533D">
        <w:rPr>
          <w:rFonts w:cs="Arial"/>
          <w:szCs w:val="20"/>
        </w:rPr>
        <w:t xml:space="preserve"> </w:t>
      </w:r>
    </w:p>
    <w:p w14:paraId="783032DC" w14:textId="77777777" w:rsidR="00E17633" w:rsidRPr="00E3533D" w:rsidRDefault="00E17633" w:rsidP="00E3533D">
      <w:pPr>
        <w:spacing w:line="240" w:lineRule="auto"/>
        <w:jc w:val="both"/>
        <w:rPr>
          <w:rFonts w:cs="Arial"/>
          <w:b/>
          <w:bCs/>
          <w:szCs w:val="20"/>
        </w:rPr>
      </w:pPr>
      <w:r w:rsidRPr="00E3533D">
        <w:rPr>
          <w:rFonts w:cs="Arial"/>
          <w:b/>
          <w:bCs/>
          <w:szCs w:val="20"/>
        </w:rPr>
        <w:t>Vlada sprejela mnenje o zahtevi za oceno ustavnosti sprememb državnega proračuna za leto 2022</w:t>
      </w:r>
    </w:p>
    <w:p w14:paraId="6C1C2904" w14:textId="77777777" w:rsidR="00E17633" w:rsidRPr="00E3533D" w:rsidRDefault="00E17633" w:rsidP="00E3533D">
      <w:pPr>
        <w:spacing w:line="240" w:lineRule="auto"/>
        <w:jc w:val="both"/>
        <w:rPr>
          <w:rFonts w:cs="Arial"/>
          <w:b/>
          <w:bCs/>
          <w:szCs w:val="20"/>
        </w:rPr>
      </w:pPr>
    </w:p>
    <w:p w14:paraId="0F5E6B7A"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szCs w:val="20"/>
          <w:lang w:eastAsia="sl-SI"/>
        </w:rPr>
      </w:pPr>
      <w:r w:rsidRPr="00E3533D">
        <w:rPr>
          <w:rFonts w:cs="Arial"/>
          <w:szCs w:val="20"/>
          <w:lang w:eastAsia="sl-SI"/>
        </w:rPr>
        <w:t xml:space="preserve">Vlada je sprejela mnenje o zahtevi za oceno ustavnosti sprememb državnega proračuna za leto 2022 in zakona o izvrševanju proračunov v delu, ki se nanaša na finančne načrte neodvisnih ustavnih organov. Vlada meni, da je pobuda neutemeljena. </w:t>
      </w:r>
    </w:p>
    <w:p w14:paraId="344DE5E3"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szCs w:val="20"/>
          <w:lang w:eastAsia="sl-SI"/>
        </w:rPr>
      </w:pPr>
    </w:p>
    <w:p w14:paraId="2B7902A4"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szCs w:val="20"/>
        </w:rPr>
      </w:pPr>
      <w:r w:rsidRPr="00E3533D">
        <w:rPr>
          <w:rFonts w:cs="Arial"/>
          <w:bCs/>
          <w:szCs w:val="20"/>
          <w:lang w:eastAsia="sl-SI"/>
        </w:rPr>
        <w:t xml:space="preserve">Vlada se je opredelila do zahteve za oceno ustavnosti Sprememb proračuna Republike Slovenije za leto 2022 in 3. člena Zakona o izvrševanju proračunov Republike Slovenije za leti 2022 in 2023 v delu, ki se nanaša na finančne načrte neodvisnih ustavnih organov (Državni svet, Ustavno sodišče, Računsko sodišče in Varuh človekovih pravic). </w:t>
      </w:r>
    </w:p>
    <w:p w14:paraId="5C672ADD"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
          <w:szCs w:val="20"/>
          <w:lang w:eastAsia="sl-SI"/>
        </w:rPr>
      </w:pPr>
    </w:p>
    <w:p w14:paraId="7CE43F97"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Cs/>
          <w:szCs w:val="20"/>
          <w:lang w:eastAsia="sl-SI"/>
        </w:rPr>
      </w:pPr>
      <w:r w:rsidRPr="00E3533D">
        <w:rPr>
          <w:rFonts w:cs="Arial"/>
          <w:bCs/>
          <w:szCs w:val="20"/>
          <w:lang w:eastAsia="sl-SI"/>
        </w:rPr>
        <w:lastRenderedPageBreak/>
        <w:t xml:space="preserve">Vlada poudarja, da 3. člen Zakona o izvrševanju proračunov Republike Slovenije za leti 2022 in 2023 določa zgolj prikaz sestave proračuna, vsebina tega člena pa ne vpliva na določanje obsega sredstev do katerega je posamezen proračunski uporabnik upravičen. Omenjeni člen po mnenju vlade zato ni v neskladju z Ustavo.   </w:t>
      </w:r>
    </w:p>
    <w:p w14:paraId="5B6885DB"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Cs/>
          <w:szCs w:val="20"/>
          <w:lang w:eastAsia="sl-SI"/>
        </w:rPr>
      </w:pPr>
    </w:p>
    <w:p w14:paraId="53E40217"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Cs/>
          <w:szCs w:val="20"/>
          <w:lang w:eastAsia="sl-SI"/>
        </w:rPr>
      </w:pPr>
      <w:r w:rsidRPr="00E3533D">
        <w:rPr>
          <w:rFonts w:cs="Arial"/>
          <w:bCs/>
          <w:szCs w:val="20"/>
          <w:lang w:eastAsia="sl-SI"/>
        </w:rPr>
        <w:t xml:space="preserve">Glede zahteve za oceno ustavnosti sprememb državnega proračuna v delu, ki se nanaša na zmanjšanje obsega sredstev v finančnem načrtu vlagatelja zahteve pa vlada pojasnjuje, da je bil končni obseg sredstev za vlagatelja zahteve določen na 95. redni seji vlade, 29. septembra 2021. Ministrstvo za finance je moralo zmanjšanje sredstev izvršiti na podlagi odločitve vlade, pri tem pa je sredstva zmanjšalo na tistih postavkah, kjer je bilo to mogoče. Ob upoštevanju, da je bila odločitev vlade sprejeta 29. septembra 2022 in ker mora biti državni proračun Državnemu zboru predložen najkasneje do 1. oktobra tekočega leta, usklajevanje s vlagateljem zahteve ni bilo več izvedljivo. </w:t>
      </w:r>
    </w:p>
    <w:p w14:paraId="6D311CE5"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Cs/>
          <w:szCs w:val="20"/>
          <w:lang w:eastAsia="sl-SI"/>
        </w:rPr>
      </w:pPr>
    </w:p>
    <w:p w14:paraId="102E76A7" w14:textId="77777777" w:rsidR="00E17633" w:rsidRPr="00E3533D" w:rsidRDefault="00E17633" w:rsidP="00E3533D">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line="240" w:lineRule="auto"/>
        <w:jc w:val="both"/>
        <w:textAlignment w:val="baseline"/>
        <w:outlineLvl w:val="0"/>
        <w:rPr>
          <w:rFonts w:cs="Arial"/>
          <w:bCs/>
          <w:szCs w:val="20"/>
          <w:lang w:eastAsia="sl-SI"/>
        </w:rPr>
      </w:pPr>
      <w:r w:rsidRPr="00E3533D">
        <w:rPr>
          <w:rFonts w:cs="Arial"/>
          <w:bCs/>
          <w:szCs w:val="20"/>
          <w:lang w:eastAsia="sl-SI"/>
        </w:rPr>
        <w:t xml:space="preserve">Aktualna vlada si bo prizadevala, da do tovrstnih kršitev odločitev Ustavnega sodišča ne bo več prihajalo. V najkrajšem možnem času bo pristopila k pripravi sprememb in dopolnitev Zakona o javnih financah, in sicer na način, ki bo v celoti sledil odločbi Ustavnega sodišča U-I-474/18-17 z dne 20. decembra 2020. </w:t>
      </w:r>
    </w:p>
    <w:p w14:paraId="618AA913" w14:textId="77777777" w:rsidR="00E17633" w:rsidRPr="00E3533D" w:rsidRDefault="00E17633" w:rsidP="00E3533D">
      <w:pPr>
        <w:spacing w:line="240" w:lineRule="auto"/>
        <w:jc w:val="both"/>
        <w:rPr>
          <w:rFonts w:cs="Arial"/>
          <w:szCs w:val="20"/>
        </w:rPr>
      </w:pPr>
    </w:p>
    <w:p w14:paraId="1F8537E3" w14:textId="77777777" w:rsidR="00E17633" w:rsidRPr="00E3533D" w:rsidRDefault="00E17633" w:rsidP="00E3533D">
      <w:pPr>
        <w:spacing w:line="240" w:lineRule="auto"/>
        <w:jc w:val="both"/>
        <w:rPr>
          <w:rFonts w:cs="Arial"/>
          <w:szCs w:val="20"/>
        </w:rPr>
      </w:pPr>
      <w:r w:rsidRPr="00E3533D">
        <w:rPr>
          <w:rFonts w:cs="Arial"/>
          <w:szCs w:val="20"/>
        </w:rPr>
        <w:t xml:space="preserve">Vir: Ministrstvo za finance </w:t>
      </w:r>
    </w:p>
    <w:p w14:paraId="54BDCE37" w14:textId="77777777" w:rsidR="00E17633" w:rsidRPr="00E3533D" w:rsidRDefault="00E17633" w:rsidP="00E3533D">
      <w:pPr>
        <w:spacing w:line="240" w:lineRule="auto"/>
        <w:jc w:val="both"/>
        <w:rPr>
          <w:rFonts w:cs="Arial"/>
          <w:szCs w:val="20"/>
        </w:rPr>
      </w:pPr>
    </w:p>
    <w:p w14:paraId="109CEA27" w14:textId="77777777" w:rsidR="00E17633" w:rsidRPr="00E3533D" w:rsidRDefault="00E17633" w:rsidP="00E3533D">
      <w:pPr>
        <w:spacing w:line="240" w:lineRule="auto"/>
        <w:jc w:val="both"/>
        <w:rPr>
          <w:rFonts w:cs="Arial"/>
          <w:szCs w:val="20"/>
        </w:rPr>
      </w:pPr>
    </w:p>
    <w:p w14:paraId="0EF735AF" w14:textId="31380C90" w:rsidR="002844C5" w:rsidRDefault="002844C5" w:rsidP="00E3533D">
      <w:pPr>
        <w:spacing w:line="240" w:lineRule="auto"/>
        <w:jc w:val="both"/>
        <w:rPr>
          <w:rFonts w:cs="Arial"/>
          <w:b/>
          <w:szCs w:val="20"/>
          <w:lang w:eastAsia="sl-SI"/>
        </w:rPr>
      </w:pPr>
      <w:r w:rsidRPr="00E3533D">
        <w:rPr>
          <w:rFonts w:cs="Arial"/>
          <w:b/>
          <w:szCs w:val="20"/>
          <w:lang w:eastAsia="sl-SI"/>
        </w:rPr>
        <w:t>Vlada določila besedilo Predloga Zakona o nujnih ukrepih za zagotovitev stabilnosti zdravstvenega sistema</w:t>
      </w:r>
    </w:p>
    <w:p w14:paraId="4E46B758" w14:textId="77777777" w:rsidR="001D1076" w:rsidRPr="00E3533D" w:rsidRDefault="001D1076" w:rsidP="00E3533D">
      <w:pPr>
        <w:spacing w:line="240" w:lineRule="auto"/>
        <w:jc w:val="both"/>
        <w:rPr>
          <w:rFonts w:cs="Arial"/>
          <w:szCs w:val="20"/>
        </w:rPr>
      </w:pPr>
    </w:p>
    <w:p w14:paraId="3CD34009" w14:textId="212B253A" w:rsidR="002844C5" w:rsidRDefault="002844C5" w:rsidP="00E3533D">
      <w:pPr>
        <w:overflowPunct w:val="0"/>
        <w:autoSpaceDE w:val="0"/>
        <w:autoSpaceDN w:val="0"/>
        <w:spacing w:line="240" w:lineRule="auto"/>
        <w:jc w:val="both"/>
        <w:textAlignment w:val="baseline"/>
        <w:rPr>
          <w:rFonts w:cs="Arial"/>
          <w:szCs w:val="20"/>
          <w:lang w:eastAsia="sl-SI"/>
        </w:rPr>
      </w:pPr>
      <w:r w:rsidRPr="001D1076">
        <w:rPr>
          <w:rFonts w:cs="Arial"/>
          <w:szCs w:val="20"/>
          <w:lang w:eastAsia="sl-SI"/>
        </w:rPr>
        <w:t>S Predlogom Zakona</w:t>
      </w:r>
      <w:r w:rsidRPr="001D1076">
        <w:rPr>
          <w:rFonts w:cs="Arial"/>
          <w:szCs w:val="20"/>
        </w:rPr>
        <w:t xml:space="preserve"> </w:t>
      </w:r>
      <w:r w:rsidRPr="001D1076">
        <w:rPr>
          <w:rFonts w:cs="Arial"/>
          <w:szCs w:val="20"/>
          <w:lang w:eastAsia="sl-SI"/>
        </w:rPr>
        <w:t>o nujnih ukrepih za zagotovitev stabilnosti  zdravstvenega sistema (Predlog zakona) se odpravlja organizacijske slabosti zdravstvenega sistema in nerazumno dolge čakalne dobe, nastale zlasti zaradi preprečevanja in obvladovanja okužbe z nalezljivo boleznijo COVID-19. Vlada Republike Slovenije (</w:t>
      </w:r>
      <w:r w:rsidR="001D1076">
        <w:rPr>
          <w:rFonts w:cs="Arial"/>
          <w:szCs w:val="20"/>
          <w:lang w:eastAsia="sl-SI"/>
        </w:rPr>
        <w:t>v</w:t>
      </w:r>
      <w:r w:rsidRPr="001D1076">
        <w:rPr>
          <w:rFonts w:cs="Arial"/>
          <w:szCs w:val="20"/>
          <w:lang w:eastAsia="sl-SI"/>
        </w:rPr>
        <w:t>lada) je besedilo Predloga zakona</w:t>
      </w:r>
      <w:r w:rsidRPr="001D1076">
        <w:rPr>
          <w:rFonts w:cs="Arial"/>
          <w:szCs w:val="20"/>
        </w:rPr>
        <w:t xml:space="preserve"> </w:t>
      </w:r>
      <w:r w:rsidRPr="001D1076">
        <w:rPr>
          <w:rFonts w:cs="Arial"/>
          <w:szCs w:val="20"/>
          <w:lang w:eastAsia="sl-SI"/>
        </w:rPr>
        <w:t>poslala v obravnavo Državnemu zboru Republike Slovenije po nujnem postopku.</w:t>
      </w:r>
    </w:p>
    <w:p w14:paraId="58423FE8" w14:textId="77777777" w:rsidR="001D1076" w:rsidRPr="001D1076" w:rsidRDefault="001D1076" w:rsidP="00E3533D">
      <w:pPr>
        <w:overflowPunct w:val="0"/>
        <w:autoSpaceDE w:val="0"/>
        <w:autoSpaceDN w:val="0"/>
        <w:spacing w:line="240" w:lineRule="auto"/>
        <w:jc w:val="both"/>
        <w:textAlignment w:val="baseline"/>
        <w:rPr>
          <w:rFonts w:cs="Arial"/>
          <w:szCs w:val="20"/>
          <w:lang w:eastAsia="sl-SI"/>
        </w:rPr>
      </w:pPr>
    </w:p>
    <w:p w14:paraId="0F4C5B5C" w14:textId="23513B19" w:rsidR="002844C5" w:rsidRDefault="002844C5" w:rsidP="00E3533D">
      <w:pPr>
        <w:overflowPunct w:val="0"/>
        <w:autoSpaceDE w:val="0"/>
        <w:autoSpaceDN w:val="0"/>
        <w:spacing w:line="240" w:lineRule="auto"/>
        <w:jc w:val="both"/>
        <w:textAlignment w:val="baseline"/>
        <w:rPr>
          <w:rFonts w:cs="Arial"/>
          <w:szCs w:val="20"/>
          <w:lang w:eastAsia="sl-SI"/>
        </w:rPr>
      </w:pPr>
      <w:r w:rsidRPr="00E3533D">
        <w:rPr>
          <w:rFonts w:cs="Arial"/>
          <w:szCs w:val="20"/>
          <w:lang w:eastAsia="sl-SI"/>
        </w:rPr>
        <w:t xml:space="preserve">S Predlogom Zakona želi </w:t>
      </w:r>
      <w:r w:rsidR="001D1076">
        <w:rPr>
          <w:rFonts w:cs="Arial"/>
          <w:szCs w:val="20"/>
          <w:lang w:eastAsia="sl-SI"/>
        </w:rPr>
        <w:t>v</w:t>
      </w:r>
      <w:r w:rsidRPr="00E3533D">
        <w:rPr>
          <w:rFonts w:cs="Arial"/>
          <w:szCs w:val="20"/>
          <w:lang w:eastAsia="sl-SI"/>
        </w:rPr>
        <w:t>lada stabilizirati zdravstveni sistem in mrežo (zdravstveni sistem umiriti, in sicer tako na nivoju zdravniške službe, zdravstvene nege in ostalega zdravstvenega osebja) ter pacientom, ki čakajo preko dopustne čakalne dobe, zagotoviti primerno zdravstveno obravnavo. Na podlagi realizacije začasnih ukrepov iz tega zakona, opravljenih analiz, želi pridobiti objektivne podatke o izkoriščenosti zdravstvenega sistema (predvsem z vidika obremenitve zaposlenih).</w:t>
      </w:r>
    </w:p>
    <w:p w14:paraId="045A36C9" w14:textId="77777777" w:rsidR="001D1076" w:rsidRPr="00E3533D" w:rsidRDefault="001D1076" w:rsidP="00E3533D">
      <w:pPr>
        <w:overflowPunct w:val="0"/>
        <w:autoSpaceDE w:val="0"/>
        <w:autoSpaceDN w:val="0"/>
        <w:spacing w:line="240" w:lineRule="auto"/>
        <w:jc w:val="both"/>
        <w:textAlignment w:val="baseline"/>
        <w:rPr>
          <w:rFonts w:cs="Arial"/>
          <w:szCs w:val="20"/>
          <w:lang w:eastAsia="sl-SI"/>
        </w:rPr>
      </w:pPr>
    </w:p>
    <w:p w14:paraId="7F5993D6" w14:textId="7E54E527" w:rsidR="002844C5" w:rsidRDefault="002844C5" w:rsidP="00E3533D">
      <w:pPr>
        <w:overflowPunct w:val="0"/>
        <w:autoSpaceDE w:val="0"/>
        <w:autoSpaceDN w:val="0"/>
        <w:spacing w:line="240" w:lineRule="auto"/>
        <w:jc w:val="both"/>
        <w:textAlignment w:val="baseline"/>
        <w:rPr>
          <w:rFonts w:cs="Arial"/>
          <w:szCs w:val="20"/>
          <w:lang w:eastAsia="sl-SI"/>
        </w:rPr>
      </w:pPr>
      <w:r w:rsidRPr="00E3533D">
        <w:rPr>
          <w:rFonts w:cs="Arial"/>
          <w:szCs w:val="20"/>
          <w:lang w:eastAsia="sl-SI"/>
        </w:rPr>
        <w:t>V luči naštetega Predlog Zakona uvaja posamezne trajne in začasne ukrepe na področju zdravstvene dejavnosti, pacientovih pravic, zdravstvenega varstva in zdravstvenega zavarovanja ter poklicev v zdravstveni dejavnosti.</w:t>
      </w:r>
    </w:p>
    <w:p w14:paraId="19E7F66B" w14:textId="77777777" w:rsidR="001D1076" w:rsidRPr="00E3533D" w:rsidRDefault="001D1076" w:rsidP="00E3533D">
      <w:pPr>
        <w:overflowPunct w:val="0"/>
        <w:autoSpaceDE w:val="0"/>
        <w:autoSpaceDN w:val="0"/>
        <w:spacing w:line="240" w:lineRule="auto"/>
        <w:jc w:val="both"/>
        <w:textAlignment w:val="baseline"/>
        <w:rPr>
          <w:rFonts w:cs="Arial"/>
          <w:szCs w:val="20"/>
          <w:lang w:eastAsia="sl-SI"/>
        </w:rPr>
      </w:pPr>
    </w:p>
    <w:p w14:paraId="2A897A85" w14:textId="72E5140D" w:rsidR="002844C5" w:rsidRDefault="002844C5" w:rsidP="00E3533D">
      <w:pPr>
        <w:overflowPunct w:val="0"/>
        <w:autoSpaceDE w:val="0"/>
        <w:autoSpaceDN w:val="0"/>
        <w:spacing w:line="240" w:lineRule="auto"/>
        <w:jc w:val="both"/>
        <w:textAlignment w:val="baseline"/>
        <w:rPr>
          <w:rFonts w:cs="Arial"/>
          <w:szCs w:val="20"/>
          <w:lang w:eastAsia="sl-SI"/>
        </w:rPr>
      </w:pPr>
      <w:r w:rsidRPr="00E3533D">
        <w:rPr>
          <w:rFonts w:cs="Arial"/>
          <w:szCs w:val="20"/>
          <w:lang w:eastAsia="sl-SI"/>
        </w:rPr>
        <w:t xml:space="preserve">Spreminja se ureditev področja delovanja javnih zdravstvenih zavodov (natančno se definira ustanovitelja, organ, ki uresničuje njegove pravice in obveznosti, ter predlagatelja gradiva, sestava in pristojnosti svetov zavodov, katerih ustanovitelj je Republika Slovenija, področje notranje revizije), in pogoje za zdravstvenega administrativnega sodelavca. Pristojnost za opravljanje upravnega in sistemskega nadzora v zdravstvu ter inšpekcijskega nadzora na področju čakalnih seznamov oziroma čakalnih dob se prenaša na drug državni organ. </w:t>
      </w:r>
    </w:p>
    <w:p w14:paraId="593F24DE" w14:textId="77777777" w:rsidR="001D1076" w:rsidRPr="00E3533D" w:rsidRDefault="001D1076" w:rsidP="00E3533D">
      <w:pPr>
        <w:overflowPunct w:val="0"/>
        <w:autoSpaceDE w:val="0"/>
        <w:autoSpaceDN w:val="0"/>
        <w:spacing w:line="240" w:lineRule="auto"/>
        <w:jc w:val="both"/>
        <w:textAlignment w:val="baseline"/>
        <w:rPr>
          <w:rFonts w:cs="Arial"/>
          <w:szCs w:val="20"/>
          <w:lang w:eastAsia="sl-SI"/>
        </w:rPr>
      </w:pPr>
    </w:p>
    <w:p w14:paraId="772E0ADE" w14:textId="77777777" w:rsidR="002844C5" w:rsidRPr="00E3533D" w:rsidRDefault="002844C5" w:rsidP="00E3533D">
      <w:pPr>
        <w:overflowPunct w:val="0"/>
        <w:autoSpaceDE w:val="0"/>
        <w:autoSpaceDN w:val="0"/>
        <w:spacing w:line="240" w:lineRule="auto"/>
        <w:jc w:val="both"/>
        <w:textAlignment w:val="baseline"/>
        <w:rPr>
          <w:rFonts w:cs="Arial"/>
          <w:szCs w:val="20"/>
          <w:lang w:eastAsia="sl-SI"/>
        </w:rPr>
      </w:pPr>
      <w:r w:rsidRPr="00E3533D">
        <w:rPr>
          <w:rFonts w:cs="Arial"/>
          <w:szCs w:val="20"/>
          <w:lang w:eastAsia="sl-SI"/>
        </w:rPr>
        <w:t>Med ukrepi se določa tudi začasno povečanje obsega programa zdravstvene dejavnosti (za namen skrajševanja in odprave čakalnih dob) ter finančne spodbude za zdravstvene delavce in zdravstvene sodelavce;</w:t>
      </w:r>
    </w:p>
    <w:p w14:paraId="1AC784C1" w14:textId="77777777" w:rsidR="00E17633" w:rsidRPr="00E3533D" w:rsidRDefault="00E17633" w:rsidP="00E3533D">
      <w:pPr>
        <w:spacing w:line="240" w:lineRule="auto"/>
        <w:jc w:val="both"/>
        <w:rPr>
          <w:rFonts w:cs="Arial"/>
          <w:szCs w:val="20"/>
        </w:rPr>
      </w:pPr>
    </w:p>
    <w:p w14:paraId="733C9BE7" w14:textId="77777777" w:rsidR="00E17633" w:rsidRPr="00E3533D" w:rsidRDefault="00E17633" w:rsidP="00E3533D">
      <w:pPr>
        <w:spacing w:line="240" w:lineRule="auto"/>
        <w:jc w:val="both"/>
        <w:rPr>
          <w:rFonts w:cs="Arial"/>
          <w:bCs/>
          <w:color w:val="000000"/>
          <w:szCs w:val="20"/>
          <w:lang w:eastAsia="sl-SI"/>
        </w:rPr>
      </w:pPr>
      <w:r w:rsidRPr="00E3533D">
        <w:rPr>
          <w:rFonts w:cs="Arial"/>
          <w:bCs/>
          <w:color w:val="000000"/>
          <w:szCs w:val="20"/>
          <w:lang w:eastAsia="sl-SI"/>
        </w:rPr>
        <w:t>Vir: Ministrstvo za zdravje</w:t>
      </w:r>
    </w:p>
    <w:p w14:paraId="7735EB2B" w14:textId="77777777" w:rsidR="00E17633" w:rsidRPr="00E3533D" w:rsidRDefault="00E17633" w:rsidP="00E3533D">
      <w:pPr>
        <w:spacing w:line="240" w:lineRule="auto"/>
        <w:jc w:val="both"/>
        <w:rPr>
          <w:rFonts w:cs="Arial"/>
          <w:b/>
          <w:bCs/>
          <w:color w:val="000000"/>
          <w:szCs w:val="20"/>
          <w:lang w:eastAsia="sl-SI"/>
        </w:rPr>
      </w:pPr>
    </w:p>
    <w:p w14:paraId="6A8BD35E" w14:textId="5A4B8AB6" w:rsidR="00E17633" w:rsidRDefault="00E17633" w:rsidP="00E3533D">
      <w:pPr>
        <w:spacing w:line="240" w:lineRule="auto"/>
        <w:jc w:val="both"/>
        <w:rPr>
          <w:rFonts w:cs="Arial"/>
          <w:b/>
          <w:bCs/>
          <w:color w:val="000000"/>
          <w:szCs w:val="20"/>
          <w:lang w:eastAsia="sl-SI"/>
        </w:rPr>
      </w:pPr>
    </w:p>
    <w:p w14:paraId="1F1558BD" w14:textId="10F9FE5D" w:rsidR="00F855BC" w:rsidRDefault="00F855BC" w:rsidP="00E3533D">
      <w:pPr>
        <w:spacing w:line="240" w:lineRule="auto"/>
        <w:jc w:val="both"/>
        <w:rPr>
          <w:rFonts w:cs="Arial"/>
          <w:b/>
          <w:bCs/>
          <w:color w:val="000000"/>
          <w:szCs w:val="20"/>
          <w:lang w:eastAsia="sl-SI"/>
        </w:rPr>
      </w:pPr>
    </w:p>
    <w:p w14:paraId="619FF5FF" w14:textId="50AD2B07" w:rsidR="00F855BC" w:rsidRDefault="00F855BC" w:rsidP="00E3533D">
      <w:pPr>
        <w:spacing w:line="240" w:lineRule="auto"/>
        <w:jc w:val="both"/>
        <w:rPr>
          <w:rFonts w:cs="Arial"/>
          <w:b/>
          <w:bCs/>
          <w:color w:val="000000"/>
          <w:szCs w:val="20"/>
          <w:lang w:eastAsia="sl-SI"/>
        </w:rPr>
      </w:pPr>
    </w:p>
    <w:p w14:paraId="1E587AE5" w14:textId="77777777" w:rsidR="00F855BC" w:rsidRPr="00E3533D" w:rsidRDefault="00F855BC" w:rsidP="00E3533D">
      <w:pPr>
        <w:spacing w:line="240" w:lineRule="auto"/>
        <w:jc w:val="both"/>
        <w:rPr>
          <w:rFonts w:cs="Arial"/>
          <w:b/>
          <w:bCs/>
          <w:color w:val="000000"/>
          <w:szCs w:val="20"/>
          <w:lang w:eastAsia="sl-SI"/>
        </w:rPr>
      </w:pPr>
    </w:p>
    <w:p w14:paraId="67F1486A" w14:textId="77777777" w:rsidR="002844C5" w:rsidRPr="00E3533D" w:rsidRDefault="002844C5" w:rsidP="00E3533D">
      <w:pPr>
        <w:spacing w:line="240" w:lineRule="auto"/>
        <w:jc w:val="both"/>
        <w:rPr>
          <w:rFonts w:cs="Arial"/>
          <w:szCs w:val="20"/>
        </w:rPr>
      </w:pPr>
      <w:r w:rsidRPr="00E3533D">
        <w:rPr>
          <w:rFonts w:cs="Arial"/>
          <w:b/>
          <w:szCs w:val="20"/>
          <w:lang w:eastAsia="sl-SI"/>
        </w:rPr>
        <w:lastRenderedPageBreak/>
        <w:t>Vlada določila besedilo Predloga sklepa o nedopustnosti razpisa zakonodajnega referenduma o Zakonu o nujnih ukrepih za zagotovitev stabilnosti zdravstvenega sistema</w:t>
      </w:r>
    </w:p>
    <w:p w14:paraId="5F92B60C" w14:textId="77777777" w:rsidR="001D1076" w:rsidRDefault="001D1076" w:rsidP="00E3533D">
      <w:pPr>
        <w:overflowPunct w:val="0"/>
        <w:autoSpaceDE w:val="0"/>
        <w:autoSpaceDN w:val="0"/>
        <w:spacing w:line="240" w:lineRule="auto"/>
        <w:jc w:val="both"/>
        <w:textAlignment w:val="baseline"/>
        <w:rPr>
          <w:rFonts w:cs="Arial"/>
          <w:b/>
          <w:bCs/>
          <w:szCs w:val="20"/>
          <w:lang w:eastAsia="sl-SI"/>
        </w:rPr>
      </w:pPr>
    </w:p>
    <w:p w14:paraId="2E74052B" w14:textId="415761AA" w:rsidR="002844C5" w:rsidRDefault="002844C5" w:rsidP="00E3533D">
      <w:pPr>
        <w:overflowPunct w:val="0"/>
        <w:autoSpaceDE w:val="0"/>
        <w:autoSpaceDN w:val="0"/>
        <w:spacing w:line="240" w:lineRule="auto"/>
        <w:jc w:val="both"/>
        <w:textAlignment w:val="baseline"/>
        <w:rPr>
          <w:rFonts w:cs="Arial"/>
          <w:szCs w:val="20"/>
          <w:lang w:eastAsia="sl-SI"/>
        </w:rPr>
      </w:pPr>
      <w:r w:rsidRPr="001D1076">
        <w:rPr>
          <w:rFonts w:cs="Arial"/>
          <w:szCs w:val="20"/>
          <w:lang w:eastAsia="sl-SI"/>
        </w:rPr>
        <w:t>Vlada Državnemu zboru Republike Slovenije (DZ) v skladu s prvim odstavkom 21.a člena Zakona o referendumu in o ljudski iniciativi (ZRLI) predlaga sprejem sklepa o nedopustnosti razpisa zakonodajnega referenduma o Zakonu o nujnih ukrepih za zagotovitev stabilnosti  zdravstvenega sistema (ZIUPDV). Vlada je besedilo Zakona</w:t>
      </w:r>
      <w:r w:rsidRPr="001D1076">
        <w:rPr>
          <w:rFonts w:cs="Arial"/>
          <w:szCs w:val="20"/>
        </w:rPr>
        <w:t xml:space="preserve"> </w:t>
      </w:r>
      <w:r w:rsidRPr="001D1076">
        <w:rPr>
          <w:rFonts w:cs="Arial"/>
          <w:szCs w:val="20"/>
          <w:lang w:eastAsia="sl-SI"/>
        </w:rPr>
        <w:t>poslala v obravnavo DZ po nujnem postopku.</w:t>
      </w:r>
    </w:p>
    <w:p w14:paraId="504A8CB3" w14:textId="77777777" w:rsidR="001D1076" w:rsidRPr="001D1076" w:rsidRDefault="001D1076" w:rsidP="00E3533D">
      <w:pPr>
        <w:overflowPunct w:val="0"/>
        <w:autoSpaceDE w:val="0"/>
        <w:autoSpaceDN w:val="0"/>
        <w:spacing w:line="240" w:lineRule="auto"/>
        <w:jc w:val="both"/>
        <w:textAlignment w:val="baseline"/>
        <w:rPr>
          <w:rFonts w:cs="Arial"/>
          <w:szCs w:val="20"/>
          <w:lang w:eastAsia="sl-SI"/>
        </w:rPr>
      </w:pPr>
    </w:p>
    <w:p w14:paraId="33F7035C" w14:textId="77777777" w:rsidR="002844C5" w:rsidRPr="00E3533D" w:rsidRDefault="002844C5" w:rsidP="00E3533D">
      <w:p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Prva alineja drugega odstavka 90. člena Ustave Republike Slovenije (Ustava) določa, da referenduma ni dopustno razpisati o zakonih o nujnih ukrepih za zagotovitev obrambe države, varnosti ali odprave posledic naravnih nesreč. ZIUPDV glede katerega je Vlada skladu z Ustavo in ZRLI DZ predlagala sprejetje sklepa o ugotovitvi nedopustnosti zakonodajnega referenduma, dodatno blaži in odpravlja posledice naravne nesreče epidemije nalezljive bolezni COVID-19 na področju zdravstva. V skladu z 8. členom Zakona o varstvu pred naravnimi in drugimi nesrečami se za naravno nesrečo šteje tudi množičen pojav nalezljive bolezni.</w:t>
      </w:r>
    </w:p>
    <w:p w14:paraId="2648B7DD" w14:textId="77777777" w:rsidR="002844C5" w:rsidRPr="00E3533D" w:rsidRDefault="002844C5" w:rsidP="00E3533D">
      <w:pPr>
        <w:overflowPunct w:val="0"/>
        <w:autoSpaceDE w:val="0"/>
        <w:autoSpaceDN w:val="0"/>
        <w:adjustRightInd w:val="0"/>
        <w:spacing w:line="240" w:lineRule="auto"/>
        <w:jc w:val="both"/>
        <w:textAlignment w:val="baseline"/>
        <w:rPr>
          <w:rFonts w:cs="Arial"/>
          <w:szCs w:val="20"/>
          <w:lang w:eastAsia="sl-SI"/>
        </w:rPr>
      </w:pPr>
    </w:p>
    <w:p w14:paraId="4EC27226" w14:textId="570495FA" w:rsidR="002844C5" w:rsidRDefault="002844C5" w:rsidP="00E3533D">
      <w:pPr>
        <w:overflowPunct w:val="0"/>
        <w:autoSpaceDE w:val="0"/>
        <w:autoSpaceDN w:val="0"/>
        <w:spacing w:line="240" w:lineRule="auto"/>
        <w:jc w:val="both"/>
        <w:textAlignment w:val="baseline"/>
        <w:rPr>
          <w:rFonts w:cs="Arial"/>
          <w:szCs w:val="20"/>
          <w:lang w:eastAsia="sl-SI"/>
        </w:rPr>
      </w:pPr>
      <w:r w:rsidRPr="00E3533D">
        <w:rPr>
          <w:rFonts w:cs="Arial"/>
          <w:szCs w:val="20"/>
          <w:lang w:eastAsia="sl-SI"/>
        </w:rPr>
        <w:t>S predlogom ZIUPDV želi Vlada</w:t>
      </w:r>
      <w:r w:rsidRPr="00E3533D">
        <w:rPr>
          <w:rFonts w:cs="Arial"/>
          <w:szCs w:val="20"/>
        </w:rPr>
        <w:t xml:space="preserve"> </w:t>
      </w:r>
      <w:r w:rsidRPr="00E3533D">
        <w:rPr>
          <w:rFonts w:cs="Arial"/>
          <w:szCs w:val="20"/>
          <w:lang w:eastAsia="sl-SI"/>
        </w:rPr>
        <w:t>odpraviti organizacijske slabosti zdravstvenega sistema in nerazumno dolge čakalne dobe, nastale zlasti zaradi preprečevanja in obvladovanja okužbe z nalezljivo boleznijo COVID-19. Zagotoviti želi tudi zadostne zmogljivosti (kader, oprema, prostor) za stabilno delovanje zdravstvenega sistema, prebivalstvu Republike Slovenije pa zagotoviti enakopravno, primerno, kakovostno in varno zdravstveno obravnavo. V luči naštetega ZIUPDV uvaja posamezne trajne in začasne ukrepe na področju zdravstvene dejavnosti, pacientovih pravic, zdravstvenega varstva in zdravstvenega zavarovanja ter poklicev v zdravstveni dejavnosti.</w:t>
      </w:r>
    </w:p>
    <w:p w14:paraId="65FA87B0" w14:textId="77777777" w:rsidR="001D1076" w:rsidRPr="00E3533D" w:rsidRDefault="001D1076" w:rsidP="00E3533D">
      <w:pPr>
        <w:overflowPunct w:val="0"/>
        <w:autoSpaceDE w:val="0"/>
        <w:autoSpaceDN w:val="0"/>
        <w:spacing w:line="240" w:lineRule="auto"/>
        <w:jc w:val="both"/>
        <w:textAlignment w:val="baseline"/>
        <w:rPr>
          <w:rFonts w:cs="Arial"/>
          <w:b/>
          <w:bCs/>
          <w:szCs w:val="20"/>
          <w:lang w:eastAsia="sl-SI"/>
        </w:rPr>
      </w:pPr>
    </w:p>
    <w:p w14:paraId="2642818A" w14:textId="77777777" w:rsidR="00E17633" w:rsidRPr="00E3533D" w:rsidRDefault="00E17633" w:rsidP="00E3533D">
      <w:pPr>
        <w:spacing w:line="240" w:lineRule="auto"/>
        <w:jc w:val="both"/>
        <w:rPr>
          <w:rFonts w:cs="Arial"/>
          <w:bCs/>
          <w:color w:val="000000"/>
          <w:szCs w:val="20"/>
          <w:lang w:eastAsia="sl-SI"/>
        </w:rPr>
      </w:pPr>
      <w:r w:rsidRPr="00E3533D">
        <w:rPr>
          <w:rFonts w:cs="Arial"/>
          <w:bCs/>
          <w:color w:val="000000"/>
          <w:szCs w:val="20"/>
          <w:lang w:eastAsia="sl-SI"/>
        </w:rPr>
        <w:t>Vir: Ministrstvo za zdravje</w:t>
      </w:r>
    </w:p>
    <w:p w14:paraId="607042F4" w14:textId="77777777" w:rsidR="00E17633" w:rsidRPr="00E3533D" w:rsidRDefault="00E17633" w:rsidP="00E3533D">
      <w:pPr>
        <w:spacing w:line="240" w:lineRule="auto"/>
        <w:jc w:val="both"/>
        <w:rPr>
          <w:rFonts w:cs="Arial"/>
          <w:szCs w:val="20"/>
        </w:rPr>
      </w:pPr>
    </w:p>
    <w:p w14:paraId="4DC570D8" w14:textId="77777777" w:rsidR="00E17633" w:rsidRPr="00E3533D" w:rsidRDefault="00E17633" w:rsidP="00E3533D">
      <w:pPr>
        <w:spacing w:line="240" w:lineRule="auto"/>
        <w:jc w:val="both"/>
        <w:rPr>
          <w:rFonts w:cs="Arial"/>
          <w:szCs w:val="20"/>
        </w:rPr>
      </w:pPr>
    </w:p>
    <w:p w14:paraId="2A86DF05" w14:textId="77777777" w:rsidR="00E17633" w:rsidRPr="00E3533D" w:rsidRDefault="00E17633" w:rsidP="00E3533D">
      <w:pPr>
        <w:spacing w:line="240" w:lineRule="auto"/>
        <w:jc w:val="both"/>
        <w:rPr>
          <w:rFonts w:cs="Arial"/>
          <w:b/>
          <w:iCs/>
          <w:szCs w:val="20"/>
        </w:rPr>
      </w:pPr>
      <w:r w:rsidRPr="00E3533D">
        <w:rPr>
          <w:rFonts w:cs="Arial"/>
          <w:b/>
          <w:iCs/>
          <w:szCs w:val="20"/>
        </w:rPr>
        <w:t>Vlada kmetov namenila več kot 2 milijona evrov zaradi visokih cen energentov, ki se porabijo za kmetijsko mehanizacijo</w:t>
      </w:r>
    </w:p>
    <w:p w14:paraId="4718FB75" w14:textId="04D62731" w:rsidR="00E17633" w:rsidRPr="00E3533D" w:rsidRDefault="00E17633" w:rsidP="00E3533D">
      <w:pPr>
        <w:spacing w:line="240" w:lineRule="auto"/>
        <w:jc w:val="both"/>
        <w:rPr>
          <w:rFonts w:cs="Arial"/>
          <w:b/>
          <w:szCs w:val="20"/>
        </w:rPr>
      </w:pPr>
    </w:p>
    <w:p w14:paraId="2473A401" w14:textId="77777777" w:rsidR="00E17633" w:rsidRPr="001D1076" w:rsidRDefault="00E17633" w:rsidP="00E3533D">
      <w:pPr>
        <w:pStyle w:val="Oddelek"/>
        <w:widowControl w:val="0"/>
        <w:numPr>
          <w:ilvl w:val="0"/>
          <w:numId w:val="0"/>
        </w:numPr>
        <w:spacing w:before="0" w:after="0" w:line="240" w:lineRule="auto"/>
        <w:jc w:val="both"/>
        <w:rPr>
          <w:b w:val="0"/>
          <w:sz w:val="20"/>
          <w:szCs w:val="20"/>
        </w:rPr>
      </w:pPr>
      <w:r w:rsidRPr="001D1076">
        <w:rPr>
          <w:b w:val="0"/>
          <w:color w:val="000000"/>
          <w:sz w:val="20"/>
          <w:szCs w:val="20"/>
        </w:rPr>
        <w:t xml:space="preserve">Vlada je izdala Odlok o finančnem nadomestilu zaradi visokih cen energentov, ki se porabijo za kmetijsko mehanizacijo, in ga objavi v Uradnem listu RS. </w:t>
      </w:r>
      <w:r w:rsidRPr="001D1076">
        <w:rPr>
          <w:b w:val="0"/>
          <w:iCs/>
          <w:sz w:val="20"/>
          <w:szCs w:val="20"/>
        </w:rPr>
        <w:t xml:space="preserve">Odlok določa upravičence, pogoje in postopke za dodelitev finančnega nadomestila upravičencem za nadomestilo stroškov zaradi dviga cen energentov, ki se porabijo za kmetijsko mehanizacijo. </w:t>
      </w:r>
      <w:r w:rsidRPr="001D1076">
        <w:rPr>
          <w:b w:val="0"/>
          <w:sz w:val="20"/>
          <w:szCs w:val="20"/>
        </w:rPr>
        <w:t>Sredstva iz tega odloka se dodelijo v skladu s Sporočilom Komisije Začasni okvir za krizne ukrepe državne pomoči v podporo gospodarstvu po agresiji Rusije proti Ukrajini, in sicer iz proračuna RS v višini 2,161 milijona evrov.</w:t>
      </w:r>
    </w:p>
    <w:p w14:paraId="03676E71" w14:textId="77777777" w:rsidR="00E17633" w:rsidRPr="001D1076" w:rsidRDefault="00E17633" w:rsidP="00E3533D">
      <w:pPr>
        <w:suppressAutoHyphens/>
        <w:overflowPunct w:val="0"/>
        <w:autoSpaceDE w:val="0"/>
        <w:autoSpaceDN w:val="0"/>
        <w:adjustRightInd w:val="0"/>
        <w:spacing w:line="240" w:lineRule="auto"/>
        <w:jc w:val="both"/>
        <w:textAlignment w:val="baseline"/>
        <w:rPr>
          <w:rFonts w:cs="Arial"/>
          <w:iCs/>
          <w:szCs w:val="20"/>
        </w:rPr>
      </w:pPr>
      <w:r w:rsidRPr="001D1076">
        <w:rPr>
          <w:rFonts w:cs="Arial"/>
          <w:szCs w:val="20"/>
          <w:lang w:eastAsia="sl-SI"/>
        </w:rPr>
        <w:t xml:space="preserve"> </w:t>
      </w:r>
    </w:p>
    <w:p w14:paraId="3204A1BE" w14:textId="77777777" w:rsidR="00E17633" w:rsidRPr="001D1076" w:rsidRDefault="00E17633" w:rsidP="00E3533D">
      <w:pPr>
        <w:pStyle w:val="Neotevilenodstavek"/>
        <w:spacing w:before="0" w:after="0" w:line="240" w:lineRule="auto"/>
        <w:rPr>
          <w:iCs/>
          <w:sz w:val="20"/>
          <w:szCs w:val="20"/>
        </w:rPr>
      </w:pPr>
      <w:r w:rsidRPr="001D1076">
        <w:rPr>
          <w:iCs/>
          <w:sz w:val="20"/>
          <w:szCs w:val="20"/>
        </w:rPr>
        <w:t>Kmetijski sektor je namreč zaradi ruske agresije na Ukrajino utrpel hude posledice, saj visoke cene energije in energentov vplivajo na povečanje proizvodnih stroškov, ki imajo za posledico tudi dvig cen energentov, ki se porabijo za kmetijsko mehanizacijo.</w:t>
      </w:r>
    </w:p>
    <w:p w14:paraId="76BDD4CE" w14:textId="77777777" w:rsidR="00E17633" w:rsidRPr="001D1076" w:rsidRDefault="00E17633" w:rsidP="00E3533D">
      <w:pPr>
        <w:overflowPunct w:val="0"/>
        <w:autoSpaceDE w:val="0"/>
        <w:autoSpaceDN w:val="0"/>
        <w:adjustRightInd w:val="0"/>
        <w:spacing w:line="240" w:lineRule="auto"/>
        <w:jc w:val="both"/>
        <w:textAlignment w:val="baseline"/>
        <w:rPr>
          <w:rFonts w:cs="Arial"/>
          <w:iCs/>
          <w:szCs w:val="20"/>
          <w:lang w:val="x-none" w:eastAsia="x-none"/>
        </w:rPr>
      </w:pPr>
    </w:p>
    <w:p w14:paraId="6B99DA6B" w14:textId="77777777" w:rsidR="00E17633" w:rsidRPr="001D1076" w:rsidRDefault="00E17633" w:rsidP="00E3533D">
      <w:pPr>
        <w:overflowPunct w:val="0"/>
        <w:autoSpaceDE w:val="0"/>
        <w:autoSpaceDN w:val="0"/>
        <w:adjustRightInd w:val="0"/>
        <w:spacing w:line="240" w:lineRule="auto"/>
        <w:jc w:val="both"/>
        <w:textAlignment w:val="baseline"/>
        <w:rPr>
          <w:rFonts w:cs="Arial"/>
          <w:iCs/>
          <w:szCs w:val="20"/>
        </w:rPr>
      </w:pPr>
      <w:r w:rsidRPr="001D1076">
        <w:rPr>
          <w:rFonts w:cs="Arial"/>
          <w:iCs/>
          <w:szCs w:val="20"/>
        </w:rPr>
        <w:t xml:space="preserve">Upravičenci do finančnega nadomestila po tem odloku so </w:t>
      </w:r>
      <w:r w:rsidRPr="001D1076">
        <w:rPr>
          <w:rFonts w:cs="Arial"/>
          <w:szCs w:val="20"/>
          <w:lang w:eastAsia="sl-SI"/>
        </w:rPr>
        <w:t>nosilci tistih kmetijskih gospodarstev, ki so nekrivdno zašla v težak finančni položaj zaradi visokih cen energentov.</w:t>
      </w:r>
    </w:p>
    <w:p w14:paraId="085D372E" w14:textId="77777777" w:rsidR="00E17633" w:rsidRPr="001D1076" w:rsidRDefault="00E17633" w:rsidP="00E3533D">
      <w:pPr>
        <w:spacing w:line="240" w:lineRule="auto"/>
        <w:jc w:val="both"/>
        <w:rPr>
          <w:rFonts w:cs="Arial"/>
          <w:szCs w:val="20"/>
          <w:lang w:eastAsia="sl-SI"/>
        </w:rPr>
      </w:pPr>
    </w:p>
    <w:p w14:paraId="7B1AA05F" w14:textId="77777777" w:rsidR="00E17633" w:rsidRPr="001D1076" w:rsidRDefault="00E17633" w:rsidP="00E3533D">
      <w:pPr>
        <w:spacing w:line="240" w:lineRule="auto"/>
        <w:jc w:val="both"/>
        <w:rPr>
          <w:rFonts w:cs="Arial"/>
          <w:szCs w:val="20"/>
          <w:lang w:eastAsia="sl-SI"/>
        </w:rPr>
      </w:pPr>
      <w:r w:rsidRPr="001D1076">
        <w:rPr>
          <w:rFonts w:cs="Arial"/>
          <w:szCs w:val="20"/>
          <w:lang w:eastAsia="sl-SI"/>
        </w:rPr>
        <w:t>Podrobnejši pogoji upravičenca za pridobitev finančnega nadomestila:</w:t>
      </w:r>
    </w:p>
    <w:p w14:paraId="47875359" w14:textId="1B8CA37B" w:rsidR="00E17633" w:rsidRPr="00E3533D" w:rsidRDefault="00E17633" w:rsidP="00881C19">
      <w:pPr>
        <w:pStyle w:val="Odstavekseznama"/>
        <w:numPr>
          <w:ilvl w:val="0"/>
          <w:numId w:val="21"/>
        </w:numPr>
        <w:spacing w:line="240" w:lineRule="auto"/>
        <w:jc w:val="both"/>
        <w:rPr>
          <w:rFonts w:cs="Arial"/>
          <w:szCs w:val="20"/>
          <w:lang w:eastAsia="sl-SI"/>
        </w:rPr>
      </w:pPr>
      <w:r w:rsidRPr="00E3533D">
        <w:rPr>
          <w:rFonts w:cs="Arial"/>
          <w:iCs/>
          <w:szCs w:val="20"/>
        </w:rPr>
        <w:t>fizična ali pravna oseba, ki opravlja kmetijsko dejavnost na ozemlju Republike Slovenije ter je bil za leto 2021 upravičen do vračila trošarine za energente, ki se dokazljivo porabijo za kmetijsko mehanizacijo, kot je to opredeljeno v Zakonu o trošarinah ter  Pravilniku o načinu vračila trošarine za energente, ki se porabijo za kmetijsko in gozdarsko mehanizacijo</w:t>
      </w:r>
      <w:r w:rsidR="001D1076">
        <w:rPr>
          <w:rFonts w:cs="Arial"/>
          <w:iCs/>
          <w:szCs w:val="20"/>
        </w:rPr>
        <w:t xml:space="preserve">; </w:t>
      </w:r>
      <w:r w:rsidRPr="00E3533D">
        <w:rPr>
          <w:rFonts w:cs="Arial"/>
          <w:szCs w:val="20"/>
          <w:lang w:eastAsia="sl-SI"/>
        </w:rPr>
        <w:t xml:space="preserve">da je v letu 2022 oddal zbirno vlogo v skladu s predpisom, ki ureja izvedbo ukrepov kmetijske politike za leto 2022; </w:t>
      </w:r>
    </w:p>
    <w:p w14:paraId="2D955A78" w14:textId="77777777" w:rsidR="00E17633" w:rsidRPr="00E3533D" w:rsidRDefault="00E17633" w:rsidP="00881C19">
      <w:pPr>
        <w:numPr>
          <w:ilvl w:val="0"/>
          <w:numId w:val="21"/>
        </w:num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ima v zbirni vlogi prijavljena zemljišča dejanske rabe grafične enote rabe zemljišča kmetijskega gospodarstva v skladu s predpisom, ki ureja register kmetijskih gospodarstev;</w:t>
      </w:r>
    </w:p>
    <w:p w14:paraId="55BC7EF7" w14:textId="77777777" w:rsidR="00E17633" w:rsidRPr="00E3533D" w:rsidRDefault="00E17633" w:rsidP="00881C19">
      <w:pPr>
        <w:numPr>
          <w:ilvl w:val="0"/>
          <w:numId w:val="21"/>
        </w:numPr>
        <w:spacing w:line="240" w:lineRule="auto"/>
        <w:jc w:val="both"/>
        <w:rPr>
          <w:rFonts w:cs="Arial"/>
          <w:szCs w:val="20"/>
          <w:lang w:eastAsia="sl-SI"/>
        </w:rPr>
      </w:pPr>
      <w:r w:rsidRPr="00E3533D">
        <w:rPr>
          <w:rFonts w:cs="Arial"/>
          <w:szCs w:val="20"/>
          <w:lang w:eastAsia="sl-SI"/>
        </w:rPr>
        <w:t>je za leto 2021 prejel vračilo trošarine za kmetijsko mehanizacijo v skladu z zakonom, ki ureja trošarine, in pravilnikom, ki ureja način vračila trošarine za energente, ki se porabijo za kmetijsko in gozdarsko mehanizacijo. Ne glede na prej navedeno je lahko vračilo trošarine za leto 2021 prejel tudi član kmetije, katere nosilec je upravičenec;</w:t>
      </w:r>
    </w:p>
    <w:p w14:paraId="3B5FAD9C" w14:textId="77777777" w:rsidR="00E17633" w:rsidRPr="00E3533D" w:rsidRDefault="00E17633" w:rsidP="00881C19">
      <w:pPr>
        <w:numPr>
          <w:ilvl w:val="0"/>
          <w:numId w:val="21"/>
        </w:num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lastRenderedPageBreak/>
        <w:t>je imetnik transakcijskega računa v skladu z zakonom, ki ureja kmetijstvo; in</w:t>
      </w:r>
    </w:p>
    <w:p w14:paraId="60941861" w14:textId="77777777" w:rsidR="00E17633" w:rsidRPr="00E3533D" w:rsidRDefault="00E17633" w:rsidP="00881C19">
      <w:pPr>
        <w:numPr>
          <w:ilvl w:val="0"/>
          <w:numId w:val="21"/>
        </w:num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na dan uveljavitve tega odloka nima neporavnanih obveznih dajatev in drugih denarnih nedavčnih obveznosti v skladu z zakonom, ki ureja finančno upravo, v višini, ki presega 50 eurov.</w:t>
      </w:r>
    </w:p>
    <w:p w14:paraId="2C7831DB"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p>
    <w:p w14:paraId="1A1D78A0" w14:textId="77777777" w:rsidR="00E17633" w:rsidRPr="001D1076"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1D1076">
        <w:rPr>
          <w:rFonts w:cs="Arial"/>
          <w:bCs/>
          <w:iCs/>
          <w:szCs w:val="20"/>
        </w:rPr>
        <w:t>Finančna pomoč se dodeli na hektar zemljišča, glede na dejansko rabo, in znaša:</w:t>
      </w:r>
    </w:p>
    <w:p w14:paraId="77A95256" w14:textId="77777777" w:rsidR="00E17633" w:rsidRPr="001D1076" w:rsidRDefault="00E17633" w:rsidP="00881C19">
      <w:pPr>
        <w:pStyle w:val="Neotevilenodstavek"/>
        <w:numPr>
          <w:ilvl w:val="0"/>
          <w:numId w:val="22"/>
        </w:numPr>
        <w:spacing w:before="0" w:after="0" w:line="240" w:lineRule="auto"/>
        <w:rPr>
          <w:bCs/>
          <w:iCs/>
          <w:sz w:val="20"/>
          <w:szCs w:val="20"/>
        </w:rPr>
      </w:pPr>
      <w:r w:rsidRPr="001D1076">
        <w:rPr>
          <w:bCs/>
          <w:iCs/>
          <w:sz w:val="20"/>
          <w:szCs w:val="20"/>
        </w:rPr>
        <w:t>6,67 evra za površine njive (1100), njive za rejo polžev (1150), jagode na njivi (1170), trajnih rastlin na njivskih površinah (1180), rastlinjaka (1190), rastlinjaka s sadnimi rastlinami (1192), matičnjaka (1212), trajnega travnika (1300), hmeljišča v premeni (1161), ekstenzivnega sadovnjaka (1222), travinj z razpršenimi neupravičenimi značilnostmi (1320), začasnih travinj (1131) in kmetijskega zemljišča v pripravi (1610);</w:t>
      </w:r>
    </w:p>
    <w:p w14:paraId="35C8A0A2" w14:textId="77777777" w:rsidR="00E17633" w:rsidRPr="001D1076" w:rsidRDefault="00E17633" w:rsidP="00881C19">
      <w:pPr>
        <w:pStyle w:val="Neotevilenodstavek"/>
        <w:numPr>
          <w:ilvl w:val="0"/>
          <w:numId w:val="22"/>
        </w:numPr>
        <w:spacing w:before="0" w:after="0" w:line="240" w:lineRule="auto"/>
        <w:rPr>
          <w:bCs/>
          <w:iCs/>
          <w:sz w:val="20"/>
          <w:szCs w:val="20"/>
        </w:rPr>
      </w:pPr>
      <w:r w:rsidRPr="001D1076">
        <w:rPr>
          <w:bCs/>
          <w:iCs/>
          <w:sz w:val="20"/>
          <w:szCs w:val="20"/>
        </w:rPr>
        <w:t xml:space="preserve">14 evrov za površine vinograda (1211), intenzivnega sadovnjaka (1221), hmeljišča (1160), oljčnika (1230) ali ostalih trajnih nasadov (1240). </w:t>
      </w:r>
    </w:p>
    <w:p w14:paraId="6CC73633" w14:textId="77777777" w:rsidR="00E17633" w:rsidRPr="001D1076" w:rsidRDefault="00E17633" w:rsidP="00E3533D">
      <w:pPr>
        <w:overflowPunct w:val="0"/>
        <w:autoSpaceDE w:val="0"/>
        <w:autoSpaceDN w:val="0"/>
        <w:adjustRightInd w:val="0"/>
        <w:spacing w:line="240" w:lineRule="auto"/>
        <w:jc w:val="both"/>
        <w:textAlignment w:val="baseline"/>
        <w:rPr>
          <w:rFonts w:cs="Arial"/>
          <w:bCs/>
          <w:szCs w:val="20"/>
          <w:lang w:eastAsia="sl-SI"/>
        </w:rPr>
      </w:pPr>
    </w:p>
    <w:p w14:paraId="31772A14" w14:textId="77777777" w:rsidR="00E17633" w:rsidRPr="001D1076" w:rsidRDefault="00E17633" w:rsidP="00E3533D">
      <w:pPr>
        <w:overflowPunct w:val="0"/>
        <w:autoSpaceDE w:val="0"/>
        <w:autoSpaceDN w:val="0"/>
        <w:adjustRightInd w:val="0"/>
        <w:spacing w:line="240" w:lineRule="auto"/>
        <w:jc w:val="both"/>
        <w:textAlignment w:val="baseline"/>
        <w:rPr>
          <w:rFonts w:cs="Arial"/>
          <w:bCs/>
          <w:color w:val="000000"/>
          <w:szCs w:val="20"/>
          <w:lang w:eastAsia="sl-SI"/>
        </w:rPr>
      </w:pPr>
      <w:r w:rsidRPr="001D1076">
        <w:rPr>
          <w:rFonts w:cs="Arial"/>
          <w:bCs/>
          <w:szCs w:val="20"/>
          <w:lang w:eastAsia="sl-SI"/>
        </w:rPr>
        <w:t xml:space="preserve">Najnižji znesek dodeljenega finančnega nadomestila znaša 40 evrov na upravičenca. </w:t>
      </w:r>
    </w:p>
    <w:p w14:paraId="43961C4E" w14:textId="77777777" w:rsidR="00E17633" w:rsidRPr="001D1076" w:rsidRDefault="00E17633" w:rsidP="00E3533D">
      <w:pPr>
        <w:suppressAutoHyphens/>
        <w:overflowPunct w:val="0"/>
        <w:autoSpaceDE w:val="0"/>
        <w:autoSpaceDN w:val="0"/>
        <w:adjustRightInd w:val="0"/>
        <w:spacing w:line="240" w:lineRule="auto"/>
        <w:jc w:val="both"/>
        <w:textAlignment w:val="baseline"/>
        <w:rPr>
          <w:rFonts w:cs="Arial"/>
          <w:bCs/>
          <w:szCs w:val="20"/>
          <w:lang w:eastAsia="sl-SI"/>
        </w:rPr>
      </w:pPr>
    </w:p>
    <w:p w14:paraId="70C8AA69" w14:textId="77777777" w:rsidR="00E17633" w:rsidRPr="001D1076" w:rsidRDefault="00E17633" w:rsidP="00E3533D">
      <w:pPr>
        <w:suppressAutoHyphens/>
        <w:overflowPunct w:val="0"/>
        <w:autoSpaceDE w:val="0"/>
        <w:autoSpaceDN w:val="0"/>
        <w:adjustRightInd w:val="0"/>
        <w:spacing w:line="240" w:lineRule="auto"/>
        <w:jc w:val="both"/>
        <w:textAlignment w:val="baseline"/>
        <w:rPr>
          <w:rFonts w:cs="Arial"/>
          <w:bCs/>
          <w:szCs w:val="20"/>
          <w:lang w:eastAsia="sl-SI"/>
        </w:rPr>
      </w:pPr>
      <w:r w:rsidRPr="001D1076">
        <w:rPr>
          <w:rFonts w:cs="Arial"/>
          <w:bCs/>
          <w:szCs w:val="20"/>
          <w:lang w:eastAsia="sl-SI"/>
        </w:rPr>
        <w:t xml:space="preserve">Agencija za kmetijske trge in razvoj podeželja upravičencem, ki izpolnjujejo pogoje, na podlagi podatkov iz uradnih evidenc izda informativno odločbo v skladu z zakonom, ki ureja kmetijstvo. </w:t>
      </w:r>
    </w:p>
    <w:p w14:paraId="5D3E6252" w14:textId="77777777" w:rsidR="00E17633" w:rsidRPr="001D1076" w:rsidRDefault="00E17633" w:rsidP="00E3533D">
      <w:pPr>
        <w:pStyle w:val="Neotevilenodstavek"/>
        <w:spacing w:before="0" w:after="0" w:line="240" w:lineRule="auto"/>
        <w:rPr>
          <w:bCs/>
          <w:iCs/>
          <w:sz w:val="20"/>
          <w:szCs w:val="20"/>
        </w:rPr>
      </w:pPr>
    </w:p>
    <w:p w14:paraId="3D4EDE72" w14:textId="77777777" w:rsidR="00E17633" w:rsidRPr="001D1076" w:rsidRDefault="00E17633" w:rsidP="00E3533D">
      <w:pPr>
        <w:pStyle w:val="Neotevilenodstavek"/>
        <w:spacing w:before="0" w:after="0" w:line="240" w:lineRule="auto"/>
        <w:rPr>
          <w:bCs/>
          <w:iCs/>
          <w:sz w:val="20"/>
          <w:szCs w:val="20"/>
        </w:rPr>
      </w:pPr>
      <w:r w:rsidRPr="001D1076">
        <w:rPr>
          <w:bCs/>
          <w:iCs/>
          <w:sz w:val="20"/>
          <w:szCs w:val="20"/>
        </w:rPr>
        <w:t>Agencija za kmetijske trge in razvoj podeželja</w:t>
      </w:r>
      <w:r w:rsidRPr="001D1076">
        <w:rPr>
          <w:bCs/>
          <w:sz w:val="20"/>
          <w:szCs w:val="20"/>
          <w:lang w:eastAsia="en-US"/>
        </w:rPr>
        <w:t xml:space="preserve"> bo upravičencem </w:t>
      </w:r>
      <w:r w:rsidRPr="001D1076">
        <w:rPr>
          <w:bCs/>
          <w:iCs/>
          <w:sz w:val="20"/>
          <w:szCs w:val="20"/>
        </w:rPr>
        <w:t xml:space="preserve">odpremila informativne odločbe najpozneje do 30. septembra 2022. </w:t>
      </w:r>
    </w:p>
    <w:p w14:paraId="15B8A285" w14:textId="77777777" w:rsidR="00E17633" w:rsidRPr="00E3533D" w:rsidRDefault="00E17633" w:rsidP="00E3533D">
      <w:pPr>
        <w:spacing w:line="240" w:lineRule="auto"/>
        <w:jc w:val="both"/>
        <w:rPr>
          <w:rFonts w:cs="Arial"/>
          <w:iCs/>
          <w:szCs w:val="20"/>
        </w:rPr>
      </w:pPr>
    </w:p>
    <w:p w14:paraId="673F7964" w14:textId="77777777" w:rsidR="00E17633" w:rsidRPr="00E3533D" w:rsidRDefault="00E17633" w:rsidP="00E3533D">
      <w:pPr>
        <w:spacing w:line="240" w:lineRule="auto"/>
        <w:jc w:val="both"/>
        <w:rPr>
          <w:rFonts w:cs="Arial"/>
          <w:szCs w:val="20"/>
        </w:rPr>
      </w:pPr>
      <w:r w:rsidRPr="00E3533D">
        <w:rPr>
          <w:rFonts w:cs="Arial"/>
          <w:szCs w:val="20"/>
        </w:rPr>
        <w:t>Vir: Ministrstvo za kmetijstvo, gozdarstvo in prehrano</w:t>
      </w:r>
    </w:p>
    <w:p w14:paraId="0920F08F" w14:textId="77777777" w:rsidR="00E17633" w:rsidRPr="00E3533D" w:rsidRDefault="00E17633" w:rsidP="00E3533D">
      <w:pPr>
        <w:spacing w:line="240" w:lineRule="auto"/>
        <w:jc w:val="both"/>
        <w:rPr>
          <w:rFonts w:cs="Arial"/>
          <w:szCs w:val="20"/>
        </w:rPr>
      </w:pPr>
    </w:p>
    <w:p w14:paraId="4FB961C2" w14:textId="77777777" w:rsidR="00E17633" w:rsidRPr="00E3533D" w:rsidRDefault="00E17633" w:rsidP="00E3533D">
      <w:pPr>
        <w:spacing w:line="240" w:lineRule="auto"/>
        <w:jc w:val="both"/>
        <w:rPr>
          <w:rFonts w:cs="Arial"/>
          <w:szCs w:val="20"/>
        </w:rPr>
      </w:pPr>
    </w:p>
    <w:p w14:paraId="15E83814" w14:textId="77777777" w:rsidR="00E17633" w:rsidRPr="00E3533D" w:rsidRDefault="00E17633" w:rsidP="00E3533D">
      <w:pPr>
        <w:pStyle w:val="Neotevilenodstavek"/>
        <w:spacing w:before="0" w:after="0" w:line="240" w:lineRule="auto"/>
        <w:rPr>
          <w:b/>
          <w:iCs/>
          <w:sz w:val="20"/>
          <w:szCs w:val="20"/>
        </w:rPr>
      </w:pPr>
      <w:r w:rsidRPr="00E3533D">
        <w:rPr>
          <w:b/>
          <w:iCs/>
          <w:sz w:val="20"/>
          <w:szCs w:val="20"/>
        </w:rPr>
        <w:t>Vlada namenila dobrih 6.000 evrov za pomoč morskim gospodarskim ribičem zaradi visokih cen energentov</w:t>
      </w:r>
    </w:p>
    <w:p w14:paraId="08BC20A0" w14:textId="77777777" w:rsidR="00E17633" w:rsidRPr="00E3533D" w:rsidRDefault="00E17633" w:rsidP="00E3533D">
      <w:pPr>
        <w:spacing w:line="240" w:lineRule="auto"/>
        <w:jc w:val="both"/>
        <w:rPr>
          <w:rFonts w:cs="Arial"/>
          <w:b/>
          <w:szCs w:val="20"/>
        </w:rPr>
      </w:pPr>
    </w:p>
    <w:p w14:paraId="343C46EF" w14:textId="77777777" w:rsidR="00E17633" w:rsidRPr="00881C19" w:rsidRDefault="00E17633" w:rsidP="00E3533D">
      <w:pPr>
        <w:spacing w:line="240" w:lineRule="auto"/>
        <w:jc w:val="both"/>
        <w:rPr>
          <w:rFonts w:cs="Arial"/>
          <w:szCs w:val="20"/>
          <w:lang w:eastAsia="sl-SI"/>
        </w:rPr>
      </w:pPr>
      <w:r w:rsidRPr="00881C19">
        <w:rPr>
          <w:rFonts w:cs="Arial"/>
          <w:color w:val="000000"/>
          <w:szCs w:val="20"/>
        </w:rPr>
        <w:t xml:space="preserve">Vlada je izdala </w:t>
      </w:r>
      <w:r w:rsidRPr="00881C19">
        <w:rPr>
          <w:rFonts w:cs="Arial"/>
          <w:iCs/>
          <w:szCs w:val="20"/>
        </w:rPr>
        <w:t>Odlok o finančnem nadomestilu stroškov v ribištvu zaradi visokih cen energentov, ki se porabijo za pogon ribiških plovil, in ga objavi v Uradnem listu RS.</w:t>
      </w:r>
      <w:r w:rsidRPr="00881C19">
        <w:rPr>
          <w:rFonts w:cs="Arial"/>
          <w:szCs w:val="20"/>
          <w:lang w:eastAsia="sl-SI"/>
        </w:rPr>
        <w:t xml:space="preserve"> Odlok določa finančno nadomestilo stroškov v ribištvu zaradi visokih cen energentov, ki se porabijo za pogon ribiških plovil, upravičence, podrobnejše pogoje in postopek dodelitve finančnega nadomestila. Sredstva iz tega odloka se dodelijo v skladu s Sporočilom Komisije Začasni okvir za krizne ukrepe državne pomoči v podporo gospodarstvu po agresiji Rusije proti Ukrajini iz proračuna RS. </w:t>
      </w:r>
      <w:r w:rsidRPr="00881C19">
        <w:rPr>
          <w:rFonts w:cs="Arial"/>
          <w:szCs w:val="20"/>
        </w:rPr>
        <w:t>Glede na podatke ministrstva, pristojnega za ribištvo, je do sredstev upravičenih 14 upravičencev, višina skupne finančne pomoči pa je 6.251 evrov.</w:t>
      </w:r>
    </w:p>
    <w:p w14:paraId="077A0A22" w14:textId="77777777" w:rsidR="00E17633" w:rsidRPr="00881C19" w:rsidRDefault="00E17633" w:rsidP="00E3533D">
      <w:pPr>
        <w:spacing w:line="240" w:lineRule="auto"/>
        <w:jc w:val="both"/>
        <w:rPr>
          <w:rFonts w:cs="Arial"/>
          <w:szCs w:val="20"/>
          <w:lang w:eastAsia="sl-SI"/>
        </w:rPr>
      </w:pPr>
    </w:p>
    <w:p w14:paraId="6FE35C84" w14:textId="77777777" w:rsidR="00E17633" w:rsidRPr="00881C19" w:rsidRDefault="00E17633" w:rsidP="00E3533D">
      <w:pPr>
        <w:spacing w:line="240" w:lineRule="auto"/>
        <w:jc w:val="both"/>
        <w:rPr>
          <w:rFonts w:cs="Arial"/>
          <w:szCs w:val="20"/>
        </w:rPr>
      </w:pPr>
      <w:r w:rsidRPr="00881C19">
        <w:rPr>
          <w:rFonts w:cs="Arial"/>
          <w:szCs w:val="20"/>
        </w:rPr>
        <w:t xml:space="preserve">Sprejeti odlok omogoča začasno pomoč morskim gospodarskim ribičem, ki so v preteklem koledarskem letu prejeli povračilo trošarin za pogonska goriva, ki se uporabljajo za pogon plovil v gospodarskem ribolovu. Pomoč se izplača za dva meseca na podlagi podatkov iz evidence trošarinskih zavezancev Finančne uprave RS (FURS) za preteklo koledarsko leto, in sicer 20 centov za liter porabljenega pogonskega goriva. </w:t>
      </w:r>
    </w:p>
    <w:p w14:paraId="00612D91" w14:textId="77777777" w:rsidR="00E17633" w:rsidRPr="00E3533D" w:rsidRDefault="00E17633" w:rsidP="00E3533D">
      <w:pPr>
        <w:overflowPunct w:val="0"/>
        <w:autoSpaceDE w:val="0"/>
        <w:autoSpaceDN w:val="0"/>
        <w:adjustRightInd w:val="0"/>
        <w:spacing w:line="240" w:lineRule="auto"/>
        <w:jc w:val="both"/>
        <w:textAlignment w:val="baseline"/>
        <w:rPr>
          <w:rFonts w:cs="Arial"/>
          <w:b/>
          <w:szCs w:val="20"/>
          <w:lang w:eastAsia="sl-SI"/>
        </w:rPr>
      </w:pPr>
    </w:p>
    <w:p w14:paraId="2B1DBFA9" w14:textId="77777777" w:rsidR="00E17633" w:rsidRPr="00E53E05"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E53E05">
        <w:rPr>
          <w:rFonts w:cs="Arial"/>
          <w:bCs/>
          <w:iCs/>
          <w:szCs w:val="20"/>
        </w:rPr>
        <w:t>Upravičenec do finančnega nadomestila mora izpolnjevati naslednje pogoje:</w:t>
      </w:r>
    </w:p>
    <w:p w14:paraId="2F4E81C6" w14:textId="77777777" w:rsidR="00E17633" w:rsidRPr="00E3533D" w:rsidRDefault="00E17633" w:rsidP="00881C19">
      <w:pPr>
        <w:pStyle w:val="Odstavekseznama"/>
        <w:numPr>
          <w:ilvl w:val="0"/>
          <w:numId w:val="23"/>
        </w:numPr>
        <w:overflowPunct w:val="0"/>
        <w:autoSpaceDE w:val="0"/>
        <w:autoSpaceDN w:val="0"/>
        <w:adjustRightInd w:val="0"/>
        <w:spacing w:line="240" w:lineRule="auto"/>
        <w:jc w:val="both"/>
        <w:textAlignment w:val="baseline"/>
        <w:rPr>
          <w:rFonts w:cs="Arial"/>
          <w:szCs w:val="20"/>
          <w:lang w:eastAsia="sl-SI"/>
        </w:rPr>
      </w:pPr>
      <w:r w:rsidRPr="00E53E05">
        <w:rPr>
          <w:rFonts w:cs="Arial"/>
          <w:bCs/>
          <w:szCs w:val="20"/>
          <w:lang w:eastAsia="sl-SI"/>
        </w:rPr>
        <w:t>za leto 2021 je prejel vračilo trošarine za energente ki se v okviru opravljanja dejavnos</w:t>
      </w:r>
      <w:r w:rsidRPr="00E3533D">
        <w:rPr>
          <w:rFonts w:cs="Arial"/>
          <w:szCs w:val="20"/>
          <w:lang w:eastAsia="sl-SI"/>
        </w:rPr>
        <w:t>ti porabijo za pogon ribiških plovil v skladu z Zakonom o trošarinah;</w:t>
      </w:r>
    </w:p>
    <w:p w14:paraId="71D566D0" w14:textId="77777777" w:rsidR="00E17633" w:rsidRPr="00E3533D" w:rsidRDefault="00E17633" w:rsidP="00881C19">
      <w:pPr>
        <w:pStyle w:val="Odstavekseznama"/>
        <w:numPr>
          <w:ilvl w:val="0"/>
          <w:numId w:val="23"/>
        </w:num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 xml:space="preserve">razpolaga z vsaj enim aktivnim ribiškim plovilom, za katerega mu je izdano veljavno dovoljenje za gospodarski ribolov. Aktivnost posameznega ribiškega plovila se dokazuje z vsaj enim oddanim ladijskim dnevnikom za to plovilo za tekoče koledarsko leto; </w:t>
      </w:r>
    </w:p>
    <w:p w14:paraId="22D62A42" w14:textId="77777777" w:rsidR="00E17633" w:rsidRPr="00E3533D" w:rsidRDefault="00E17633" w:rsidP="00881C19">
      <w:pPr>
        <w:pStyle w:val="Odstavekseznama"/>
        <w:numPr>
          <w:ilvl w:val="0"/>
          <w:numId w:val="23"/>
        </w:num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je imetnik transakcijskega računa, v skladu z zakonom, ki ureja kmetijstvo;</w:t>
      </w:r>
    </w:p>
    <w:p w14:paraId="0D1FE0A6" w14:textId="77777777" w:rsidR="00E17633" w:rsidRPr="00E3533D" w:rsidRDefault="00E17633" w:rsidP="00881C19">
      <w:pPr>
        <w:pStyle w:val="Odstavekseznama"/>
        <w:numPr>
          <w:ilvl w:val="0"/>
          <w:numId w:val="23"/>
        </w:numPr>
        <w:overflowPunct w:val="0"/>
        <w:autoSpaceDE w:val="0"/>
        <w:autoSpaceDN w:val="0"/>
        <w:adjustRightInd w:val="0"/>
        <w:spacing w:line="240" w:lineRule="auto"/>
        <w:jc w:val="both"/>
        <w:textAlignment w:val="baseline"/>
        <w:rPr>
          <w:rFonts w:cs="Arial"/>
          <w:szCs w:val="20"/>
          <w:lang w:eastAsia="sl-SI"/>
        </w:rPr>
      </w:pPr>
      <w:r w:rsidRPr="00E3533D">
        <w:rPr>
          <w:rFonts w:cs="Arial"/>
          <w:color w:val="000000"/>
          <w:szCs w:val="20"/>
          <w:lang w:eastAsia="sl-SI"/>
        </w:rPr>
        <w:t xml:space="preserve">na dan uveljavitve tega odloka nima neporavnanih </w:t>
      </w:r>
      <w:r w:rsidRPr="00E3533D">
        <w:rPr>
          <w:rFonts w:cs="Arial"/>
          <w:szCs w:val="20"/>
          <w:lang w:eastAsia="sl-SI"/>
        </w:rPr>
        <w:t xml:space="preserve">obveznih dajatev </w:t>
      </w:r>
      <w:r w:rsidRPr="00E3533D">
        <w:rPr>
          <w:rFonts w:cs="Arial"/>
          <w:color w:val="000000"/>
          <w:szCs w:val="20"/>
          <w:lang w:eastAsia="sl-SI"/>
        </w:rPr>
        <w:t>in drugih denarnih nedavčnih obveznosti v skladu z zakonom, ki ureja finančno upravo, v višini, ki presega 50 evrov.</w:t>
      </w:r>
    </w:p>
    <w:p w14:paraId="1AF9FC66" w14:textId="77777777" w:rsidR="00E17633" w:rsidRPr="00E3533D" w:rsidRDefault="00E17633" w:rsidP="00E3533D">
      <w:pPr>
        <w:suppressAutoHyphens/>
        <w:overflowPunct w:val="0"/>
        <w:autoSpaceDE w:val="0"/>
        <w:autoSpaceDN w:val="0"/>
        <w:adjustRightInd w:val="0"/>
        <w:spacing w:line="240" w:lineRule="auto"/>
        <w:jc w:val="both"/>
        <w:textAlignment w:val="baseline"/>
        <w:rPr>
          <w:rFonts w:cs="Arial"/>
          <w:szCs w:val="20"/>
          <w:lang w:eastAsia="sl-SI"/>
        </w:rPr>
      </w:pPr>
    </w:p>
    <w:p w14:paraId="0354A276" w14:textId="77777777" w:rsidR="00E17633" w:rsidRPr="00E3533D" w:rsidRDefault="00E17633" w:rsidP="00E3533D">
      <w:pPr>
        <w:suppressAutoHyphens/>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Podatke o izpolnjevanju pogojev pridobi Agencija za kmetijske trge in razvoj podeželja iz evidence rešenih zahtevkov za vračilo trošarine, seznama izdanih dovoljenj za gospodarski ribolov in zbirke podatkov o oddanih ladijskih dnevnikih, s katero upravlja ministrstvo, pristojno za ribištvo.</w:t>
      </w:r>
    </w:p>
    <w:p w14:paraId="60E92E54" w14:textId="77777777" w:rsidR="00E17633" w:rsidRPr="00E3533D" w:rsidRDefault="00E17633" w:rsidP="00E3533D">
      <w:pPr>
        <w:suppressAutoHyphens/>
        <w:overflowPunct w:val="0"/>
        <w:autoSpaceDE w:val="0"/>
        <w:autoSpaceDN w:val="0"/>
        <w:adjustRightInd w:val="0"/>
        <w:spacing w:line="240" w:lineRule="auto"/>
        <w:jc w:val="both"/>
        <w:textAlignment w:val="baseline"/>
        <w:rPr>
          <w:rFonts w:cs="Arial"/>
          <w:b/>
          <w:szCs w:val="20"/>
          <w:lang w:eastAsia="sl-SI"/>
        </w:rPr>
      </w:pPr>
    </w:p>
    <w:p w14:paraId="6CA345D3" w14:textId="77777777" w:rsidR="00E17633" w:rsidRPr="00881C19"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881C19">
        <w:rPr>
          <w:rFonts w:cs="Arial"/>
          <w:bCs/>
          <w:szCs w:val="20"/>
          <w:lang w:eastAsia="sl-SI"/>
        </w:rPr>
        <w:lastRenderedPageBreak/>
        <w:t xml:space="preserve">Finančno nadomestilo na upravičenca znaša 0,20 evra na liter goriva. Izračuna se tako, da se količina porabljenega goriva iz rešenih zahtevkov za vračilo trošarine FURS za leto 2021 pomnoži z zneskom 0,20 evra in se dodeli za 1/6 leta oziroma obdobje dveh mesecev. </w:t>
      </w:r>
    </w:p>
    <w:p w14:paraId="4EBAA36A" w14:textId="77777777" w:rsidR="00E17633" w:rsidRPr="00881C19" w:rsidRDefault="00E17633" w:rsidP="00E3533D">
      <w:pPr>
        <w:overflowPunct w:val="0"/>
        <w:autoSpaceDE w:val="0"/>
        <w:autoSpaceDN w:val="0"/>
        <w:adjustRightInd w:val="0"/>
        <w:spacing w:line="240" w:lineRule="auto"/>
        <w:jc w:val="both"/>
        <w:textAlignment w:val="baseline"/>
        <w:rPr>
          <w:rFonts w:cs="Arial"/>
          <w:bCs/>
          <w:szCs w:val="20"/>
          <w:lang w:eastAsia="sl-SI"/>
        </w:rPr>
      </w:pPr>
    </w:p>
    <w:p w14:paraId="691C0BC5" w14:textId="77777777" w:rsidR="00E17633" w:rsidRPr="00881C19" w:rsidRDefault="00E17633" w:rsidP="00E3533D">
      <w:pPr>
        <w:pStyle w:val="Neotevilenodstavek"/>
        <w:spacing w:before="0" w:after="0" w:line="240" w:lineRule="auto"/>
        <w:rPr>
          <w:bCs/>
          <w:iCs/>
          <w:sz w:val="20"/>
          <w:szCs w:val="20"/>
        </w:rPr>
      </w:pPr>
      <w:r w:rsidRPr="00881C19">
        <w:rPr>
          <w:bCs/>
          <w:iCs/>
          <w:sz w:val="20"/>
          <w:szCs w:val="20"/>
        </w:rPr>
        <w:t>Agencija za kmetijske trge in razvoj podeželja</w:t>
      </w:r>
      <w:r w:rsidRPr="00881C19">
        <w:rPr>
          <w:bCs/>
          <w:sz w:val="20"/>
          <w:szCs w:val="20"/>
          <w:lang w:eastAsia="en-US"/>
        </w:rPr>
        <w:t xml:space="preserve"> bo upravičencem </w:t>
      </w:r>
      <w:r w:rsidRPr="00881C19">
        <w:rPr>
          <w:bCs/>
          <w:iCs/>
          <w:sz w:val="20"/>
          <w:szCs w:val="20"/>
        </w:rPr>
        <w:t xml:space="preserve">odpremila informativne odločbe najpozneje do 30. septembra 2022. </w:t>
      </w:r>
    </w:p>
    <w:p w14:paraId="73FC84D7" w14:textId="77777777" w:rsidR="00E17633" w:rsidRPr="00881C19" w:rsidRDefault="00E17633" w:rsidP="00E3533D">
      <w:pPr>
        <w:spacing w:line="240" w:lineRule="auto"/>
        <w:jc w:val="both"/>
        <w:rPr>
          <w:rFonts w:cs="Arial"/>
          <w:bCs/>
          <w:szCs w:val="20"/>
        </w:rPr>
      </w:pPr>
    </w:p>
    <w:p w14:paraId="39812B1C" w14:textId="77777777" w:rsidR="00E17633" w:rsidRPr="00E3533D" w:rsidRDefault="00E17633" w:rsidP="00E3533D">
      <w:pPr>
        <w:spacing w:line="240" w:lineRule="auto"/>
        <w:jc w:val="both"/>
        <w:rPr>
          <w:rFonts w:cs="Arial"/>
          <w:szCs w:val="20"/>
        </w:rPr>
      </w:pPr>
      <w:r w:rsidRPr="00E3533D">
        <w:rPr>
          <w:rFonts w:cs="Arial"/>
          <w:szCs w:val="20"/>
        </w:rPr>
        <w:t>Vir: Ministrstvo za kmetijstvo, gozdarstvo in prehrano</w:t>
      </w:r>
    </w:p>
    <w:p w14:paraId="2B5FA684" w14:textId="77777777" w:rsidR="00E17633" w:rsidRPr="00E3533D" w:rsidRDefault="00E17633" w:rsidP="00E3533D">
      <w:pPr>
        <w:spacing w:line="240" w:lineRule="auto"/>
        <w:jc w:val="both"/>
        <w:rPr>
          <w:rFonts w:cs="Arial"/>
          <w:b/>
          <w:iCs/>
          <w:szCs w:val="20"/>
        </w:rPr>
      </w:pPr>
    </w:p>
    <w:p w14:paraId="0F83EB86" w14:textId="77777777" w:rsidR="00E17633" w:rsidRPr="00E3533D" w:rsidRDefault="00E17633" w:rsidP="00E3533D">
      <w:pPr>
        <w:spacing w:line="240" w:lineRule="auto"/>
        <w:jc w:val="both"/>
        <w:rPr>
          <w:rFonts w:cs="Arial"/>
          <w:b/>
          <w:iCs/>
          <w:szCs w:val="20"/>
        </w:rPr>
      </w:pPr>
    </w:p>
    <w:p w14:paraId="52EF37CA" w14:textId="77777777" w:rsidR="00E17633" w:rsidRPr="00E3533D" w:rsidRDefault="00E17633" w:rsidP="00E3533D">
      <w:pPr>
        <w:spacing w:line="240" w:lineRule="auto"/>
        <w:jc w:val="both"/>
        <w:rPr>
          <w:rFonts w:cs="Arial"/>
          <w:b/>
          <w:szCs w:val="20"/>
        </w:rPr>
      </w:pPr>
      <w:r w:rsidRPr="00E3533D">
        <w:rPr>
          <w:rFonts w:cs="Arial"/>
          <w:b/>
          <w:iCs/>
          <w:szCs w:val="20"/>
        </w:rPr>
        <w:t>Vlada namenila 15 milijonov evrov za primarno kmetijsko proizvodnjo</w:t>
      </w:r>
      <w:r w:rsidRPr="00E3533D">
        <w:rPr>
          <w:rFonts w:cs="Arial"/>
          <w:b/>
          <w:szCs w:val="20"/>
        </w:rPr>
        <w:t xml:space="preserve"> </w:t>
      </w:r>
      <w:r w:rsidRPr="00E3533D">
        <w:rPr>
          <w:rFonts w:cs="Arial"/>
          <w:b/>
          <w:iCs/>
          <w:szCs w:val="20"/>
        </w:rPr>
        <w:t xml:space="preserve">zaradi visokih cen reprodukcijskega materiala </w:t>
      </w:r>
    </w:p>
    <w:p w14:paraId="3E3C1E7E" w14:textId="77777777" w:rsidR="00E17633" w:rsidRPr="00E3533D" w:rsidRDefault="00E17633" w:rsidP="00E3533D">
      <w:pPr>
        <w:spacing w:line="240" w:lineRule="auto"/>
        <w:jc w:val="both"/>
        <w:rPr>
          <w:rFonts w:cs="Arial"/>
          <w:b/>
          <w:szCs w:val="20"/>
        </w:rPr>
      </w:pPr>
    </w:p>
    <w:p w14:paraId="236AA702" w14:textId="77777777" w:rsidR="00E17633" w:rsidRPr="00881C19" w:rsidRDefault="00E17633" w:rsidP="00E3533D">
      <w:pPr>
        <w:suppressAutoHyphens/>
        <w:overflowPunct w:val="0"/>
        <w:autoSpaceDE w:val="0"/>
        <w:autoSpaceDN w:val="0"/>
        <w:adjustRightInd w:val="0"/>
        <w:spacing w:line="240" w:lineRule="auto"/>
        <w:jc w:val="both"/>
        <w:textAlignment w:val="baseline"/>
        <w:rPr>
          <w:rFonts w:cs="Arial"/>
          <w:szCs w:val="20"/>
          <w:lang w:eastAsia="sl-SI"/>
        </w:rPr>
      </w:pPr>
      <w:r w:rsidRPr="00881C19">
        <w:rPr>
          <w:rFonts w:cs="Arial"/>
          <w:iCs/>
          <w:szCs w:val="20"/>
        </w:rPr>
        <w:t xml:space="preserve">Vlada je izdala Odlok o finančnem nadomestilu zaradi visokih cen reprodukcijskega materiala, ki se porabi za primarno kmetijsko proizvodnjo, in ga objavi v Uradnem listu RS. Odlok določa upravičence, pogoje in postopke za dodelitev finančnega nadomestila upravičencem za nadomestilo stroškov zaradi dviga cen reprodukcijskega materiala, ki se porabi za primarno kmetijsko proizvodnjo. </w:t>
      </w:r>
      <w:r w:rsidRPr="00881C19">
        <w:rPr>
          <w:rFonts w:cs="Arial"/>
          <w:szCs w:val="20"/>
          <w:lang w:eastAsia="sl-SI"/>
        </w:rPr>
        <w:t>Sredstva iz tega odloka se dodelijo v skladu s Sporočilom Komisije Začasni okvir za krizne ukrepe državne pomoči v podporo gospodarstvu po agresiji Rusije proti Ukrajini in sicer iz proračuna RS v višini do 15 milijonov evrov.</w:t>
      </w:r>
    </w:p>
    <w:p w14:paraId="4D95CC65" w14:textId="77777777" w:rsidR="00E17633" w:rsidRPr="00E3533D" w:rsidRDefault="00E17633" w:rsidP="00E3533D">
      <w:pPr>
        <w:pStyle w:val="Neotevilenodstavek"/>
        <w:spacing w:before="0" w:after="0" w:line="240" w:lineRule="auto"/>
        <w:rPr>
          <w:iCs/>
          <w:sz w:val="20"/>
          <w:szCs w:val="20"/>
        </w:rPr>
      </w:pPr>
    </w:p>
    <w:p w14:paraId="06CF2246" w14:textId="77777777" w:rsidR="00E17633" w:rsidRPr="00E3533D" w:rsidRDefault="00E17633" w:rsidP="00E3533D">
      <w:pPr>
        <w:autoSpaceDE w:val="0"/>
        <w:autoSpaceDN w:val="0"/>
        <w:adjustRightInd w:val="0"/>
        <w:spacing w:line="240" w:lineRule="auto"/>
        <w:jc w:val="both"/>
        <w:rPr>
          <w:rFonts w:cs="Arial"/>
          <w:color w:val="000000"/>
          <w:szCs w:val="20"/>
          <w:lang w:eastAsia="sl-SI"/>
        </w:rPr>
      </w:pPr>
      <w:r w:rsidRPr="00E3533D">
        <w:rPr>
          <w:rFonts w:cs="Arial"/>
          <w:color w:val="000000"/>
          <w:szCs w:val="20"/>
          <w:lang w:eastAsia="sl-SI"/>
        </w:rPr>
        <w:t>V zadnjem letu so se namreč stroški v kmetijski proizvodnji iz različnih vzrokov (povišanje cen zemeljskega plina, vojna v Ukrajini…) močno zvišali. Ocene Kmetijskega inštituta Slovenija (Vir: Modelske kalkulacije) kažejo, da so se stroški pridelave pšenice povečali iz 578 evrov/ha v letu 2021, na 937 evrov/ha po začasnih podatkih za leto 2022. Podobne stopnje so zabeležene tudi pri ostalih poljščinah, nekoliko manj pa pri trajnih nasadih. Vzrok za to je predvsem rast cen gnojil, ki so se po velikih povišanjih že konec leta 2021, dodatno močno povišale še v letu 2022. Primerjava stroškov gnojil za leto 2021 in začasnimi podatki za leto 2022 iz Modelskih kalkulacij Kmetijskega inštituta Slovenije kažejo, da so se skupni stroški povečali za več kot 150 milijonov  evrov.</w:t>
      </w:r>
    </w:p>
    <w:p w14:paraId="53629A44" w14:textId="77777777" w:rsidR="00E17633" w:rsidRPr="00E3533D" w:rsidRDefault="00E17633" w:rsidP="00E3533D">
      <w:pPr>
        <w:autoSpaceDE w:val="0"/>
        <w:autoSpaceDN w:val="0"/>
        <w:adjustRightInd w:val="0"/>
        <w:spacing w:line="240" w:lineRule="auto"/>
        <w:jc w:val="both"/>
        <w:rPr>
          <w:rFonts w:cs="Arial"/>
          <w:color w:val="000000"/>
          <w:szCs w:val="20"/>
          <w:lang w:eastAsia="sl-SI"/>
        </w:rPr>
      </w:pPr>
    </w:p>
    <w:p w14:paraId="08C4FD72" w14:textId="77777777" w:rsidR="00E17633" w:rsidRPr="00881C19"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881C19">
        <w:rPr>
          <w:rFonts w:cs="Arial"/>
          <w:bCs/>
          <w:iCs/>
          <w:szCs w:val="20"/>
        </w:rPr>
        <w:t xml:space="preserve">Upravičenci do finančnega nadomestila po tem odloku so </w:t>
      </w:r>
      <w:r w:rsidRPr="00881C19">
        <w:rPr>
          <w:rFonts w:cs="Arial"/>
          <w:bCs/>
          <w:szCs w:val="20"/>
          <w:lang w:eastAsia="sl-SI"/>
        </w:rPr>
        <w:t>nosilci kmetijskega gospodarstva, katerih kmetijsko gospodarstvo je nekrivdno zašlo v težak finančni položaj zaradi visokih cen reprodukcijskega materiala, in sicer:</w:t>
      </w:r>
    </w:p>
    <w:p w14:paraId="083BB09F" w14:textId="77777777" w:rsidR="00E17633" w:rsidRPr="00E3533D" w:rsidRDefault="00E17633" w:rsidP="00881C19">
      <w:pPr>
        <w:pStyle w:val="Neotevilenodstavek"/>
        <w:numPr>
          <w:ilvl w:val="0"/>
          <w:numId w:val="24"/>
        </w:numPr>
        <w:spacing w:before="0" w:after="0" w:line="240" w:lineRule="auto"/>
        <w:rPr>
          <w:b/>
          <w:iCs/>
          <w:sz w:val="20"/>
          <w:szCs w:val="20"/>
        </w:rPr>
      </w:pPr>
      <w:r w:rsidRPr="00E3533D">
        <w:rPr>
          <w:iCs/>
          <w:sz w:val="20"/>
          <w:szCs w:val="20"/>
        </w:rPr>
        <w:t>fizične ali pravne osebe, ki so v letu 2022 oddale zbirno vlogo, v skladu s predpisom, ki ureja izvedbo ukrepov kmetijske politike za leto 2022;</w:t>
      </w:r>
    </w:p>
    <w:p w14:paraId="74F36BB2" w14:textId="77777777" w:rsidR="00E17633" w:rsidRPr="00E3533D" w:rsidRDefault="00E17633" w:rsidP="00881C19">
      <w:pPr>
        <w:pStyle w:val="Neotevilenodstavek"/>
        <w:numPr>
          <w:ilvl w:val="0"/>
          <w:numId w:val="24"/>
        </w:numPr>
        <w:spacing w:before="0" w:after="0" w:line="240" w:lineRule="auto"/>
        <w:rPr>
          <w:b/>
          <w:iCs/>
          <w:sz w:val="20"/>
          <w:szCs w:val="20"/>
        </w:rPr>
      </w:pPr>
      <w:r w:rsidRPr="00E3533D">
        <w:rPr>
          <w:iCs/>
          <w:sz w:val="20"/>
          <w:szCs w:val="20"/>
        </w:rPr>
        <w:t>so imetniki transakcijskega računa, ki na dan uveljavitve tega odloka nimajo neporavnanih davčnih obveznosti in drugih denarnih nedavčnih obveznosti v skladu z zakonom, ki ureja finančno upravo, v višini, ki presega 50 evrov;</w:t>
      </w:r>
    </w:p>
    <w:p w14:paraId="397784C0" w14:textId="77777777" w:rsidR="00E17633" w:rsidRPr="00E3533D" w:rsidRDefault="00E17633" w:rsidP="00881C19">
      <w:pPr>
        <w:pStyle w:val="Neotevilenodstavek"/>
        <w:numPr>
          <w:ilvl w:val="0"/>
          <w:numId w:val="24"/>
        </w:numPr>
        <w:spacing w:before="0" w:after="0" w:line="240" w:lineRule="auto"/>
        <w:rPr>
          <w:b/>
          <w:iCs/>
          <w:sz w:val="20"/>
          <w:szCs w:val="20"/>
        </w:rPr>
      </w:pPr>
      <w:r w:rsidRPr="00E3533D">
        <w:rPr>
          <w:iCs/>
          <w:sz w:val="20"/>
          <w:szCs w:val="20"/>
        </w:rPr>
        <w:t>če uveljavljajo zemljišča dejanske rabe trajnega travnika (1300), morajo za te površine imeti obtežbo najmanj 0,9 glave velike živine na hektar na dan 1. februar 2022.</w:t>
      </w:r>
    </w:p>
    <w:p w14:paraId="392C819B" w14:textId="77777777" w:rsidR="00E17633" w:rsidRPr="00E3533D" w:rsidRDefault="00E17633" w:rsidP="00E3533D">
      <w:pPr>
        <w:pStyle w:val="Neotevilenodstavek"/>
        <w:spacing w:before="0" w:after="0" w:line="240" w:lineRule="auto"/>
        <w:rPr>
          <w:iCs/>
          <w:sz w:val="20"/>
          <w:szCs w:val="20"/>
        </w:rPr>
      </w:pPr>
    </w:p>
    <w:p w14:paraId="7B74F890" w14:textId="77777777" w:rsidR="00E17633" w:rsidRPr="00881C19" w:rsidRDefault="00E17633" w:rsidP="00E3533D">
      <w:pPr>
        <w:pStyle w:val="Neotevilenodstavek"/>
        <w:spacing w:before="0" w:after="0" w:line="240" w:lineRule="auto"/>
        <w:rPr>
          <w:bCs/>
          <w:iCs/>
          <w:sz w:val="20"/>
          <w:szCs w:val="20"/>
        </w:rPr>
      </w:pPr>
      <w:r w:rsidRPr="00881C19">
        <w:rPr>
          <w:bCs/>
          <w:iCs/>
          <w:sz w:val="20"/>
          <w:szCs w:val="20"/>
        </w:rPr>
        <w:t xml:space="preserve">Finančna pomoč se dodeli </w:t>
      </w:r>
      <w:r w:rsidRPr="00881C19">
        <w:rPr>
          <w:bCs/>
          <w:sz w:val="20"/>
          <w:szCs w:val="20"/>
        </w:rPr>
        <w:t>v obliki pavšala na hektar zemljišča glede na vrsto dejanske rabe in znaša:</w:t>
      </w:r>
    </w:p>
    <w:p w14:paraId="5170A3AC" w14:textId="77777777" w:rsidR="00E17633" w:rsidRPr="00881C19" w:rsidRDefault="00E17633" w:rsidP="00881C19">
      <w:pPr>
        <w:pStyle w:val="Odstavekseznama"/>
        <w:numPr>
          <w:ilvl w:val="0"/>
          <w:numId w:val="25"/>
        </w:numPr>
        <w:autoSpaceDE w:val="0"/>
        <w:autoSpaceDN w:val="0"/>
        <w:adjustRightInd w:val="0"/>
        <w:spacing w:line="240" w:lineRule="auto"/>
        <w:jc w:val="both"/>
        <w:rPr>
          <w:rFonts w:eastAsia="Calibri" w:cs="Arial"/>
          <w:bCs/>
          <w:szCs w:val="20"/>
        </w:rPr>
      </w:pPr>
      <w:r w:rsidRPr="00881C19">
        <w:rPr>
          <w:rFonts w:eastAsia="Calibri" w:cs="Arial"/>
          <w:bCs/>
          <w:szCs w:val="20"/>
        </w:rPr>
        <w:t>31,73 evra za površine trajnega travnika (1300), travinja z razpršenimi neupravičenimi značilnostmi (1320), ekstenzivnega sadovnjaka (1222), hmeljišča (1160), trajnih rastlin na njivskih površinah (1180), vinograda (1211), matičnjaka (1212), intenzivnega sadovnjaka (1221), oljčnika (1230), jagod na njivi (1170) in ostalih trajnih nasadov (1240);</w:t>
      </w:r>
    </w:p>
    <w:p w14:paraId="6943E4F5" w14:textId="77777777" w:rsidR="00E17633" w:rsidRPr="00881C19" w:rsidRDefault="00E17633" w:rsidP="00881C19">
      <w:pPr>
        <w:pStyle w:val="Neotevilenodstavek"/>
        <w:numPr>
          <w:ilvl w:val="0"/>
          <w:numId w:val="25"/>
        </w:numPr>
        <w:spacing w:before="0" w:after="0" w:line="240" w:lineRule="auto"/>
        <w:rPr>
          <w:rFonts w:eastAsia="Calibri"/>
          <w:bCs/>
          <w:sz w:val="20"/>
          <w:szCs w:val="20"/>
        </w:rPr>
      </w:pPr>
      <w:r w:rsidRPr="00881C19">
        <w:rPr>
          <w:rFonts w:eastAsia="Calibri"/>
          <w:bCs/>
          <w:sz w:val="20"/>
          <w:szCs w:val="20"/>
        </w:rPr>
        <w:t xml:space="preserve">63,46 evra za površine njive (1100), začasnega travnika (1131), njive za rejo polžev </w:t>
      </w:r>
    </w:p>
    <w:p w14:paraId="6CB38549" w14:textId="77777777" w:rsidR="00E17633" w:rsidRPr="00881C19" w:rsidRDefault="00E17633" w:rsidP="00881C19">
      <w:pPr>
        <w:pStyle w:val="Odstavekseznama"/>
        <w:numPr>
          <w:ilvl w:val="0"/>
          <w:numId w:val="25"/>
        </w:numPr>
        <w:autoSpaceDE w:val="0"/>
        <w:autoSpaceDN w:val="0"/>
        <w:adjustRightInd w:val="0"/>
        <w:spacing w:line="240" w:lineRule="auto"/>
        <w:jc w:val="both"/>
        <w:rPr>
          <w:rFonts w:eastAsia="Calibri" w:cs="Arial"/>
          <w:bCs/>
          <w:szCs w:val="20"/>
        </w:rPr>
      </w:pPr>
      <w:r w:rsidRPr="00881C19">
        <w:rPr>
          <w:rFonts w:eastAsia="Calibri" w:cs="Arial"/>
          <w:bCs/>
          <w:szCs w:val="20"/>
        </w:rPr>
        <w:t>(1150), hmeljišča v premeni (1161), rastlinjaka (1190), rastlinjaka s sadnimi rastlinami (1192) in kmetijskega zemljišča v pripravi (1610).</w:t>
      </w:r>
    </w:p>
    <w:p w14:paraId="3E0D2C25" w14:textId="77777777" w:rsidR="00E17633" w:rsidRPr="00E3533D" w:rsidRDefault="00E17633" w:rsidP="00E3533D">
      <w:pPr>
        <w:overflowPunct w:val="0"/>
        <w:autoSpaceDE w:val="0"/>
        <w:autoSpaceDN w:val="0"/>
        <w:adjustRightInd w:val="0"/>
        <w:spacing w:line="240" w:lineRule="auto"/>
        <w:ind w:left="720"/>
        <w:jc w:val="both"/>
        <w:textAlignment w:val="baseline"/>
        <w:rPr>
          <w:rFonts w:cs="Arial"/>
          <w:szCs w:val="20"/>
          <w:lang w:eastAsia="sl-SI"/>
        </w:rPr>
      </w:pPr>
    </w:p>
    <w:p w14:paraId="1A634D34" w14:textId="77777777" w:rsidR="00E17633" w:rsidRPr="00E3533D" w:rsidRDefault="00E17633" w:rsidP="00E3533D">
      <w:pPr>
        <w:overflowPunct w:val="0"/>
        <w:autoSpaceDE w:val="0"/>
        <w:autoSpaceDN w:val="0"/>
        <w:adjustRightInd w:val="0"/>
        <w:spacing w:line="240" w:lineRule="auto"/>
        <w:jc w:val="both"/>
        <w:textAlignment w:val="baseline"/>
        <w:rPr>
          <w:rFonts w:cs="Arial"/>
          <w:b/>
          <w:szCs w:val="20"/>
          <w:lang w:eastAsia="sl-SI"/>
        </w:rPr>
      </w:pPr>
      <w:r w:rsidRPr="00881C19">
        <w:rPr>
          <w:rFonts w:cs="Arial"/>
          <w:bCs/>
          <w:szCs w:val="20"/>
          <w:lang w:eastAsia="sl-SI"/>
        </w:rPr>
        <w:t xml:space="preserve">Najnižji znesek dodeljenega finančnega nadomestila znaša 50 evrov na upravičenca. </w:t>
      </w:r>
      <w:r w:rsidRPr="00E3533D">
        <w:rPr>
          <w:rFonts w:cs="Arial"/>
          <w:color w:val="000000"/>
          <w:szCs w:val="20"/>
        </w:rPr>
        <w:t>Podpora se izplača torej samo kmetijam, ki prejmejo vsaj 50 evrov podpore. S tem se izloči kmetije, ki proizvajajo v glavnem za lastno porabo. Omejitev skupnega izplačila na največ 35.000 evrov, ki je določena v Sporočilu Komisije Začasni okvir za krizne ukrepe državne pomoči v podporo gospodarstvu po agresiji Rusije proti Ukrajini (UL C št. 131 I z dne 24. 3. 2022, str.1; v nadaljnjem besedilu: Začasni okvir), pa zniža izplačila največjim prejemnikom.</w:t>
      </w:r>
    </w:p>
    <w:p w14:paraId="6E957B7C" w14:textId="77777777" w:rsidR="00E17633" w:rsidRPr="00E3533D" w:rsidRDefault="00E17633" w:rsidP="00E3533D">
      <w:pPr>
        <w:pStyle w:val="Neotevilenodstavek"/>
        <w:spacing w:before="0" w:after="0" w:line="240" w:lineRule="auto"/>
        <w:rPr>
          <w:b/>
          <w:iCs/>
          <w:sz w:val="20"/>
          <w:szCs w:val="20"/>
        </w:rPr>
      </w:pPr>
    </w:p>
    <w:p w14:paraId="77AF3BB4" w14:textId="77777777" w:rsidR="00E17633" w:rsidRPr="00E3533D" w:rsidRDefault="00E17633" w:rsidP="00E3533D">
      <w:pPr>
        <w:autoSpaceDE w:val="0"/>
        <w:autoSpaceDN w:val="0"/>
        <w:adjustRightInd w:val="0"/>
        <w:spacing w:line="240" w:lineRule="auto"/>
        <w:jc w:val="both"/>
        <w:rPr>
          <w:rFonts w:cs="Arial"/>
          <w:color w:val="000000"/>
          <w:szCs w:val="20"/>
          <w:lang w:eastAsia="sl-SI"/>
        </w:rPr>
      </w:pPr>
      <w:r w:rsidRPr="00E3533D">
        <w:rPr>
          <w:rFonts w:cs="Arial"/>
          <w:color w:val="000000"/>
          <w:szCs w:val="20"/>
          <w:lang w:eastAsia="sl-SI"/>
        </w:rPr>
        <w:lastRenderedPageBreak/>
        <w:t>Nadalje se podpora izplača samo za tisto trajno travinje, kjer znaša obtežba travojedih živali na trajnem travinju vsake kmetije vsaj 0,9 GVŽ. S tem podporo natančneje usmerimo k kmetijam, ki imajo na trajnem travinju večje stroške gnojil in trajno travinje izrabljajo bolj intenzivno.</w:t>
      </w:r>
    </w:p>
    <w:p w14:paraId="18926BBE" w14:textId="77777777" w:rsidR="00E17633" w:rsidRPr="00E3533D" w:rsidRDefault="00E17633" w:rsidP="00E3533D">
      <w:pPr>
        <w:pStyle w:val="Neotevilenodstavek"/>
        <w:spacing w:before="0" w:after="0" w:line="240" w:lineRule="auto"/>
        <w:rPr>
          <w:iCs/>
          <w:sz w:val="20"/>
          <w:szCs w:val="20"/>
        </w:rPr>
      </w:pPr>
    </w:p>
    <w:p w14:paraId="443C1B89" w14:textId="77777777" w:rsidR="00E17633" w:rsidRPr="00881C19" w:rsidRDefault="00E17633" w:rsidP="00E3533D">
      <w:pPr>
        <w:pStyle w:val="Neotevilenodstavek"/>
        <w:spacing w:before="0" w:after="0" w:line="240" w:lineRule="auto"/>
        <w:rPr>
          <w:bCs/>
          <w:iCs/>
          <w:sz w:val="20"/>
          <w:szCs w:val="20"/>
        </w:rPr>
      </w:pPr>
      <w:r w:rsidRPr="00881C19">
        <w:rPr>
          <w:bCs/>
          <w:iCs/>
          <w:sz w:val="20"/>
          <w:szCs w:val="20"/>
        </w:rPr>
        <w:t>Agencija za kmetijske trge in razvoj podeželja</w:t>
      </w:r>
      <w:r w:rsidRPr="00881C19">
        <w:rPr>
          <w:bCs/>
          <w:sz w:val="20"/>
          <w:szCs w:val="20"/>
          <w:lang w:eastAsia="en-US"/>
        </w:rPr>
        <w:t xml:space="preserve"> bo upravičencem </w:t>
      </w:r>
      <w:r w:rsidRPr="00881C19">
        <w:rPr>
          <w:bCs/>
          <w:iCs/>
          <w:sz w:val="20"/>
          <w:szCs w:val="20"/>
        </w:rPr>
        <w:t xml:space="preserve">odpremila informativne odločbe najpozneje do 30. septembra 2022. </w:t>
      </w:r>
    </w:p>
    <w:p w14:paraId="50F9237F" w14:textId="77777777" w:rsidR="00E17633" w:rsidRPr="00E3533D" w:rsidRDefault="00E17633" w:rsidP="00E3533D">
      <w:pPr>
        <w:pStyle w:val="Neotevilenodstavek"/>
        <w:spacing w:before="0" w:after="0" w:line="240" w:lineRule="auto"/>
        <w:rPr>
          <w:iCs/>
          <w:sz w:val="20"/>
          <w:szCs w:val="20"/>
        </w:rPr>
      </w:pPr>
    </w:p>
    <w:p w14:paraId="00D398FB" w14:textId="77777777" w:rsidR="00E17633" w:rsidRPr="00E3533D" w:rsidRDefault="00E17633" w:rsidP="00E3533D">
      <w:pPr>
        <w:spacing w:line="240" w:lineRule="auto"/>
        <w:jc w:val="both"/>
        <w:rPr>
          <w:rFonts w:cs="Arial"/>
          <w:szCs w:val="20"/>
        </w:rPr>
      </w:pPr>
      <w:r w:rsidRPr="00E3533D">
        <w:rPr>
          <w:rFonts w:cs="Arial"/>
          <w:szCs w:val="20"/>
        </w:rPr>
        <w:t>Vir: Ministrstvo za kmetijstvo, gozdarstvo in prehrano</w:t>
      </w:r>
    </w:p>
    <w:p w14:paraId="50A0807E" w14:textId="565BA932" w:rsidR="00E17633" w:rsidRPr="00E3533D" w:rsidRDefault="00E17633" w:rsidP="00E3533D">
      <w:pPr>
        <w:spacing w:line="240" w:lineRule="auto"/>
        <w:jc w:val="both"/>
        <w:rPr>
          <w:rFonts w:cs="Arial"/>
          <w:szCs w:val="20"/>
        </w:rPr>
      </w:pPr>
    </w:p>
    <w:p w14:paraId="386E3B2A" w14:textId="77777777" w:rsidR="00E17633" w:rsidRPr="00E3533D" w:rsidRDefault="00E17633" w:rsidP="00E3533D">
      <w:pPr>
        <w:spacing w:line="240" w:lineRule="auto"/>
        <w:jc w:val="both"/>
        <w:rPr>
          <w:rFonts w:cs="Arial"/>
          <w:b/>
          <w:bCs/>
          <w:color w:val="000000"/>
          <w:szCs w:val="20"/>
          <w:lang w:eastAsia="sl-SI"/>
        </w:rPr>
      </w:pPr>
    </w:p>
    <w:p w14:paraId="77E093F2" w14:textId="77777777" w:rsidR="00E17633" w:rsidRPr="00E3533D" w:rsidRDefault="00E17633" w:rsidP="00E3533D">
      <w:pPr>
        <w:spacing w:line="240" w:lineRule="auto"/>
        <w:jc w:val="both"/>
        <w:rPr>
          <w:rFonts w:eastAsia="Calibri" w:cs="Arial"/>
          <w:szCs w:val="20"/>
        </w:rPr>
      </w:pPr>
      <w:r w:rsidRPr="00E3533D">
        <w:rPr>
          <w:rFonts w:cs="Arial"/>
          <w:b/>
          <w:bCs/>
          <w:color w:val="000000"/>
          <w:szCs w:val="20"/>
          <w:lang w:eastAsia="sl-SI"/>
        </w:rPr>
        <w:t xml:space="preserve">Vlada izdala </w:t>
      </w:r>
      <w:r w:rsidRPr="00E3533D">
        <w:rPr>
          <w:rFonts w:cs="Arial"/>
          <w:b/>
          <w:iCs/>
          <w:szCs w:val="20"/>
        </w:rPr>
        <w:t>Uredbo o dopolnitvi Uredbe o obnovljivih virih energije v prometu</w:t>
      </w:r>
    </w:p>
    <w:p w14:paraId="7D989502" w14:textId="77777777" w:rsidR="00E17633" w:rsidRPr="00E3533D" w:rsidRDefault="00E17633" w:rsidP="00E3533D">
      <w:pPr>
        <w:spacing w:line="240" w:lineRule="auto"/>
        <w:jc w:val="both"/>
        <w:rPr>
          <w:rFonts w:eastAsia="Calibri" w:cs="Arial"/>
          <w:szCs w:val="20"/>
        </w:rPr>
      </w:pPr>
      <w:r w:rsidRPr="00E3533D">
        <w:rPr>
          <w:rFonts w:eastAsia="Calibri" w:cs="Arial"/>
          <w:szCs w:val="20"/>
        </w:rPr>
        <w:t xml:space="preserve"> </w:t>
      </w:r>
    </w:p>
    <w:p w14:paraId="619975B8" w14:textId="77777777" w:rsidR="00E17633" w:rsidRPr="00E3533D" w:rsidRDefault="00E17633" w:rsidP="00E3533D">
      <w:pPr>
        <w:spacing w:line="240" w:lineRule="auto"/>
        <w:jc w:val="both"/>
        <w:rPr>
          <w:rFonts w:cs="Arial"/>
          <w:szCs w:val="20"/>
        </w:rPr>
      </w:pPr>
      <w:r w:rsidRPr="00E3533D">
        <w:rPr>
          <w:rFonts w:eastAsia="Calibri" w:cs="Arial"/>
          <w:szCs w:val="20"/>
        </w:rPr>
        <w:t xml:space="preserve">Uredba o obnovljivih virih energije v prometu ureja področje predpisanega obveznega energijskega deleža obnovljivih virov energije v pogonskih gorivih.  </w:t>
      </w:r>
      <w:r w:rsidRPr="00E3533D">
        <w:rPr>
          <w:rFonts w:cs="Arial"/>
          <w:color w:val="000000"/>
          <w:szCs w:val="20"/>
        </w:rPr>
        <w:t xml:space="preserve">Vlada je sprejela spremembo te uredbe, ki po novem uvajajo možnost odstopanja od predpisanih energijskih deležev obnovljivih virov energije v posameznem letu. Zavezanci v primeru nedoseganja predpisanega energijskega deleža obnovljivih virov energije v posameznem koledarskem letu cilj lahko dosežejo s presežkom energijskega deleža obnovljivih virov energije v enem izmed predhodnih treh let ali v obdobju sledečih treh let, oziroma s prenosom presežka energijskega deleža v obdobje, kjer delež ni bil dosežen. </w:t>
      </w:r>
    </w:p>
    <w:p w14:paraId="574607C2" w14:textId="77777777" w:rsidR="00E17633" w:rsidRPr="00E3533D" w:rsidRDefault="00E17633" w:rsidP="00E3533D">
      <w:pPr>
        <w:spacing w:line="240" w:lineRule="auto"/>
        <w:contextualSpacing/>
        <w:jc w:val="both"/>
        <w:rPr>
          <w:rFonts w:eastAsia="Calibri" w:cs="Arial"/>
          <w:szCs w:val="20"/>
        </w:rPr>
      </w:pPr>
    </w:p>
    <w:p w14:paraId="34A4773E" w14:textId="77777777" w:rsidR="00E17633" w:rsidRPr="00E3533D" w:rsidRDefault="00E17633" w:rsidP="00E3533D">
      <w:pPr>
        <w:spacing w:line="240" w:lineRule="auto"/>
        <w:contextualSpacing/>
        <w:jc w:val="both"/>
        <w:rPr>
          <w:rFonts w:eastAsia="Calibri" w:cs="Arial"/>
          <w:szCs w:val="20"/>
        </w:rPr>
      </w:pPr>
      <w:r w:rsidRPr="00E3533D">
        <w:rPr>
          <w:rFonts w:eastAsia="Calibri" w:cs="Arial"/>
          <w:szCs w:val="20"/>
        </w:rPr>
        <w:t xml:space="preserve">Namen uvedbe te fleksibilnosti je prilagoditev na izjemne okoliščine, ki so nastale na trgu pogonskih goriv v letu 2022 zaradi rusko-ukrajinske vojne, a ob hkratnem prizadevanju, da na dolgi rok ohranimo trend doseganja ciljev razogljičenja na področju prometa. </w:t>
      </w:r>
    </w:p>
    <w:p w14:paraId="247F503B" w14:textId="77777777" w:rsidR="00E17633" w:rsidRPr="00E3533D" w:rsidRDefault="00E17633" w:rsidP="00E3533D">
      <w:pPr>
        <w:spacing w:line="240" w:lineRule="auto"/>
        <w:contextualSpacing/>
        <w:jc w:val="both"/>
        <w:rPr>
          <w:rFonts w:eastAsia="Calibri" w:cs="Arial"/>
          <w:szCs w:val="20"/>
        </w:rPr>
      </w:pPr>
    </w:p>
    <w:p w14:paraId="43359E95" w14:textId="77777777" w:rsidR="00E17633" w:rsidRPr="00E3533D" w:rsidRDefault="00E17633" w:rsidP="00E3533D">
      <w:pPr>
        <w:spacing w:line="240" w:lineRule="auto"/>
        <w:contextualSpacing/>
        <w:jc w:val="both"/>
        <w:rPr>
          <w:rFonts w:eastAsia="Calibri" w:cs="Arial"/>
          <w:szCs w:val="20"/>
        </w:rPr>
      </w:pPr>
      <w:r w:rsidRPr="00E3533D">
        <w:rPr>
          <w:rFonts w:eastAsia="Calibri" w:cs="Arial"/>
          <w:szCs w:val="20"/>
        </w:rPr>
        <w:t xml:space="preserve">S prenosom količin med leti je dobaviteljem omogočena večja fleksibilnost, saj se tako razpoložljive količine </w:t>
      </w:r>
      <w:proofErr w:type="spellStart"/>
      <w:r w:rsidRPr="00E3533D">
        <w:rPr>
          <w:rFonts w:eastAsia="Calibri" w:cs="Arial"/>
          <w:szCs w:val="20"/>
        </w:rPr>
        <w:t>biogoriv</w:t>
      </w:r>
      <w:proofErr w:type="spellEnd"/>
      <w:r w:rsidRPr="00E3533D">
        <w:rPr>
          <w:rFonts w:eastAsia="Calibri" w:cs="Arial"/>
          <w:szCs w:val="20"/>
        </w:rPr>
        <w:t xml:space="preserve"> spreminjajo, spreminjajo se pa tudi cene. S predlagano ureditvijo bo omogočeno lažje prilagajanje razmeram na trgu.</w:t>
      </w:r>
    </w:p>
    <w:p w14:paraId="7B1187FA" w14:textId="77777777" w:rsidR="00E17633" w:rsidRPr="00E3533D" w:rsidRDefault="00E17633" w:rsidP="00E3533D">
      <w:pPr>
        <w:spacing w:line="240" w:lineRule="auto"/>
        <w:contextualSpacing/>
        <w:jc w:val="both"/>
        <w:rPr>
          <w:rFonts w:eastAsia="Calibri" w:cs="Arial"/>
          <w:szCs w:val="20"/>
        </w:rPr>
      </w:pPr>
    </w:p>
    <w:p w14:paraId="6A9A7775" w14:textId="77777777" w:rsidR="00E17633" w:rsidRPr="00E3533D" w:rsidRDefault="00E17633" w:rsidP="00E3533D">
      <w:pPr>
        <w:spacing w:line="240" w:lineRule="auto"/>
        <w:contextualSpacing/>
        <w:jc w:val="both"/>
        <w:rPr>
          <w:rFonts w:eastAsia="Calibri" w:cs="Arial"/>
          <w:szCs w:val="20"/>
        </w:rPr>
      </w:pPr>
      <w:r w:rsidRPr="00E3533D">
        <w:rPr>
          <w:rFonts w:eastAsia="Calibri" w:cs="Arial"/>
          <w:szCs w:val="20"/>
        </w:rPr>
        <w:t>Vir: Ministrstvo za infrastrukturo</w:t>
      </w:r>
    </w:p>
    <w:p w14:paraId="42E5A43D" w14:textId="77777777" w:rsidR="00E17633" w:rsidRPr="00E3533D" w:rsidRDefault="00E17633" w:rsidP="00E3533D">
      <w:pPr>
        <w:spacing w:line="240" w:lineRule="auto"/>
        <w:contextualSpacing/>
        <w:jc w:val="both"/>
        <w:rPr>
          <w:rFonts w:eastAsia="Calibri" w:cs="Arial"/>
          <w:szCs w:val="20"/>
        </w:rPr>
      </w:pPr>
    </w:p>
    <w:p w14:paraId="7EDA7EBD" w14:textId="77777777" w:rsidR="00E17633" w:rsidRPr="00E3533D" w:rsidRDefault="00E17633" w:rsidP="00E3533D">
      <w:pPr>
        <w:spacing w:line="240" w:lineRule="auto"/>
        <w:contextualSpacing/>
        <w:jc w:val="both"/>
        <w:rPr>
          <w:rFonts w:eastAsia="Calibri" w:cs="Arial"/>
          <w:szCs w:val="20"/>
        </w:rPr>
      </w:pPr>
    </w:p>
    <w:p w14:paraId="1F3D1CE9" w14:textId="77777777" w:rsidR="00E17633" w:rsidRPr="00E3533D" w:rsidRDefault="00E17633" w:rsidP="00E3533D">
      <w:pPr>
        <w:spacing w:line="240" w:lineRule="auto"/>
        <w:jc w:val="both"/>
        <w:rPr>
          <w:rFonts w:eastAsia="Calibri" w:cs="Arial"/>
          <w:szCs w:val="20"/>
        </w:rPr>
      </w:pPr>
      <w:r w:rsidRPr="00E3533D">
        <w:rPr>
          <w:rFonts w:cs="Arial"/>
          <w:b/>
          <w:bCs/>
          <w:color w:val="000000"/>
          <w:szCs w:val="20"/>
          <w:lang w:eastAsia="sl-SI"/>
        </w:rPr>
        <w:t xml:space="preserve">Vlada sprejela ukrepe in priporočila za </w:t>
      </w:r>
      <w:r w:rsidRPr="00E3533D">
        <w:rPr>
          <w:rFonts w:cs="Arial"/>
          <w:b/>
          <w:szCs w:val="20"/>
        </w:rPr>
        <w:t>učinkovito rabo energije v stavbah ožjega in širšega javnega sektorja</w:t>
      </w:r>
    </w:p>
    <w:p w14:paraId="068AE10D" w14:textId="77777777" w:rsidR="00E17633" w:rsidRPr="00E3533D" w:rsidRDefault="00E17633" w:rsidP="00E3533D">
      <w:pPr>
        <w:spacing w:line="240" w:lineRule="auto"/>
        <w:jc w:val="both"/>
        <w:rPr>
          <w:rFonts w:cs="Arial"/>
          <w:szCs w:val="20"/>
          <w:lang w:eastAsia="sl-SI"/>
        </w:rPr>
      </w:pPr>
    </w:p>
    <w:p w14:paraId="18E8715D"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 xml:space="preserve">Evropska komisija je konec maja 2022 predstavila </w:t>
      </w:r>
      <w:hyperlink r:id="rId8" w:history="1">
        <w:r w:rsidRPr="00E3533D">
          <w:rPr>
            <w:rFonts w:cs="Arial"/>
            <w:color w:val="000000"/>
            <w:szCs w:val="20"/>
          </w:rPr>
          <w:t xml:space="preserve">načrt </w:t>
        </w:r>
        <w:proofErr w:type="spellStart"/>
        <w:r w:rsidRPr="00E3533D">
          <w:rPr>
            <w:rFonts w:cs="Arial"/>
            <w:color w:val="000000"/>
            <w:szCs w:val="20"/>
          </w:rPr>
          <w:t>REPowerEU</w:t>
        </w:r>
        <w:proofErr w:type="spellEnd"/>
      </w:hyperlink>
      <w:r w:rsidRPr="00E3533D">
        <w:rPr>
          <w:rFonts w:cs="Arial"/>
          <w:color w:val="000000"/>
          <w:szCs w:val="20"/>
        </w:rPr>
        <w:t>, ki predstavljajo skupen odziv Evrope na težave in motnje na svetovnem energetskem trgu, ki jih je povzročila ruska invazija na Ukrajino. Preoblikovanje evropskega energetskega sistema je nujno iz dveh razlogov, in sicer zaradi odprave odvisnosti EU od ruskih fosilnih goriv in reševanja podnebne krize.</w:t>
      </w:r>
    </w:p>
    <w:p w14:paraId="2851B4C2" w14:textId="77777777" w:rsidR="00E17633" w:rsidRPr="00E3533D" w:rsidRDefault="00E17633" w:rsidP="00E3533D">
      <w:pPr>
        <w:spacing w:line="240" w:lineRule="auto"/>
        <w:jc w:val="both"/>
        <w:rPr>
          <w:rFonts w:cs="Arial"/>
          <w:color w:val="000000"/>
          <w:szCs w:val="20"/>
        </w:rPr>
      </w:pPr>
    </w:p>
    <w:p w14:paraId="61904440" w14:textId="608347A4" w:rsidR="00E17633" w:rsidRPr="00E3533D" w:rsidRDefault="00E17633" w:rsidP="00E3533D">
      <w:pPr>
        <w:spacing w:line="240" w:lineRule="auto"/>
        <w:jc w:val="both"/>
        <w:rPr>
          <w:rFonts w:cs="Arial"/>
          <w:color w:val="000000"/>
          <w:szCs w:val="20"/>
        </w:rPr>
      </w:pPr>
      <w:r w:rsidRPr="00E3533D">
        <w:rPr>
          <w:rFonts w:cs="Arial"/>
          <w:color w:val="000000"/>
          <w:szCs w:val="20"/>
        </w:rPr>
        <w:t xml:space="preserve">Če Evropa nastopa kot Unija, lahko hitreje odpravimo svojo odvisnost od ruskih fosilnih goriv, zato je Slovenija začela aktivno izvajati ukrepe iz načrta </w:t>
      </w:r>
      <w:proofErr w:type="spellStart"/>
      <w:r w:rsidRPr="00E3533D">
        <w:rPr>
          <w:rFonts w:cs="Arial"/>
          <w:color w:val="000000"/>
          <w:szCs w:val="20"/>
        </w:rPr>
        <w:t>REPowerEU</w:t>
      </w:r>
      <w:proofErr w:type="spellEnd"/>
      <w:r w:rsidRPr="00E3533D">
        <w:rPr>
          <w:rFonts w:cs="Arial"/>
          <w:color w:val="000000"/>
          <w:szCs w:val="20"/>
        </w:rPr>
        <w:t>.</w:t>
      </w:r>
    </w:p>
    <w:p w14:paraId="27604887" w14:textId="77777777" w:rsidR="00E17633" w:rsidRPr="00E3533D" w:rsidRDefault="00E17633" w:rsidP="00E3533D">
      <w:pPr>
        <w:spacing w:line="240" w:lineRule="auto"/>
        <w:jc w:val="both"/>
        <w:rPr>
          <w:rFonts w:cs="Arial"/>
          <w:color w:val="000000"/>
          <w:szCs w:val="20"/>
        </w:rPr>
      </w:pPr>
    </w:p>
    <w:p w14:paraId="769739EB" w14:textId="44A0BE69" w:rsidR="00E17633" w:rsidRPr="00E3533D" w:rsidRDefault="00E17633" w:rsidP="00E3533D">
      <w:pPr>
        <w:pStyle w:val="Navadensplet"/>
        <w:spacing w:before="0" w:beforeAutospacing="0" w:after="0" w:afterAutospacing="0"/>
        <w:jc w:val="both"/>
        <w:rPr>
          <w:rFonts w:ascii="Arial" w:hAnsi="Arial" w:cs="Arial"/>
          <w:color w:val="000000"/>
          <w:sz w:val="20"/>
          <w:szCs w:val="20"/>
          <w:lang w:eastAsia="en-US"/>
        </w:rPr>
      </w:pPr>
      <w:r w:rsidRPr="00E3533D">
        <w:rPr>
          <w:rFonts w:ascii="Arial" w:hAnsi="Arial" w:cs="Arial"/>
          <w:color w:val="000000"/>
          <w:sz w:val="20"/>
          <w:szCs w:val="20"/>
          <w:lang w:eastAsia="en-US"/>
        </w:rPr>
        <w:t xml:space="preserve">Z ukrepi iz načrta </w:t>
      </w:r>
      <w:proofErr w:type="spellStart"/>
      <w:r w:rsidRPr="00E3533D">
        <w:rPr>
          <w:rFonts w:ascii="Arial" w:hAnsi="Arial" w:cs="Arial"/>
          <w:color w:val="000000"/>
          <w:sz w:val="20"/>
          <w:szCs w:val="20"/>
          <w:lang w:eastAsia="en-US"/>
        </w:rPr>
        <w:t>REPowerEU</w:t>
      </w:r>
      <w:proofErr w:type="spellEnd"/>
      <w:r w:rsidRPr="00E3533D">
        <w:rPr>
          <w:rFonts w:ascii="Arial" w:hAnsi="Arial" w:cs="Arial"/>
          <w:color w:val="000000"/>
          <w:sz w:val="20"/>
          <w:szCs w:val="20"/>
          <w:lang w:eastAsia="en-US"/>
        </w:rPr>
        <w:t xml:space="preserve"> se lahko odzovemo tudi s prihranki energije, diverzifikacijo oskrbe z energijo ter pospešenim uvajanjem energije iz obnovljivih virov, da bi nadomestili fosilna goriva v domovih, na delovnih mestih, v industriji in proizvodnji električne energije.</w:t>
      </w:r>
    </w:p>
    <w:p w14:paraId="65B59649" w14:textId="77777777" w:rsidR="00E17633" w:rsidRPr="00E3533D" w:rsidRDefault="00E17633" w:rsidP="00E3533D">
      <w:pPr>
        <w:pStyle w:val="Navadensplet"/>
        <w:spacing w:before="0" w:beforeAutospacing="0" w:after="0" w:afterAutospacing="0"/>
        <w:jc w:val="both"/>
        <w:rPr>
          <w:rFonts w:ascii="Arial" w:hAnsi="Arial" w:cs="Arial"/>
          <w:color w:val="000000"/>
          <w:sz w:val="20"/>
          <w:szCs w:val="20"/>
          <w:lang w:eastAsia="en-US"/>
        </w:rPr>
      </w:pPr>
    </w:p>
    <w:p w14:paraId="2295D114" w14:textId="644CA831" w:rsidR="00E17633" w:rsidRPr="00E3533D" w:rsidRDefault="00E17633" w:rsidP="00E3533D">
      <w:pPr>
        <w:pStyle w:val="Navadensplet"/>
        <w:spacing w:before="0" w:beforeAutospacing="0" w:after="0" w:afterAutospacing="0"/>
        <w:jc w:val="both"/>
        <w:rPr>
          <w:rFonts w:ascii="Arial" w:hAnsi="Arial" w:cs="Arial"/>
          <w:color w:val="000000"/>
          <w:sz w:val="20"/>
          <w:szCs w:val="20"/>
          <w:lang w:eastAsia="en-US"/>
        </w:rPr>
      </w:pPr>
      <w:r w:rsidRPr="00E3533D">
        <w:rPr>
          <w:rFonts w:ascii="Arial" w:hAnsi="Arial" w:cs="Arial"/>
          <w:color w:val="000000"/>
          <w:sz w:val="20"/>
          <w:szCs w:val="20"/>
          <w:lang w:eastAsia="en-US"/>
        </w:rPr>
        <w:t>Zelena preobrazba bo okrepila gospodarsko rast, varnost in prispevala k izvajanju podnebnih ukrepov za Slovenijo in Evropo.</w:t>
      </w:r>
    </w:p>
    <w:p w14:paraId="6BDD3BE3" w14:textId="77777777" w:rsidR="00E17633" w:rsidRPr="00E3533D" w:rsidRDefault="00E17633" w:rsidP="00E3533D">
      <w:pPr>
        <w:pStyle w:val="Navadensplet"/>
        <w:spacing w:before="0" w:beforeAutospacing="0" w:after="0" w:afterAutospacing="0"/>
        <w:jc w:val="both"/>
        <w:rPr>
          <w:rFonts w:ascii="Arial" w:hAnsi="Arial" w:cs="Arial"/>
          <w:color w:val="000000"/>
          <w:sz w:val="20"/>
          <w:szCs w:val="20"/>
          <w:lang w:eastAsia="en-US"/>
        </w:rPr>
      </w:pPr>
    </w:p>
    <w:p w14:paraId="6882A489" w14:textId="77777777" w:rsidR="00E17633" w:rsidRPr="00E3533D" w:rsidRDefault="00E17633" w:rsidP="00E3533D">
      <w:pPr>
        <w:spacing w:line="240" w:lineRule="auto"/>
        <w:jc w:val="both"/>
        <w:rPr>
          <w:rFonts w:cs="Arial"/>
          <w:color w:val="000000"/>
          <w:szCs w:val="20"/>
        </w:rPr>
      </w:pPr>
      <w:r w:rsidRPr="00E3533D">
        <w:rPr>
          <w:rFonts w:cs="Arial"/>
          <w:color w:val="000000"/>
          <w:szCs w:val="20"/>
        </w:rPr>
        <w:t xml:space="preserve">S prihranki energije lahko najugodnejše in najhitreje prispevamo k reševanju energetske krize (negotove oskrbe) ter zmanjšanju stroškov. </w:t>
      </w:r>
    </w:p>
    <w:p w14:paraId="76EF056A" w14:textId="77777777" w:rsidR="00E17633" w:rsidRPr="00E3533D" w:rsidRDefault="00E17633" w:rsidP="00E3533D">
      <w:pPr>
        <w:spacing w:line="240" w:lineRule="auto"/>
        <w:contextualSpacing/>
        <w:jc w:val="both"/>
        <w:rPr>
          <w:rFonts w:eastAsia="Calibri" w:cs="Arial"/>
          <w:szCs w:val="20"/>
        </w:rPr>
      </w:pPr>
    </w:p>
    <w:p w14:paraId="4AAFB80E" w14:textId="77777777" w:rsidR="00E17633" w:rsidRPr="00E3533D" w:rsidRDefault="00E17633" w:rsidP="00E3533D">
      <w:pPr>
        <w:spacing w:line="240" w:lineRule="auto"/>
        <w:contextualSpacing/>
        <w:jc w:val="both"/>
        <w:rPr>
          <w:rFonts w:eastAsia="Calibri" w:cs="Arial"/>
          <w:szCs w:val="20"/>
        </w:rPr>
      </w:pPr>
      <w:r w:rsidRPr="00E3533D">
        <w:rPr>
          <w:rFonts w:eastAsia="Calibri" w:cs="Arial"/>
          <w:szCs w:val="20"/>
        </w:rPr>
        <w:t xml:space="preserve">Podobne ukrepe zmanjševanja rabe energije ter odvisnosti od fosilnih goriv v javnem sektorju sta na sprejeli tudi Španija in Italija. </w:t>
      </w:r>
    </w:p>
    <w:p w14:paraId="5234D75D" w14:textId="77777777" w:rsidR="00E17633" w:rsidRPr="00E3533D" w:rsidRDefault="00E17633" w:rsidP="00E3533D">
      <w:pPr>
        <w:spacing w:line="240" w:lineRule="auto"/>
        <w:contextualSpacing/>
        <w:jc w:val="both"/>
        <w:rPr>
          <w:rFonts w:eastAsia="Calibri" w:cs="Arial"/>
          <w:szCs w:val="20"/>
        </w:rPr>
      </w:pPr>
    </w:p>
    <w:p w14:paraId="5036E24D" w14:textId="77777777" w:rsidR="00E17633" w:rsidRPr="00E3533D" w:rsidRDefault="00E17633" w:rsidP="00E3533D">
      <w:pPr>
        <w:spacing w:line="240" w:lineRule="auto"/>
        <w:ind w:left="360"/>
        <w:jc w:val="both"/>
        <w:rPr>
          <w:rFonts w:cs="Arial"/>
          <w:color w:val="000000"/>
          <w:szCs w:val="20"/>
        </w:rPr>
      </w:pPr>
      <w:r w:rsidRPr="00E3533D">
        <w:rPr>
          <w:rFonts w:cs="Arial"/>
          <w:color w:val="000000"/>
          <w:szCs w:val="20"/>
        </w:rPr>
        <w:t xml:space="preserve">Med najpomembnejšimi je ukrep, da organi </w:t>
      </w:r>
      <w:r w:rsidRPr="00E3533D">
        <w:rPr>
          <w:rFonts w:cs="Arial"/>
          <w:szCs w:val="20"/>
        </w:rPr>
        <w:t>državne uprave, ki so upravljavci ali uporabniki stavb v lasti ali uporabi Republike Slovenije, zagotovijo, da se v stavbah in njihovih prostorih, ki imajo vgrajen klimatski sistem, prostori ne hladijo na nižjo temperaturo zraka, kot je +25 °C</w:t>
      </w:r>
    </w:p>
    <w:p w14:paraId="49A740E2" w14:textId="18E699F3" w:rsidR="00E17633" w:rsidRPr="00E3533D" w:rsidRDefault="00E17633" w:rsidP="00E3533D">
      <w:pPr>
        <w:pStyle w:val="Alineazaodstavkom"/>
        <w:numPr>
          <w:ilvl w:val="0"/>
          <w:numId w:val="0"/>
        </w:numPr>
        <w:spacing w:line="240" w:lineRule="auto"/>
        <w:ind w:left="360"/>
        <w:rPr>
          <w:sz w:val="20"/>
          <w:szCs w:val="20"/>
        </w:rPr>
      </w:pPr>
      <w:r w:rsidRPr="00E3533D">
        <w:rPr>
          <w:sz w:val="20"/>
          <w:szCs w:val="20"/>
        </w:rPr>
        <w:lastRenderedPageBreak/>
        <w:t>ob pogoju, da relativna vlažnost dovedenega zraka ni višja od 60 %, razen kjer to zaradi zahtev namembnosti ali delovanja stavbe ni mogoče. Predpisano velja tudi za zaposlene v stavbah, za tiste dele prostorov, ki omogočajo samostojno regulacijo notranje temperature prostorov.</w:t>
      </w:r>
    </w:p>
    <w:p w14:paraId="61ACB7FF" w14:textId="77777777" w:rsidR="00E17633" w:rsidRPr="00E3533D" w:rsidRDefault="00E17633" w:rsidP="00E3533D">
      <w:pPr>
        <w:pStyle w:val="Alineazaodstavkom"/>
        <w:numPr>
          <w:ilvl w:val="0"/>
          <w:numId w:val="0"/>
        </w:numPr>
        <w:spacing w:line="240" w:lineRule="auto"/>
        <w:ind w:left="425"/>
        <w:rPr>
          <w:sz w:val="20"/>
          <w:szCs w:val="20"/>
        </w:rPr>
      </w:pPr>
    </w:p>
    <w:p w14:paraId="7A8E1714" w14:textId="73E399EA" w:rsidR="00E17633" w:rsidRDefault="00E17633" w:rsidP="00E3533D">
      <w:pPr>
        <w:pStyle w:val="Alineazaodstavkom"/>
        <w:numPr>
          <w:ilvl w:val="0"/>
          <w:numId w:val="0"/>
        </w:numPr>
        <w:spacing w:line="240" w:lineRule="auto"/>
        <w:ind w:left="360"/>
        <w:rPr>
          <w:sz w:val="20"/>
          <w:szCs w:val="20"/>
        </w:rPr>
      </w:pPr>
      <w:r w:rsidRPr="00E3533D">
        <w:rPr>
          <w:sz w:val="20"/>
          <w:szCs w:val="20"/>
        </w:rPr>
        <w:t>Med ukrepi je prav tako zapisano, da se v stavbah organov državne uprave prostori po 18.00 uri in do 7.00 ure zjutraj na delovne dni in cel dan v soboto, nedeljo in ob praznikih, razen kjer je to potrebno zaradi zahtev namembnosti ali delovanja stavbe ali dela stavbe, ne hladijo na nižjo temperaturo zraka, kot je +28 °C. V navedenem času se prostorov ne hladi pod +28°C, če se za ta namen uporablja hladilni agregat. Hlajenje pod +28°C pa se lahko zagotovi z zunanjim hladnim zrakom.</w:t>
      </w:r>
    </w:p>
    <w:p w14:paraId="7D9489CF" w14:textId="77777777" w:rsidR="002520AE" w:rsidRPr="00E3533D" w:rsidRDefault="002520AE" w:rsidP="00E3533D">
      <w:pPr>
        <w:pStyle w:val="Alineazaodstavkom"/>
        <w:numPr>
          <w:ilvl w:val="0"/>
          <w:numId w:val="0"/>
        </w:numPr>
        <w:spacing w:line="240" w:lineRule="auto"/>
        <w:ind w:left="360"/>
        <w:rPr>
          <w:sz w:val="20"/>
          <w:szCs w:val="20"/>
        </w:rPr>
      </w:pPr>
    </w:p>
    <w:p w14:paraId="19D7B965" w14:textId="31952DA1" w:rsidR="00E17633" w:rsidRPr="00E3533D" w:rsidRDefault="00E17633" w:rsidP="00E3533D">
      <w:pPr>
        <w:pStyle w:val="Alineazaodstavkom"/>
        <w:numPr>
          <w:ilvl w:val="0"/>
          <w:numId w:val="0"/>
        </w:numPr>
        <w:spacing w:line="240" w:lineRule="auto"/>
        <w:ind w:left="360"/>
        <w:rPr>
          <w:sz w:val="20"/>
          <w:szCs w:val="20"/>
        </w:rPr>
      </w:pPr>
      <w:r w:rsidRPr="00E3533D">
        <w:rPr>
          <w:sz w:val="20"/>
          <w:szCs w:val="20"/>
        </w:rPr>
        <w:t>Upravljavci stavb morajo v največji možni meri zagotoviti zniževanje rabe energije in v ta namen sprejeti druge možne organizacijske ukrepe energetske učinkovitosti za znižanje rabe energije. Temu se ustrezno prilagodijo tudi pravila in kodeksi oblačenja, skladno z možnostmi.</w:t>
      </w:r>
    </w:p>
    <w:p w14:paraId="43045101" w14:textId="77777777" w:rsidR="00E17633" w:rsidRPr="00E3533D" w:rsidRDefault="00E17633" w:rsidP="00E3533D">
      <w:pPr>
        <w:pStyle w:val="Alineazaodstavkom"/>
        <w:numPr>
          <w:ilvl w:val="0"/>
          <w:numId w:val="0"/>
        </w:numPr>
        <w:spacing w:line="240" w:lineRule="auto"/>
        <w:ind w:left="425"/>
        <w:rPr>
          <w:sz w:val="20"/>
          <w:szCs w:val="20"/>
        </w:rPr>
      </w:pPr>
    </w:p>
    <w:p w14:paraId="03F013F0" w14:textId="30B13706" w:rsidR="00E17633" w:rsidRPr="00E3533D" w:rsidRDefault="00E17633" w:rsidP="00E3533D">
      <w:pPr>
        <w:pStyle w:val="Alineazaodstavkom"/>
        <w:numPr>
          <w:ilvl w:val="0"/>
          <w:numId w:val="0"/>
        </w:numPr>
        <w:spacing w:line="240" w:lineRule="auto"/>
        <w:ind w:left="360"/>
        <w:rPr>
          <w:sz w:val="20"/>
          <w:szCs w:val="20"/>
        </w:rPr>
      </w:pPr>
      <w:r w:rsidRPr="00E3533D">
        <w:rPr>
          <w:sz w:val="20"/>
          <w:szCs w:val="20"/>
        </w:rPr>
        <w:t xml:space="preserve">Vlada upravljalce stavb organov državne uprave med drugim prav tako poziva, naj nemudoma pristopijo k hitrejšemu izvajanju ukrepov in naložb za učinkovito rabo energije in večjo rabo obnovljivih virov energije v svojih stavbah. </w:t>
      </w:r>
    </w:p>
    <w:p w14:paraId="2C39932A" w14:textId="77777777" w:rsidR="00E17633" w:rsidRPr="00E3533D" w:rsidRDefault="00E17633" w:rsidP="00E3533D">
      <w:pPr>
        <w:pStyle w:val="Alineazaodstavkom"/>
        <w:numPr>
          <w:ilvl w:val="0"/>
          <w:numId w:val="0"/>
        </w:numPr>
        <w:spacing w:line="240" w:lineRule="auto"/>
        <w:rPr>
          <w:sz w:val="20"/>
          <w:szCs w:val="20"/>
        </w:rPr>
      </w:pPr>
    </w:p>
    <w:p w14:paraId="37CF75D8" w14:textId="3C52835E" w:rsidR="00E17633" w:rsidRPr="00E3533D" w:rsidRDefault="00E17633" w:rsidP="00E3533D">
      <w:pPr>
        <w:pStyle w:val="Alineazaodstavkom"/>
        <w:numPr>
          <w:ilvl w:val="0"/>
          <w:numId w:val="0"/>
        </w:numPr>
        <w:spacing w:line="240" w:lineRule="auto"/>
        <w:ind w:left="360"/>
        <w:rPr>
          <w:sz w:val="20"/>
          <w:szCs w:val="20"/>
        </w:rPr>
      </w:pPr>
      <w:r w:rsidRPr="00E3533D">
        <w:rPr>
          <w:sz w:val="20"/>
          <w:szCs w:val="20"/>
        </w:rPr>
        <w:t xml:space="preserve">Vlada je prav tako pozvala odgovorne osebe v organih državne uprave, da prednostno pristopijo k izvajanju ukrepov energetske učinkovitosti, prav tako pa naj preverijo, ali je v prihajajoči kurilni sezoni možna tudi uporaba drugih energentov ali nadgradnja vira ogrevanja z viri iz obnovljivih virov energije. </w:t>
      </w:r>
    </w:p>
    <w:p w14:paraId="2CE8B32A" w14:textId="77777777" w:rsidR="00E17633" w:rsidRPr="00E3533D" w:rsidRDefault="00E17633" w:rsidP="00E3533D">
      <w:pPr>
        <w:pStyle w:val="Alineazaodstavkom"/>
        <w:numPr>
          <w:ilvl w:val="0"/>
          <w:numId w:val="0"/>
        </w:numPr>
        <w:spacing w:line="240" w:lineRule="auto"/>
        <w:ind w:left="360"/>
        <w:rPr>
          <w:sz w:val="20"/>
          <w:szCs w:val="20"/>
        </w:rPr>
      </w:pPr>
    </w:p>
    <w:p w14:paraId="762E27F9" w14:textId="59F85D89" w:rsidR="00E17633" w:rsidRPr="00E3533D" w:rsidRDefault="00E17633" w:rsidP="00E3533D">
      <w:pPr>
        <w:pStyle w:val="Alineazaodstavkom"/>
        <w:numPr>
          <w:ilvl w:val="0"/>
          <w:numId w:val="0"/>
        </w:numPr>
        <w:spacing w:line="240" w:lineRule="auto"/>
        <w:ind w:left="360"/>
        <w:rPr>
          <w:sz w:val="20"/>
          <w:szCs w:val="20"/>
        </w:rPr>
      </w:pPr>
      <w:r w:rsidRPr="00E3533D">
        <w:rPr>
          <w:sz w:val="20"/>
          <w:szCs w:val="20"/>
        </w:rPr>
        <w:t>Vlada med ukrepi objavlja tudi poziv, da se prostori v organih državne uprave ne ogrevajo na višjo temperaturo zraka od +2</w:t>
      </w:r>
      <w:r w:rsidR="00F855BC">
        <w:rPr>
          <w:sz w:val="20"/>
          <w:szCs w:val="20"/>
        </w:rPr>
        <w:t>0</w:t>
      </w:r>
      <w:r w:rsidRPr="00E3533D">
        <w:rPr>
          <w:sz w:val="20"/>
          <w:szCs w:val="20"/>
        </w:rPr>
        <w:t>°C, razen v posebnih primerih, kjer po presoji upravljavca stavbe ni mogoče zagotoviti navedenih zahtev zaradi utemeljenih razlogov.</w:t>
      </w:r>
    </w:p>
    <w:p w14:paraId="63C073DD" w14:textId="77777777" w:rsidR="00E17633" w:rsidRPr="00E3533D" w:rsidRDefault="00E17633" w:rsidP="00E3533D">
      <w:pPr>
        <w:pStyle w:val="Alineazaodstavkom"/>
        <w:numPr>
          <w:ilvl w:val="0"/>
          <w:numId w:val="0"/>
        </w:numPr>
        <w:spacing w:line="240" w:lineRule="auto"/>
        <w:ind w:left="360"/>
        <w:rPr>
          <w:sz w:val="20"/>
          <w:szCs w:val="20"/>
        </w:rPr>
      </w:pPr>
    </w:p>
    <w:p w14:paraId="6929E197" w14:textId="77777777" w:rsidR="00E17633" w:rsidRPr="00E3533D" w:rsidRDefault="00E17633" w:rsidP="00E3533D">
      <w:pPr>
        <w:spacing w:line="240" w:lineRule="auto"/>
        <w:jc w:val="both"/>
        <w:rPr>
          <w:rFonts w:cs="Arial"/>
          <w:szCs w:val="20"/>
        </w:rPr>
      </w:pPr>
      <w:r w:rsidRPr="00E3533D">
        <w:rPr>
          <w:rFonts w:cs="Arial"/>
          <w:szCs w:val="20"/>
        </w:rPr>
        <w:t>Priporočila glede načina uporabe klimatskih sistemov zaradi nalezljive bolezni COVID-19 se smiselno upoštevajo, kjer je to mogoče.</w:t>
      </w:r>
    </w:p>
    <w:p w14:paraId="06C044D0" w14:textId="77777777" w:rsidR="00E17633" w:rsidRPr="00E3533D" w:rsidRDefault="00E17633" w:rsidP="00E3533D">
      <w:pPr>
        <w:pStyle w:val="Odstavekseznama"/>
        <w:spacing w:line="240" w:lineRule="auto"/>
        <w:jc w:val="both"/>
        <w:rPr>
          <w:rFonts w:cs="Arial"/>
          <w:szCs w:val="20"/>
        </w:rPr>
      </w:pPr>
    </w:p>
    <w:p w14:paraId="00DD9EAC" w14:textId="17248B61" w:rsidR="00E17633" w:rsidRDefault="00E17633" w:rsidP="00E3533D">
      <w:pPr>
        <w:spacing w:line="240" w:lineRule="auto"/>
        <w:contextualSpacing/>
        <w:jc w:val="both"/>
        <w:rPr>
          <w:rFonts w:cs="Arial"/>
          <w:color w:val="000000"/>
          <w:szCs w:val="20"/>
        </w:rPr>
      </w:pPr>
      <w:r w:rsidRPr="00E3533D">
        <w:rPr>
          <w:rFonts w:cs="Arial"/>
          <w:color w:val="000000"/>
          <w:szCs w:val="20"/>
        </w:rPr>
        <w:t>Vlada nalaga ministrstvom, da s tem sklepom seznanijo javne agencije, javne sklade, javne zavode in javne gospodarske zavode iz svoje pristojnosti in tako priporočijo njegovo uporabo tudi v teh subjektih. Predlaga pa ravnanje v skladu s tem sklepom tudi drugim državnim organom in lokalnim skupnostim.</w:t>
      </w:r>
    </w:p>
    <w:p w14:paraId="7003B86A" w14:textId="59C6B2D7" w:rsidR="00F855BC" w:rsidRDefault="00F855BC" w:rsidP="00E3533D">
      <w:pPr>
        <w:spacing w:line="240" w:lineRule="auto"/>
        <w:contextualSpacing/>
        <w:jc w:val="both"/>
        <w:rPr>
          <w:rFonts w:cs="Arial"/>
          <w:color w:val="000000"/>
          <w:szCs w:val="20"/>
        </w:rPr>
      </w:pPr>
    </w:p>
    <w:p w14:paraId="36C7D785" w14:textId="215879F6" w:rsidR="00F855BC" w:rsidRPr="00E3533D" w:rsidRDefault="00F855BC" w:rsidP="00E3533D">
      <w:pPr>
        <w:spacing w:line="240" w:lineRule="auto"/>
        <w:contextualSpacing/>
        <w:jc w:val="both"/>
        <w:rPr>
          <w:rFonts w:cs="Arial"/>
          <w:color w:val="000000"/>
          <w:szCs w:val="20"/>
        </w:rPr>
      </w:pPr>
      <w:r>
        <w:rPr>
          <w:rFonts w:cs="Arial"/>
          <w:color w:val="000000"/>
          <w:szCs w:val="20"/>
        </w:rPr>
        <w:t xml:space="preserve">Cilj sprejetih sklepov je 10-odstotno znižanje porabe energije. </w:t>
      </w:r>
    </w:p>
    <w:p w14:paraId="66E83E37" w14:textId="42E35B6D" w:rsidR="00E17633" w:rsidRPr="00E3533D" w:rsidRDefault="00E17633" w:rsidP="00E3533D">
      <w:pPr>
        <w:spacing w:line="240" w:lineRule="auto"/>
        <w:jc w:val="both"/>
        <w:rPr>
          <w:rFonts w:cs="Arial"/>
          <w:szCs w:val="20"/>
          <w:lang w:eastAsia="sl-SI"/>
        </w:rPr>
      </w:pPr>
    </w:p>
    <w:p w14:paraId="76A7B592" w14:textId="77777777" w:rsidR="00E17633" w:rsidRPr="00E3533D" w:rsidRDefault="00E17633" w:rsidP="00E3533D">
      <w:pPr>
        <w:spacing w:line="240" w:lineRule="auto"/>
        <w:jc w:val="both"/>
        <w:rPr>
          <w:rFonts w:cs="Arial"/>
          <w:szCs w:val="20"/>
        </w:rPr>
      </w:pPr>
      <w:r w:rsidRPr="00E3533D">
        <w:rPr>
          <w:rFonts w:cs="Arial"/>
          <w:szCs w:val="20"/>
        </w:rPr>
        <w:t>Vir: Ministrstvo za infrastrukturo</w:t>
      </w:r>
    </w:p>
    <w:p w14:paraId="1AED89F8" w14:textId="77777777" w:rsidR="00E17633" w:rsidRPr="00E3533D" w:rsidRDefault="00E17633" w:rsidP="00E3533D">
      <w:pPr>
        <w:spacing w:line="240" w:lineRule="auto"/>
        <w:contextualSpacing/>
        <w:jc w:val="both"/>
        <w:rPr>
          <w:rFonts w:eastAsia="Calibri" w:cs="Arial"/>
          <w:szCs w:val="20"/>
        </w:rPr>
      </w:pPr>
    </w:p>
    <w:p w14:paraId="25D2A02C" w14:textId="77777777" w:rsidR="00E17633" w:rsidRPr="00E3533D" w:rsidRDefault="00E17633" w:rsidP="00E3533D">
      <w:pPr>
        <w:spacing w:line="240" w:lineRule="auto"/>
        <w:jc w:val="both"/>
        <w:rPr>
          <w:rFonts w:cs="Arial"/>
          <w:szCs w:val="20"/>
        </w:rPr>
      </w:pPr>
    </w:p>
    <w:p w14:paraId="1C5790DA" w14:textId="77777777" w:rsidR="00E17633" w:rsidRPr="00E3533D" w:rsidRDefault="00E17633" w:rsidP="00E3533D">
      <w:pPr>
        <w:spacing w:line="240" w:lineRule="auto"/>
        <w:jc w:val="both"/>
        <w:rPr>
          <w:rFonts w:cs="Arial"/>
          <w:b/>
          <w:bCs/>
          <w:color w:val="000000"/>
          <w:szCs w:val="20"/>
        </w:rPr>
      </w:pPr>
      <w:r w:rsidRPr="00E3533D">
        <w:rPr>
          <w:rFonts w:cs="Arial"/>
          <w:b/>
          <w:bCs/>
          <w:szCs w:val="20"/>
        </w:rPr>
        <w:t>Vlada je sprejela p</w:t>
      </w:r>
      <w:r w:rsidRPr="00E3533D">
        <w:rPr>
          <w:rFonts w:cs="Arial"/>
          <w:b/>
          <w:bCs/>
          <w:color w:val="000000"/>
          <w:szCs w:val="20"/>
        </w:rPr>
        <w:t>redlog novele Zakona o dostopu do informacij javnega značaja</w:t>
      </w:r>
    </w:p>
    <w:p w14:paraId="665CBF01" w14:textId="77777777" w:rsidR="00E17633" w:rsidRPr="00E3533D" w:rsidRDefault="00E17633" w:rsidP="00E3533D">
      <w:pPr>
        <w:autoSpaceDE w:val="0"/>
        <w:autoSpaceDN w:val="0"/>
        <w:adjustRightInd w:val="0"/>
        <w:spacing w:line="240" w:lineRule="auto"/>
        <w:jc w:val="both"/>
        <w:rPr>
          <w:rFonts w:cs="Arial"/>
          <w:color w:val="000000"/>
          <w:szCs w:val="20"/>
        </w:rPr>
      </w:pPr>
    </w:p>
    <w:p w14:paraId="0F1871F7" w14:textId="77777777" w:rsidR="00E17633" w:rsidRPr="00E3533D" w:rsidRDefault="00E17633" w:rsidP="00E3533D">
      <w:pPr>
        <w:autoSpaceDE w:val="0"/>
        <w:autoSpaceDN w:val="0"/>
        <w:adjustRightInd w:val="0"/>
        <w:spacing w:line="240" w:lineRule="auto"/>
        <w:jc w:val="both"/>
        <w:rPr>
          <w:rFonts w:cs="Arial"/>
          <w:color w:val="000000"/>
          <w:szCs w:val="20"/>
        </w:rPr>
      </w:pPr>
      <w:r w:rsidRPr="00E3533D">
        <w:rPr>
          <w:rFonts w:cs="Arial"/>
          <w:color w:val="000000"/>
          <w:szCs w:val="20"/>
        </w:rPr>
        <w:t xml:space="preserve">Vlada je sprejela Predlog zakona o spremembah in dopolnitvah Zakona o dostopu do informacij javnega značaja </w:t>
      </w:r>
      <w:r w:rsidRPr="00E3533D">
        <w:rPr>
          <w:rFonts w:cs="Arial"/>
          <w:szCs w:val="20"/>
        </w:rPr>
        <w:t>ter ga pošlje Državnemu zboru Republike Slovenije v obravnavo po skrajšanem postopku.</w:t>
      </w:r>
    </w:p>
    <w:p w14:paraId="37D8DA16" w14:textId="77777777" w:rsidR="00E17633" w:rsidRPr="00E3533D" w:rsidRDefault="00E17633" w:rsidP="00E3533D">
      <w:pPr>
        <w:autoSpaceDE w:val="0"/>
        <w:autoSpaceDN w:val="0"/>
        <w:adjustRightInd w:val="0"/>
        <w:spacing w:line="240" w:lineRule="auto"/>
        <w:jc w:val="both"/>
        <w:rPr>
          <w:rFonts w:cs="Arial"/>
          <w:color w:val="000000"/>
          <w:szCs w:val="20"/>
        </w:rPr>
      </w:pPr>
    </w:p>
    <w:p w14:paraId="1533512A" w14:textId="77777777" w:rsidR="00E17633" w:rsidRPr="00E3533D" w:rsidRDefault="00E17633" w:rsidP="00E3533D">
      <w:pPr>
        <w:spacing w:line="240" w:lineRule="auto"/>
        <w:jc w:val="both"/>
        <w:rPr>
          <w:rFonts w:cs="Arial"/>
          <w:color w:val="111111"/>
          <w:szCs w:val="20"/>
          <w:lang w:eastAsia="sl-SI"/>
        </w:rPr>
      </w:pPr>
      <w:r w:rsidRPr="00E3533D">
        <w:rPr>
          <w:rFonts w:cs="Arial"/>
          <w:bCs/>
          <w:szCs w:val="20"/>
        </w:rPr>
        <w:t xml:space="preserve">S predlogom zakona se ureja preostali del prenosa </w:t>
      </w:r>
      <w:r w:rsidRPr="00E3533D">
        <w:rPr>
          <w:rFonts w:cs="Arial"/>
          <w:szCs w:val="20"/>
        </w:rPr>
        <w:t xml:space="preserve">Direktive 2019/1024/EU o odprtih podatkih in ponovni uporabi informacij javnega sektorja (t. i. direktiva </w:t>
      </w:r>
      <w:r w:rsidRPr="00E3533D">
        <w:rPr>
          <w:rFonts w:cs="Arial"/>
          <w:i/>
          <w:iCs/>
          <w:szCs w:val="20"/>
        </w:rPr>
        <w:t>Open Data</w:t>
      </w:r>
      <w:r w:rsidRPr="00E3533D">
        <w:rPr>
          <w:rFonts w:cs="Arial"/>
          <w:szCs w:val="20"/>
        </w:rPr>
        <w:t xml:space="preserve">) v nacionalno zakonodajo. </w:t>
      </w:r>
      <w:r w:rsidRPr="00E3533D">
        <w:rPr>
          <w:rFonts w:cs="Arial"/>
          <w:bCs/>
          <w:szCs w:val="20"/>
        </w:rPr>
        <w:t xml:space="preserve">Ker veljavna zakonodaja že ureja ponovno uporabo podatkov javnih podjetij, ki opravljajo javne službe, je cilj predloga zakona naslovitev preostalih elementov: </w:t>
      </w:r>
      <w:r w:rsidRPr="00E3533D">
        <w:rPr>
          <w:rFonts w:cs="Arial"/>
          <w:color w:val="111111"/>
          <w:szCs w:val="20"/>
          <w:lang w:eastAsia="sl-SI"/>
        </w:rPr>
        <w:t xml:space="preserve">ureditev enostavne ponovne uporabe podatkov na raziskovalnem področju, kadar gre za financiranje iz javnih sredstev, vzpostavitev zakonske podlage za objavo oziroma ponovno uporabo podatkovnih zbirk velike vrednosti in spodbujanje nudenja dinamičnih podatkov v realnem času. </w:t>
      </w:r>
    </w:p>
    <w:p w14:paraId="6CBD838F" w14:textId="77777777" w:rsidR="00E17633" w:rsidRPr="00E3533D" w:rsidRDefault="00E17633" w:rsidP="00E3533D">
      <w:pPr>
        <w:spacing w:line="240" w:lineRule="auto"/>
        <w:jc w:val="both"/>
        <w:rPr>
          <w:rFonts w:cs="Arial"/>
          <w:color w:val="111111"/>
          <w:szCs w:val="20"/>
          <w:lang w:eastAsia="sl-SI"/>
        </w:rPr>
      </w:pPr>
    </w:p>
    <w:p w14:paraId="3D6CF3D8" w14:textId="77777777" w:rsidR="00E17633" w:rsidRPr="00E3533D" w:rsidRDefault="00E17633" w:rsidP="00E3533D">
      <w:pPr>
        <w:spacing w:line="240" w:lineRule="auto"/>
        <w:jc w:val="both"/>
        <w:rPr>
          <w:rFonts w:cs="Arial"/>
          <w:bCs/>
          <w:szCs w:val="20"/>
        </w:rPr>
      </w:pPr>
      <w:r w:rsidRPr="00E3533D">
        <w:rPr>
          <w:rFonts w:cs="Arial"/>
          <w:bCs/>
          <w:szCs w:val="20"/>
        </w:rPr>
        <w:t xml:space="preserve">Poglavitni cilj predloga zakona je </w:t>
      </w:r>
      <w:r w:rsidRPr="00E3533D">
        <w:rPr>
          <w:rFonts w:eastAsia="Calibri" w:cs="Arial"/>
          <w:bCs/>
          <w:szCs w:val="20"/>
        </w:rPr>
        <w:t xml:space="preserve">v skladu z </w:t>
      </w:r>
      <w:r w:rsidRPr="00E3533D">
        <w:rPr>
          <w:rFonts w:cs="Arial"/>
          <w:noProof/>
          <w:szCs w:val="20"/>
        </w:rPr>
        <w:t xml:space="preserve">Direktivo </w:t>
      </w:r>
      <w:r w:rsidRPr="00E3533D">
        <w:rPr>
          <w:rFonts w:cs="Arial"/>
          <w:szCs w:val="20"/>
        </w:rPr>
        <w:t xml:space="preserve">2019/1024/EU </w:t>
      </w:r>
      <w:r w:rsidRPr="00E3533D">
        <w:rPr>
          <w:rFonts w:cs="Arial"/>
          <w:bCs/>
          <w:szCs w:val="20"/>
        </w:rPr>
        <w:t xml:space="preserve">vzpostaviti zakonsko podlago za </w:t>
      </w:r>
      <w:r w:rsidRPr="00E3533D">
        <w:rPr>
          <w:rFonts w:eastAsia="Calibri" w:cs="Arial"/>
          <w:bCs/>
          <w:szCs w:val="20"/>
        </w:rPr>
        <w:t xml:space="preserve">objavo oziroma ponovno uporabo naborov podatkov velike vrednosti ter nudenje dinamičnih podatkov v realnem času </w:t>
      </w:r>
      <w:r w:rsidRPr="00E3533D">
        <w:rPr>
          <w:rFonts w:cs="Arial"/>
          <w:bCs/>
          <w:szCs w:val="20"/>
        </w:rPr>
        <w:t xml:space="preserve">in v čim večji meri omogočiti ponovno uporabo raziskovalnih podatkov, kadar gre za financiranje iz javnih sredstev. </w:t>
      </w:r>
      <w:r w:rsidRPr="00E3533D">
        <w:rPr>
          <w:rFonts w:cs="Arial"/>
          <w:color w:val="111111"/>
          <w:szCs w:val="20"/>
          <w:lang w:eastAsia="sl-SI"/>
        </w:rPr>
        <w:t xml:space="preserve">V predlogu zakona je predvideno, da </w:t>
      </w:r>
      <w:r w:rsidRPr="00E3533D">
        <w:rPr>
          <w:rFonts w:cs="Arial"/>
          <w:color w:val="111111"/>
          <w:szCs w:val="20"/>
          <w:lang w:eastAsia="sl-SI"/>
        </w:rPr>
        <w:lastRenderedPageBreak/>
        <w:t>seznam podatkovnih zbirk na nacionalni ravni, ki sodijo med nabore podatkov velike vrednosti, določi vlada z uredbo.</w:t>
      </w:r>
    </w:p>
    <w:p w14:paraId="17D378B8" w14:textId="77777777" w:rsidR="00E17633" w:rsidRPr="00E3533D" w:rsidRDefault="00E17633" w:rsidP="00E3533D">
      <w:pPr>
        <w:spacing w:line="240" w:lineRule="auto"/>
        <w:jc w:val="both"/>
        <w:rPr>
          <w:rFonts w:cs="Arial"/>
          <w:bCs/>
          <w:szCs w:val="20"/>
        </w:rPr>
      </w:pPr>
    </w:p>
    <w:p w14:paraId="26CAD6C1" w14:textId="77777777" w:rsidR="00E17633" w:rsidRPr="00E3533D" w:rsidRDefault="00E17633" w:rsidP="00E3533D">
      <w:pPr>
        <w:spacing w:line="240" w:lineRule="auto"/>
        <w:jc w:val="both"/>
        <w:rPr>
          <w:rFonts w:cs="Arial"/>
          <w:bCs/>
          <w:szCs w:val="20"/>
        </w:rPr>
      </w:pPr>
      <w:r w:rsidRPr="00E3533D">
        <w:rPr>
          <w:rFonts w:cs="Arial"/>
          <w:bCs/>
          <w:szCs w:val="20"/>
        </w:rPr>
        <w:t xml:space="preserve">Podatki pomenijo ključno sestavino za gospodarsko rast, konkurenčnost, inovacije, ustvarjanje delovnih mest in družbeni napredek. Aplikacije, ki temeljijo na podatkih, lahko koristijo državljanom in podjetjem na več načinov. Z njimi je mogoče izboljšati zdravstveno varstvo, zagotoviti varnejše prometne sisteme, zmanjšati stroške javnih storitev in izboljšati energetsko učinkovitost, njihova ponovna uporaba pa prispeva </w:t>
      </w:r>
      <w:r w:rsidRPr="00E3533D">
        <w:rPr>
          <w:rFonts w:eastAsia="Calibri" w:cs="Arial"/>
          <w:bCs/>
          <w:szCs w:val="20"/>
        </w:rPr>
        <w:t>tudi k pomembnim družbenim ciljem, kot sta odgovornost in transparentnost.</w:t>
      </w:r>
      <w:r w:rsidRPr="00E3533D">
        <w:rPr>
          <w:rFonts w:cs="Arial"/>
          <w:bCs/>
          <w:szCs w:val="20"/>
        </w:rPr>
        <w:t xml:space="preserve"> </w:t>
      </w:r>
    </w:p>
    <w:p w14:paraId="4E9D6E86" w14:textId="77777777" w:rsidR="00E17633" w:rsidRPr="00E3533D" w:rsidRDefault="00E17633" w:rsidP="00E3533D">
      <w:pPr>
        <w:spacing w:line="240" w:lineRule="auto"/>
        <w:jc w:val="both"/>
        <w:rPr>
          <w:rFonts w:cs="Arial"/>
          <w:bCs/>
          <w:szCs w:val="20"/>
        </w:rPr>
      </w:pPr>
    </w:p>
    <w:p w14:paraId="08A5DE4E" w14:textId="77777777" w:rsidR="00E17633" w:rsidRPr="00E3533D" w:rsidRDefault="00E17633" w:rsidP="00E3533D">
      <w:pPr>
        <w:spacing w:line="240" w:lineRule="auto"/>
        <w:jc w:val="both"/>
        <w:rPr>
          <w:rFonts w:cs="Arial"/>
          <w:szCs w:val="20"/>
        </w:rPr>
      </w:pPr>
      <w:r w:rsidRPr="00E3533D">
        <w:rPr>
          <w:rFonts w:cs="Arial"/>
          <w:iCs/>
          <w:szCs w:val="20"/>
        </w:rPr>
        <w:t xml:space="preserve">Vlada predlaga, da se predlog zakona obravnava in sprejme po skrajšanem postopku, saj gre za </w:t>
      </w:r>
      <w:r w:rsidRPr="00E3533D">
        <w:rPr>
          <w:rFonts w:cs="Arial"/>
          <w:color w:val="000000"/>
          <w:szCs w:val="20"/>
          <w:shd w:val="clear" w:color="auto" w:fill="FFFFFF"/>
        </w:rPr>
        <w:t>manj zahtevne uskladitve zakona s pravom Evropske unije.</w:t>
      </w:r>
      <w:r w:rsidRPr="00E3533D">
        <w:rPr>
          <w:rFonts w:cs="Arial"/>
          <w:szCs w:val="20"/>
        </w:rPr>
        <w:t xml:space="preserve"> 20. junija 2019 je bila sprejeta prenovljena Direktiva 2019/1024/EU. Določene spremembe direktive so bile že implementirane v veljavni nacionalni zakonodaji, predlog zakona pa ureja še preostali del prenosa.</w:t>
      </w:r>
    </w:p>
    <w:p w14:paraId="5E4DFEB9" w14:textId="77777777" w:rsidR="00E17633" w:rsidRPr="00E3533D" w:rsidRDefault="00E17633" w:rsidP="00E3533D">
      <w:pPr>
        <w:spacing w:line="240" w:lineRule="auto"/>
        <w:jc w:val="both"/>
        <w:rPr>
          <w:rFonts w:cs="Arial"/>
          <w:szCs w:val="20"/>
        </w:rPr>
      </w:pPr>
    </w:p>
    <w:p w14:paraId="7131D55F" w14:textId="77777777" w:rsidR="00E17633" w:rsidRPr="00E3533D" w:rsidRDefault="00E17633" w:rsidP="00E3533D">
      <w:pPr>
        <w:spacing w:line="240" w:lineRule="auto"/>
        <w:jc w:val="both"/>
        <w:rPr>
          <w:rFonts w:cs="Arial"/>
          <w:szCs w:val="20"/>
        </w:rPr>
      </w:pPr>
      <w:r w:rsidRPr="00E3533D">
        <w:rPr>
          <w:rFonts w:cs="Arial"/>
          <w:szCs w:val="20"/>
        </w:rPr>
        <w:t>Vir: Ministrstvo za javno upravo</w:t>
      </w:r>
    </w:p>
    <w:p w14:paraId="1FD3995F" w14:textId="77777777" w:rsidR="00E17633" w:rsidRPr="00E3533D" w:rsidRDefault="00E17633" w:rsidP="00E3533D">
      <w:pPr>
        <w:spacing w:line="240" w:lineRule="auto"/>
        <w:jc w:val="both"/>
        <w:rPr>
          <w:rFonts w:cs="Arial"/>
          <w:szCs w:val="20"/>
        </w:rPr>
      </w:pPr>
    </w:p>
    <w:p w14:paraId="13AF8EBB" w14:textId="77777777" w:rsidR="00E17633" w:rsidRPr="00E3533D" w:rsidRDefault="00E17633" w:rsidP="00E3533D">
      <w:pPr>
        <w:spacing w:line="240" w:lineRule="auto"/>
        <w:jc w:val="both"/>
        <w:rPr>
          <w:rFonts w:cs="Arial"/>
          <w:szCs w:val="20"/>
        </w:rPr>
      </w:pPr>
    </w:p>
    <w:p w14:paraId="51035EC5" w14:textId="77777777" w:rsidR="00E17633" w:rsidRPr="00E3533D" w:rsidRDefault="00E17633" w:rsidP="00E3533D">
      <w:pPr>
        <w:tabs>
          <w:tab w:val="left" w:pos="5468"/>
        </w:tabs>
        <w:spacing w:line="240" w:lineRule="auto"/>
        <w:jc w:val="both"/>
        <w:rPr>
          <w:rFonts w:cs="Arial"/>
          <w:b/>
          <w:szCs w:val="20"/>
        </w:rPr>
      </w:pPr>
      <w:r w:rsidRPr="00E3533D">
        <w:rPr>
          <w:rFonts w:cs="Arial"/>
          <w:b/>
          <w:szCs w:val="20"/>
        </w:rPr>
        <w:t>Začetek odstranjevanja ograje na meji</w:t>
      </w:r>
    </w:p>
    <w:p w14:paraId="0957864F" w14:textId="77777777" w:rsidR="00E17633" w:rsidRPr="00E3533D" w:rsidRDefault="00E17633" w:rsidP="00E3533D">
      <w:pPr>
        <w:tabs>
          <w:tab w:val="left" w:pos="5468"/>
        </w:tabs>
        <w:spacing w:line="240" w:lineRule="auto"/>
        <w:jc w:val="both"/>
        <w:rPr>
          <w:rFonts w:cs="Arial"/>
          <w:b/>
          <w:szCs w:val="20"/>
        </w:rPr>
      </w:pPr>
    </w:p>
    <w:p w14:paraId="7DC836E6" w14:textId="77777777" w:rsidR="00E17633" w:rsidRPr="00E3533D" w:rsidRDefault="00E17633" w:rsidP="00E3533D">
      <w:pPr>
        <w:spacing w:line="240" w:lineRule="auto"/>
        <w:jc w:val="both"/>
        <w:rPr>
          <w:rFonts w:cs="Arial"/>
          <w:szCs w:val="20"/>
        </w:rPr>
      </w:pPr>
      <w:r w:rsidRPr="00E3533D">
        <w:rPr>
          <w:rFonts w:cs="Arial"/>
          <w:szCs w:val="20"/>
        </w:rPr>
        <w:t>Vlada je sprejela sklep, da se na meji z Republiko Hrvaško prične postopek odstranjevanja ograje. Odstranjevanje bo izvedla Slovenska vojska, Policija pa bo po odstranitvi zagotavljala primerno varovanje državne meje.</w:t>
      </w:r>
    </w:p>
    <w:p w14:paraId="04EF0A39" w14:textId="77777777" w:rsidR="00E17633" w:rsidRPr="00E3533D" w:rsidRDefault="00E17633" w:rsidP="00E3533D">
      <w:pPr>
        <w:spacing w:line="240" w:lineRule="auto"/>
        <w:jc w:val="both"/>
        <w:rPr>
          <w:rFonts w:cs="Arial"/>
          <w:szCs w:val="20"/>
        </w:rPr>
      </w:pPr>
    </w:p>
    <w:p w14:paraId="6167D923" w14:textId="77777777" w:rsidR="00E17633" w:rsidRPr="00E3533D" w:rsidRDefault="00E17633" w:rsidP="00E3533D">
      <w:pPr>
        <w:spacing w:line="240" w:lineRule="auto"/>
        <w:jc w:val="both"/>
        <w:rPr>
          <w:rFonts w:cs="Arial"/>
          <w:szCs w:val="20"/>
        </w:rPr>
      </w:pPr>
      <w:r w:rsidRPr="00E3533D">
        <w:rPr>
          <w:rFonts w:cs="Arial"/>
          <w:szCs w:val="20"/>
        </w:rPr>
        <w:t>Ograje so bile začasni instrument, ki je bil v uporabi v času, ko je prihajalo do večjega obsega migracijskih gibanj. Nesprejemljivo je, da bi postala trajen element mejne politike v običajnih migracijskih razmerah. Migracije so namreč del sodobnih družb, njena stalnica v sodobnosti in preteklosti.</w:t>
      </w:r>
    </w:p>
    <w:p w14:paraId="680208E7" w14:textId="77777777" w:rsidR="00E17633" w:rsidRPr="00E3533D" w:rsidRDefault="00E17633" w:rsidP="00E3533D">
      <w:pPr>
        <w:pStyle w:val="podpisi"/>
        <w:spacing w:line="240" w:lineRule="auto"/>
        <w:ind w:left="4678"/>
        <w:jc w:val="both"/>
        <w:rPr>
          <w:rFonts w:cs="Arial"/>
          <w:szCs w:val="20"/>
          <w:lang w:val="sl-SI"/>
        </w:rPr>
      </w:pPr>
    </w:p>
    <w:p w14:paraId="311C630E" w14:textId="77777777" w:rsidR="00E17633" w:rsidRPr="00E3533D" w:rsidRDefault="00E17633" w:rsidP="00E3533D">
      <w:pPr>
        <w:pStyle w:val="podpisi"/>
        <w:spacing w:line="240" w:lineRule="auto"/>
        <w:jc w:val="both"/>
        <w:rPr>
          <w:rFonts w:cs="Arial"/>
          <w:szCs w:val="20"/>
          <w:lang w:val="sl-SI"/>
        </w:rPr>
      </w:pPr>
      <w:r w:rsidRPr="00E3533D">
        <w:rPr>
          <w:rFonts w:cs="Arial"/>
          <w:szCs w:val="20"/>
          <w:lang w:val="sl-SI"/>
        </w:rPr>
        <w:t xml:space="preserve">Policija bo z nadzorom območij, ki pomenijo povečano tveganje za nedovoljene migracije, partnerskim sodelovanjem z drugimi državnimi organi ter lokalno skupnostjo, mednarodnim sodelovanjem, razvijanjem novih doktrin in tehnične opreme za odkrivanje in preprečevanje nedovoljenih migracij zagotavljala ustrezno raven varnosti tako obmejnemu prebivalstvu kot prebivalstvu v notranjosti države oziroma Evropske unije. </w:t>
      </w:r>
    </w:p>
    <w:p w14:paraId="2910E176" w14:textId="77777777" w:rsidR="00E17633" w:rsidRPr="00E3533D" w:rsidRDefault="00E17633" w:rsidP="00E3533D">
      <w:pPr>
        <w:pStyle w:val="podpisi"/>
        <w:spacing w:line="240" w:lineRule="auto"/>
        <w:jc w:val="both"/>
        <w:rPr>
          <w:rFonts w:cs="Arial"/>
          <w:szCs w:val="20"/>
          <w:lang w:val="sl-SI"/>
        </w:rPr>
      </w:pPr>
    </w:p>
    <w:p w14:paraId="07A62963" w14:textId="77777777" w:rsidR="00E17633" w:rsidRPr="00E3533D" w:rsidRDefault="00E17633" w:rsidP="00E3533D">
      <w:pPr>
        <w:pStyle w:val="podpisi"/>
        <w:spacing w:line="240" w:lineRule="auto"/>
        <w:jc w:val="both"/>
        <w:rPr>
          <w:rFonts w:cs="Arial"/>
          <w:szCs w:val="20"/>
          <w:lang w:val="sl-SI"/>
        </w:rPr>
      </w:pPr>
      <w:r w:rsidRPr="00E3533D">
        <w:rPr>
          <w:rFonts w:cs="Arial"/>
          <w:szCs w:val="20"/>
          <w:lang w:val="sl-SI"/>
        </w:rPr>
        <w:t>Vlada in pristojni organi v Republiki Sloveniji bodo še naprej spremljali odločitve evropskih in nacionalnih sodišč glede izvajanja nadzora na notranjih mejah držav članic Evropske unije ter stanje nedovoljenih migracij v celotnem evropskem prostoru.</w:t>
      </w:r>
    </w:p>
    <w:p w14:paraId="0C8E7350" w14:textId="77777777" w:rsidR="00E17633" w:rsidRPr="00E3533D" w:rsidRDefault="00E17633" w:rsidP="00E3533D">
      <w:pPr>
        <w:spacing w:line="240" w:lineRule="auto"/>
        <w:jc w:val="both"/>
        <w:rPr>
          <w:rFonts w:cs="Arial"/>
          <w:szCs w:val="20"/>
        </w:rPr>
      </w:pPr>
    </w:p>
    <w:p w14:paraId="4FEA8E51" w14:textId="77777777" w:rsidR="00E17633" w:rsidRPr="00E3533D" w:rsidRDefault="00E17633" w:rsidP="00E3533D">
      <w:pPr>
        <w:spacing w:line="240" w:lineRule="auto"/>
        <w:jc w:val="both"/>
        <w:rPr>
          <w:rFonts w:cs="Arial"/>
          <w:szCs w:val="20"/>
        </w:rPr>
      </w:pPr>
      <w:r w:rsidRPr="00E3533D">
        <w:rPr>
          <w:rFonts w:cs="Arial"/>
          <w:szCs w:val="20"/>
        </w:rPr>
        <w:t>Vir: Ministrstvo za notranje zadeve</w:t>
      </w:r>
    </w:p>
    <w:p w14:paraId="7462937D" w14:textId="1EB004FB" w:rsidR="00E17633" w:rsidRPr="00E3533D" w:rsidRDefault="00E17633" w:rsidP="00E3533D">
      <w:pPr>
        <w:spacing w:line="240" w:lineRule="auto"/>
        <w:jc w:val="both"/>
        <w:textAlignment w:val="baseline"/>
        <w:rPr>
          <w:rFonts w:cs="Arial"/>
          <w:color w:val="111111"/>
          <w:szCs w:val="20"/>
          <w:lang w:eastAsia="sl-SI"/>
        </w:rPr>
      </w:pPr>
    </w:p>
    <w:p w14:paraId="61BBE1BB" w14:textId="77777777" w:rsidR="00E17633" w:rsidRPr="00E3533D" w:rsidRDefault="00E17633" w:rsidP="00E3533D">
      <w:pPr>
        <w:spacing w:line="240" w:lineRule="auto"/>
        <w:jc w:val="both"/>
        <w:textAlignment w:val="baseline"/>
        <w:rPr>
          <w:rFonts w:cs="Arial"/>
          <w:color w:val="111111"/>
          <w:szCs w:val="20"/>
          <w:lang w:eastAsia="sl-SI"/>
        </w:rPr>
      </w:pPr>
    </w:p>
    <w:p w14:paraId="04C108FE" w14:textId="77777777" w:rsidR="00E17633" w:rsidRPr="00E3533D" w:rsidRDefault="00E17633" w:rsidP="00E3533D">
      <w:pPr>
        <w:spacing w:line="240" w:lineRule="auto"/>
        <w:jc w:val="both"/>
        <w:rPr>
          <w:rFonts w:cs="Arial"/>
          <w:b/>
          <w:szCs w:val="20"/>
        </w:rPr>
      </w:pPr>
      <w:r w:rsidRPr="00E3533D">
        <w:rPr>
          <w:rFonts w:cs="Arial"/>
          <w:b/>
          <w:szCs w:val="20"/>
        </w:rPr>
        <w:t>Vlada je sprejela izhodišča za pogajanja o Kolektivni pogodbi za policiste o delu sindikalnih zaupnikov</w:t>
      </w:r>
    </w:p>
    <w:p w14:paraId="7C829F02" w14:textId="77777777" w:rsidR="00E17633" w:rsidRPr="00E3533D" w:rsidRDefault="00E17633" w:rsidP="00E3533D">
      <w:pPr>
        <w:spacing w:line="240" w:lineRule="auto"/>
        <w:jc w:val="both"/>
        <w:rPr>
          <w:rFonts w:cs="Arial"/>
          <w:szCs w:val="20"/>
        </w:rPr>
      </w:pPr>
    </w:p>
    <w:p w14:paraId="3A1B0C68" w14:textId="77777777" w:rsidR="00E17633" w:rsidRPr="00E3533D" w:rsidRDefault="00E17633" w:rsidP="00E3533D">
      <w:pPr>
        <w:pStyle w:val="Privzeto"/>
        <w:ind w:right="-18"/>
        <w:rPr>
          <w:rFonts w:ascii="Arial" w:hAnsi="Arial" w:cs="Arial"/>
          <w:sz w:val="20"/>
        </w:rPr>
      </w:pPr>
      <w:bookmarkStart w:id="2" w:name="_Hlk22194025"/>
      <w:r w:rsidRPr="00E3533D">
        <w:rPr>
          <w:rFonts w:ascii="Arial" w:hAnsi="Arial" w:cs="Arial"/>
          <w:sz w:val="20"/>
          <w:lang w:eastAsia="ar-SA"/>
        </w:rPr>
        <w:t xml:space="preserve">Vlada je sprejela izhodišča </w:t>
      </w:r>
      <w:bookmarkEnd w:id="2"/>
      <w:r w:rsidRPr="00E3533D">
        <w:rPr>
          <w:rFonts w:ascii="Arial" w:hAnsi="Arial" w:cs="Arial"/>
          <w:sz w:val="20"/>
          <w:lang w:eastAsia="ar-SA"/>
        </w:rPr>
        <w:t>za p</w:t>
      </w:r>
      <w:r w:rsidRPr="00E3533D">
        <w:rPr>
          <w:rFonts w:ascii="Arial" w:hAnsi="Arial" w:cs="Arial"/>
          <w:sz w:val="20"/>
        </w:rPr>
        <w:t xml:space="preserve">ogajanja o spremembah in dopolnitvah Kolektivne pogodbe za policiste (KPP) v delu, ki se nanaša na delo sindikalnih zaupnikov v organih sindikata. </w:t>
      </w:r>
    </w:p>
    <w:p w14:paraId="3AB7D536" w14:textId="77777777" w:rsidR="00E17633" w:rsidRPr="00E3533D" w:rsidRDefault="00E17633" w:rsidP="00E3533D">
      <w:pPr>
        <w:autoSpaceDE w:val="0"/>
        <w:autoSpaceDN w:val="0"/>
        <w:adjustRightInd w:val="0"/>
        <w:spacing w:line="240" w:lineRule="auto"/>
        <w:jc w:val="both"/>
        <w:rPr>
          <w:rFonts w:cs="Arial"/>
          <w:szCs w:val="20"/>
        </w:rPr>
      </w:pPr>
    </w:p>
    <w:p w14:paraId="397B53E1" w14:textId="77777777" w:rsidR="00E17633" w:rsidRPr="00E3533D" w:rsidRDefault="00E17633" w:rsidP="00E3533D">
      <w:pPr>
        <w:autoSpaceDE w:val="0"/>
        <w:autoSpaceDN w:val="0"/>
        <w:adjustRightInd w:val="0"/>
        <w:spacing w:line="240" w:lineRule="auto"/>
        <w:jc w:val="both"/>
        <w:rPr>
          <w:rFonts w:cs="Arial"/>
          <w:szCs w:val="20"/>
        </w:rPr>
      </w:pPr>
      <w:r w:rsidRPr="00E3533D">
        <w:rPr>
          <w:rFonts w:cs="Arial"/>
          <w:szCs w:val="20"/>
        </w:rPr>
        <w:t>22.n člen KPP določa fond plačanih ur za sindikalno delo, ki jih delodajalec zagotavlja sindikatu oziroma sindikalnim zaupnikom, da lahko nemoteno in neovirano opravljajo sindikalno delo.  Delodajalec in sindikata usklajujeta pregled porabe ur vsake štiri mesece. Z ureditvijo področja plačanih ur za sindikalno delo bodo zagotovljeni tudi pogoji za neoviran socialni dialog.</w:t>
      </w:r>
    </w:p>
    <w:p w14:paraId="4B4DC1B8" w14:textId="77777777" w:rsidR="00E17633" w:rsidRPr="00E3533D" w:rsidRDefault="00E17633" w:rsidP="00E3533D">
      <w:pPr>
        <w:autoSpaceDE w:val="0"/>
        <w:autoSpaceDN w:val="0"/>
        <w:adjustRightInd w:val="0"/>
        <w:spacing w:line="240" w:lineRule="auto"/>
        <w:jc w:val="both"/>
        <w:rPr>
          <w:rFonts w:cs="Arial"/>
          <w:szCs w:val="20"/>
        </w:rPr>
      </w:pPr>
    </w:p>
    <w:p w14:paraId="010D87AA" w14:textId="77777777" w:rsidR="00E17633" w:rsidRPr="00E3533D" w:rsidRDefault="00E17633" w:rsidP="00E3533D">
      <w:pPr>
        <w:autoSpaceDE w:val="0"/>
        <w:autoSpaceDN w:val="0"/>
        <w:adjustRightInd w:val="0"/>
        <w:spacing w:line="240" w:lineRule="auto"/>
        <w:jc w:val="both"/>
        <w:rPr>
          <w:rFonts w:cs="Arial"/>
          <w:szCs w:val="20"/>
        </w:rPr>
      </w:pPr>
      <w:r w:rsidRPr="00E3533D">
        <w:rPr>
          <w:rFonts w:cs="Arial"/>
          <w:szCs w:val="20"/>
        </w:rPr>
        <w:t>Prejšnja vlada je z obema policijskima sindikatoma začela spor o statusu sindikalnih zaupnikov v stalnih organih sindikata, zaradi česar sta bila vložena dva kolektivna delovna spora zaradi različnih interpretacij določb KPP. S sprožitvijo spora je bil ogrožen tudi socialni dialog med Ministrstvom za notranje zadeve oziroma Policijo in obema sindikatoma. Z nastopom te vlade je socialni dialog s policijskima sindikatoma ponovno vzpostavljen, s tem pa so podani pogoji za mirno reševanje omenjenega spora.</w:t>
      </w:r>
    </w:p>
    <w:p w14:paraId="7F1A33BC" w14:textId="77777777" w:rsidR="00E17633" w:rsidRPr="00E3533D" w:rsidRDefault="00E17633" w:rsidP="00E3533D">
      <w:pPr>
        <w:autoSpaceDE w:val="0"/>
        <w:autoSpaceDN w:val="0"/>
        <w:adjustRightInd w:val="0"/>
        <w:spacing w:line="240" w:lineRule="auto"/>
        <w:jc w:val="both"/>
        <w:rPr>
          <w:rFonts w:cs="Arial"/>
          <w:color w:val="000000"/>
          <w:szCs w:val="20"/>
        </w:rPr>
      </w:pPr>
    </w:p>
    <w:p w14:paraId="2B3FAF3B" w14:textId="77777777" w:rsidR="00E17633" w:rsidRPr="00E3533D" w:rsidRDefault="00E17633" w:rsidP="00E3533D">
      <w:pPr>
        <w:autoSpaceDE w:val="0"/>
        <w:autoSpaceDN w:val="0"/>
        <w:adjustRightInd w:val="0"/>
        <w:spacing w:line="240" w:lineRule="auto"/>
        <w:jc w:val="both"/>
        <w:rPr>
          <w:rFonts w:cs="Arial"/>
          <w:color w:val="000000"/>
          <w:szCs w:val="20"/>
        </w:rPr>
      </w:pPr>
      <w:r w:rsidRPr="00E3533D">
        <w:rPr>
          <w:rFonts w:cs="Arial"/>
          <w:color w:val="000000"/>
          <w:szCs w:val="20"/>
        </w:rPr>
        <w:lastRenderedPageBreak/>
        <w:t>Vir: Ministrstvo za notranje zadeve</w:t>
      </w:r>
    </w:p>
    <w:p w14:paraId="45323A15" w14:textId="76365B4A" w:rsidR="00E17633" w:rsidRDefault="00E17633" w:rsidP="00E3533D">
      <w:pPr>
        <w:spacing w:line="240" w:lineRule="auto"/>
        <w:jc w:val="both"/>
        <w:rPr>
          <w:rFonts w:cs="Arial"/>
          <w:szCs w:val="20"/>
        </w:rPr>
      </w:pPr>
    </w:p>
    <w:p w14:paraId="32EB14B1"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53A5296B" w14:textId="77777777" w:rsidR="00A66E2D" w:rsidRPr="00E3533D" w:rsidRDefault="00A66E2D" w:rsidP="00E3533D">
      <w:pPr>
        <w:overflowPunct w:val="0"/>
        <w:autoSpaceDE w:val="0"/>
        <w:autoSpaceDN w:val="0"/>
        <w:adjustRightInd w:val="0"/>
        <w:spacing w:line="240" w:lineRule="auto"/>
        <w:jc w:val="both"/>
        <w:textAlignment w:val="baseline"/>
        <w:rPr>
          <w:rFonts w:cs="Arial"/>
          <w:b/>
          <w:szCs w:val="20"/>
        </w:rPr>
      </w:pPr>
      <w:r w:rsidRPr="00E3533D">
        <w:rPr>
          <w:rFonts w:cs="Arial"/>
          <w:b/>
          <w:bCs/>
          <w:szCs w:val="20"/>
        </w:rPr>
        <w:t xml:space="preserve">Vlada o analizi </w:t>
      </w:r>
      <w:r w:rsidRPr="00E3533D">
        <w:rPr>
          <w:rFonts w:cs="Arial"/>
          <w:b/>
          <w:szCs w:val="20"/>
        </w:rPr>
        <w:t xml:space="preserve">gibanja plač in števila zaposlenih v javnem sektorju v obdobju 2008 do 2022 </w:t>
      </w:r>
    </w:p>
    <w:p w14:paraId="0232D4E7" w14:textId="77777777" w:rsidR="00A66E2D" w:rsidRPr="00E3533D" w:rsidRDefault="00A66E2D" w:rsidP="00E3533D">
      <w:pPr>
        <w:overflowPunct w:val="0"/>
        <w:autoSpaceDE w:val="0"/>
        <w:autoSpaceDN w:val="0"/>
        <w:adjustRightInd w:val="0"/>
        <w:spacing w:line="240" w:lineRule="auto"/>
        <w:jc w:val="both"/>
        <w:textAlignment w:val="baseline"/>
        <w:rPr>
          <w:rFonts w:cs="Arial"/>
          <w:b/>
          <w:szCs w:val="20"/>
        </w:rPr>
      </w:pPr>
    </w:p>
    <w:p w14:paraId="731E4C06" w14:textId="43E65421" w:rsidR="00A66E2D" w:rsidRPr="00E3533D" w:rsidRDefault="00A66E2D" w:rsidP="00E3533D">
      <w:pPr>
        <w:spacing w:line="240" w:lineRule="auto"/>
        <w:jc w:val="both"/>
        <w:rPr>
          <w:rFonts w:cs="Arial"/>
          <w:szCs w:val="20"/>
        </w:rPr>
      </w:pPr>
      <w:r w:rsidRPr="00E3533D">
        <w:rPr>
          <w:rFonts w:cs="Arial"/>
          <w:bCs/>
          <w:szCs w:val="20"/>
        </w:rPr>
        <w:t xml:space="preserve">V povezavi s potekom pogajanj med vlado in reprezentativnimi sindikati javnega sektorja se je na današnji seji </w:t>
      </w:r>
      <w:r w:rsidR="002520AE">
        <w:rPr>
          <w:rFonts w:cs="Arial"/>
          <w:bCs/>
          <w:szCs w:val="20"/>
        </w:rPr>
        <w:t>vlada</w:t>
      </w:r>
      <w:r w:rsidRPr="00E3533D">
        <w:rPr>
          <w:rFonts w:cs="Arial"/>
          <w:bCs/>
          <w:szCs w:val="20"/>
        </w:rPr>
        <w:t xml:space="preserve"> seznanila z informacijo o analizi gibanja plač in števila zaposlenih v javnem sektorju v obdobju 2008 do 2022, ki so jo pripravili na </w:t>
      </w:r>
      <w:r w:rsidRPr="00E3533D">
        <w:rPr>
          <w:rFonts w:cs="Arial"/>
          <w:szCs w:val="20"/>
        </w:rPr>
        <w:t>Ministrstvu za javno upravo.</w:t>
      </w:r>
    </w:p>
    <w:p w14:paraId="6C578587" w14:textId="77777777" w:rsidR="00A66E2D" w:rsidRPr="00E3533D" w:rsidRDefault="00A66E2D" w:rsidP="00E3533D">
      <w:pPr>
        <w:spacing w:line="240" w:lineRule="auto"/>
        <w:jc w:val="both"/>
        <w:rPr>
          <w:rFonts w:cs="Arial"/>
          <w:szCs w:val="20"/>
        </w:rPr>
      </w:pPr>
    </w:p>
    <w:p w14:paraId="74AA8CD8" w14:textId="77777777" w:rsidR="00A66E2D" w:rsidRPr="00E3533D" w:rsidRDefault="00A66E2D" w:rsidP="00E3533D">
      <w:pPr>
        <w:spacing w:line="240" w:lineRule="auto"/>
        <w:jc w:val="both"/>
        <w:rPr>
          <w:rFonts w:cs="Arial"/>
          <w:szCs w:val="20"/>
        </w:rPr>
      </w:pPr>
      <w:r w:rsidRPr="00E3533D">
        <w:rPr>
          <w:rFonts w:cs="Arial"/>
          <w:szCs w:val="20"/>
        </w:rPr>
        <w:t>Informacija zajema nekatere ključne podatke o gibanju mase plač, povprečnih plač in števila zaposlenih v javnem sektorju ter pojasnjuje razloge za rast mase plač v javnem sektorju in porušena plačna razmerja:</w:t>
      </w:r>
    </w:p>
    <w:p w14:paraId="4DEA1D99" w14:textId="77777777" w:rsidR="00A66E2D" w:rsidRPr="00E3533D" w:rsidRDefault="00A66E2D" w:rsidP="00E3533D">
      <w:pPr>
        <w:spacing w:line="240" w:lineRule="auto"/>
        <w:jc w:val="both"/>
        <w:rPr>
          <w:rFonts w:cs="Arial"/>
          <w:szCs w:val="20"/>
        </w:rPr>
      </w:pPr>
    </w:p>
    <w:p w14:paraId="297E5C69" w14:textId="77777777" w:rsidR="00A66E2D" w:rsidRPr="00E3533D" w:rsidRDefault="00A66E2D" w:rsidP="00E3533D">
      <w:pPr>
        <w:spacing w:line="240" w:lineRule="auto"/>
        <w:jc w:val="both"/>
        <w:rPr>
          <w:rFonts w:cs="Arial"/>
          <w:szCs w:val="20"/>
        </w:rPr>
      </w:pPr>
      <w:r w:rsidRPr="00E3533D">
        <w:rPr>
          <w:rFonts w:cs="Arial"/>
          <w:szCs w:val="20"/>
        </w:rPr>
        <w:t xml:space="preserve">Masa bruto plač je v letu 2008 znašala 3,15 milijarde EUR, v letu 2021 5,28 milijarde EUR, ocena mase bruto plač za leto 2022 (na podlagi podatkov prvih štirih mesecev) pa znaša 5 milijard EUR. Indeks rasti mase bruto plač 2022/2015 (159) kaže, da bo masa bruto plač v letu 2022 za 59 odstotkov višja kot v letu 2008. Ta rast je nižja od rasti v obdobju 2008-2021 (indeks 167), kar je pripisati prenehanju izplačevanja večine dodatkov in drugih izplačil povezanih z obvladovanjem epidemije virusa COVID-19. </w:t>
      </w:r>
    </w:p>
    <w:p w14:paraId="6FABFC36" w14:textId="77777777" w:rsidR="00A66E2D" w:rsidRPr="00E3533D" w:rsidRDefault="00A66E2D" w:rsidP="00E3533D">
      <w:pPr>
        <w:spacing w:line="240" w:lineRule="auto"/>
        <w:jc w:val="both"/>
        <w:rPr>
          <w:rFonts w:cs="Arial"/>
          <w:szCs w:val="20"/>
        </w:rPr>
      </w:pPr>
    </w:p>
    <w:p w14:paraId="33F79C2E" w14:textId="77777777" w:rsidR="00A66E2D" w:rsidRPr="00E3533D" w:rsidRDefault="00A66E2D" w:rsidP="00E3533D">
      <w:pPr>
        <w:spacing w:line="240" w:lineRule="auto"/>
        <w:jc w:val="both"/>
        <w:rPr>
          <w:rFonts w:cs="Arial"/>
          <w:szCs w:val="20"/>
        </w:rPr>
      </w:pPr>
      <w:r w:rsidRPr="00E3533D">
        <w:rPr>
          <w:rFonts w:cs="Arial"/>
          <w:szCs w:val="20"/>
        </w:rPr>
        <w:t xml:space="preserve">Povprečna bruto plača v javnem sektorju je v obdobju 2008-2022 narasla za 33 odstotkov oziroma s povprečne mesečne plače 1.699 EUR v letu 2008 na 2.253 EUR v letu 2022 (v prvih štirih mesecih). Če primerjamo leto 2022 z letom 2021, se je povprečna mesečna plača znižala za 5 odstotkov (v letu 2021 je znašala 2.383 EUR), kar je ponovno moč pripisati izplačevanju dodatkov in drugih izplačil povezanih z obvladovanjem epidemije COVID-19 v letu 2021. </w:t>
      </w:r>
    </w:p>
    <w:p w14:paraId="3D2F4E3A" w14:textId="77777777" w:rsidR="00A66E2D" w:rsidRPr="00E3533D" w:rsidRDefault="00A66E2D" w:rsidP="00E3533D">
      <w:pPr>
        <w:spacing w:line="240" w:lineRule="auto"/>
        <w:jc w:val="both"/>
        <w:rPr>
          <w:rFonts w:cs="Arial"/>
          <w:szCs w:val="20"/>
        </w:rPr>
      </w:pPr>
    </w:p>
    <w:p w14:paraId="5AD8E5C7" w14:textId="77777777" w:rsidR="00A66E2D" w:rsidRPr="00E3533D" w:rsidRDefault="00A66E2D" w:rsidP="00E3533D">
      <w:pPr>
        <w:spacing w:line="240" w:lineRule="auto"/>
        <w:jc w:val="both"/>
        <w:rPr>
          <w:rFonts w:cs="Arial"/>
          <w:szCs w:val="20"/>
        </w:rPr>
      </w:pPr>
      <w:r w:rsidRPr="00E3533D">
        <w:rPr>
          <w:rFonts w:cs="Arial"/>
          <w:szCs w:val="20"/>
        </w:rPr>
        <w:t>Povprečno mesečno število zaposlenih v javnem sektorju v obdobju 2015-2022  je naraslo za 13 odstotkov.</w:t>
      </w:r>
    </w:p>
    <w:p w14:paraId="4DF3F3E9" w14:textId="77777777" w:rsidR="00A66E2D" w:rsidRPr="00E3533D" w:rsidRDefault="00A66E2D" w:rsidP="00E3533D">
      <w:pPr>
        <w:spacing w:line="240" w:lineRule="auto"/>
        <w:jc w:val="both"/>
        <w:rPr>
          <w:rFonts w:cs="Arial"/>
          <w:szCs w:val="20"/>
        </w:rPr>
      </w:pPr>
    </w:p>
    <w:p w14:paraId="22E10BB6" w14:textId="77777777" w:rsidR="00A66E2D" w:rsidRPr="00E3533D" w:rsidRDefault="00A66E2D" w:rsidP="00E3533D">
      <w:pPr>
        <w:spacing w:line="240" w:lineRule="auto"/>
        <w:jc w:val="both"/>
        <w:rPr>
          <w:rFonts w:cs="Arial"/>
          <w:szCs w:val="20"/>
        </w:rPr>
      </w:pPr>
      <w:r w:rsidRPr="00E3533D">
        <w:rPr>
          <w:rFonts w:cs="Arial"/>
          <w:szCs w:val="20"/>
        </w:rPr>
        <w:t xml:space="preserve">Podatki o gibanju povprečne plače v državni upravi kažejo, da se je povprečna plača v obdobju 2015-2022 zvišala s 1.800 EUR na 2.446 EUR, kar predstavlja 36 odstotno rast. </w:t>
      </w:r>
    </w:p>
    <w:p w14:paraId="2E8B0555" w14:textId="77777777" w:rsidR="00A66E2D" w:rsidRPr="00E3533D" w:rsidRDefault="00A66E2D" w:rsidP="00E3533D">
      <w:pPr>
        <w:spacing w:line="240" w:lineRule="auto"/>
        <w:jc w:val="both"/>
        <w:rPr>
          <w:rFonts w:cs="Arial"/>
          <w:szCs w:val="20"/>
        </w:rPr>
      </w:pPr>
    </w:p>
    <w:p w14:paraId="26A445A2" w14:textId="10DBEFFA" w:rsidR="00A66E2D" w:rsidRPr="00E3533D" w:rsidRDefault="00A66E2D" w:rsidP="00E3533D">
      <w:pPr>
        <w:spacing w:line="240" w:lineRule="auto"/>
        <w:jc w:val="both"/>
        <w:rPr>
          <w:rFonts w:cs="Arial"/>
          <w:szCs w:val="20"/>
        </w:rPr>
      </w:pPr>
      <w:r w:rsidRPr="00E3533D">
        <w:rPr>
          <w:rFonts w:cs="Arial"/>
          <w:szCs w:val="20"/>
        </w:rPr>
        <w:t>Na rast plač v javnem sektorju so vplivali zlasti:</w:t>
      </w:r>
    </w:p>
    <w:p w14:paraId="0710190B" w14:textId="5D60EACA" w:rsidR="00A66E2D" w:rsidRPr="002520AE" w:rsidRDefault="00A66E2D" w:rsidP="002520AE">
      <w:pPr>
        <w:pStyle w:val="Odstavekseznama"/>
        <w:numPr>
          <w:ilvl w:val="1"/>
          <w:numId w:val="27"/>
        </w:numPr>
        <w:spacing w:line="240" w:lineRule="auto"/>
        <w:jc w:val="both"/>
        <w:rPr>
          <w:rFonts w:cs="Arial"/>
          <w:szCs w:val="20"/>
        </w:rPr>
      </w:pPr>
      <w:r w:rsidRPr="002520AE">
        <w:rPr>
          <w:rFonts w:cs="Arial"/>
          <w:szCs w:val="20"/>
        </w:rPr>
        <w:t xml:space="preserve">napredovanja javnih uslužbencev v plačne razrede in nazive, </w:t>
      </w:r>
    </w:p>
    <w:p w14:paraId="0F9D6F86" w14:textId="2024129A" w:rsidR="00A66E2D" w:rsidRPr="002520AE" w:rsidRDefault="00A66E2D" w:rsidP="002520AE">
      <w:pPr>
        <w:pStyle w:val="Odstavekseznama"/>
        <w:numPr>
          <w:ilvl w:val="1"/>
          <w:numId w:val="27"/>
        </w:numPr>
        <w:spacing w:line="240" w:lineRule="auto"/>
        <w:jc w:val="both"/>
        <w:rPr>
          <w:rFonts w:cs="Arial"/>
          <w:szCs w:val="20"/>
        </w:rPr>
      </w:pPr>
      <w:r w:rsidRPr="002520AE">
        <w:rPr>
          <w:rFonts w:cs="Arial"/>
          <w:szCs w:val="20"/>
        </w:rPr>
        <w:t xml:space="preserve">povečevanje števila zaposlenih, </w:t>
      </w:r>
    </w:p>
    <w:p w14:paraId="25CC27D2" w14:textId="720B792B" w:rsidR="00A66E2D" w:rsidRPr="002520AE" w:rsidRDefault="00A66E2D" w:rsidP="002520AE">
      <w:pPr>
        <w:pStyle w:val="Odstavekseznama"/>
        <w:numPr>
          <w:ilvl w:val="1"/>
          <w:numId w:val="27"/>
        </w:numPr>
        <w:spacing w:line="240" w:lineRule="auto"/>
        <w:jc w:val="both"/>
        <w:rPr>
          <w:rFonts w:cs="Arial"/>
          <w:szCs w:val="20"/>
        </w:rPr>
      </w:pPr>
      <w:r w:rsidRPr="002520AE">
        <w:rPr>
          <w:rFonts w:cs="Arial"/>
          <w:szCs w:val="20"/>
        </w:rPr>
        <w:t xml:space="preserve">realizacija poviševanja plač v dogovoru s sindikati (tako skupni kot dogovori posameznih poklicnih skupin), </w:t>
      </w:r>
    </w:p>
    <w:p w14:paraId="24206959" w14:textId="6F88AC6C" w:rsidR="00A66E2D" w:rsidRPr="002520AE" w:rsidRDefault="00A66E2D" w:rsidP="002520AE">
      <w:pPr>
        <w:pStyle w:val="Odstavekseznama"/>
        <w:numPr>
          <w:ilvl w:val="1"/>
          <w:numId w:val="27"/>
        </w:numPr>
        <w:spacing w:line="240" w:lineRule="auto"/>
        <w:jc w:val="both"/>
        <w:rPr>
          <w:rFonts w:cs="Arial"/>
          <w:szCs w:val="20"/>
        </w:rPr>
      </w:pPr>
      <w:r w:rsidRPr="002520AE">
        <w:rPr>
          <w:rFonts w:cs="Arial"/>
          <w:szCs w:val="20"/>
        </w:rPr>
        <w:t>v obdobju od marca 2020 do 2022 ukrepi, sprejeti za obvladovanje epidemije virusa COVID-19.</w:t>
      </w:r>
    </w:p>
    <w:p w14:paraId="0A764ECE" w14:textId="77777777" w:rsidR="00A66E2D" w:rsidRPr="00E3533D" w:rsidRDefault="00A66E2D" w:rsidP="00E3533D">
      <w:pPr>
        <w:spacing w:line="240" w:lineRule="auto"/>
        <w:jc w:val="both"/>
        <w:rPr>
          <w:rFonts w:cs="Arial"/>
          <w:szCs w:val="20"/>
        </w:rPr>
      </w:pPr>
    </w:p>
    <w:p w14:paraId="7F8594B3" w14:textId="7ED81698" w:rsidR="00E17633" w:rsidRPr="00E3533D" w:rsidRDefault="00A66E2D" w:rsidP="00E3533D">
      <w:pPr>
        <w:spacing w:line="240" w:lineRule="auto"/>
        <w:jc w:val="both"/>
        <w:rPr>
          <w:rFonts w:cs="Arial"/>
          <w:szCs w:val="20"/>
        </w:rPr>
      </w:pPr>
      <w:r w:rsidRPr="00E3533D">
        <w:rPr>
          <w:rFonts w:cs="Arial"/>
          <w:szCs w:val="20"/>
        </w:rPr>
        <w:t>Vir: Ministrstvo za javno upravo</w:t>
      </w:r>
    </w:p>
    <w:p w14:paraId="42A6A564" w14:textId="326C6FC3" w:rsidR="00E17633" w:rsidRDefault="00E17633" w:rsidP="00E3533D">
      <w:pPr>
        <w:spacing w:line="240" w:lineRule="auto"/>
        <w:jc w:val="both"/>
        <w:rPr>
          <w:rFonts w:cs="Arial"/>
          <w:szCs w:val="20"/>
        </w:rPr>
      </w:pPr>
    </w:p>
    <w:p w14:paraId="02CD839C" w14:textId="77777777" w:rsidR="00E17633" w:rsidRPr="00E3533D" w:rsidRDefault="00E17633" w:rsidP="00E3533D">
      <w:pPr>
        <w:autoSpaceDE w:val="0"/>
        <w:autoSpaceDN w:val="0"/>
        <w:adjustRightInd w:val="0"/>
        <w:spacing w:line="240" w:lineRule="auto"/>
        <w:ind w:right="181"/>
        <w:jc w:val="both"/>
        <w:rPr>
          <w:rFonts w:cs="Arial"/>
          <w:b/>
          <w:szCs w:val="20"/>
        </w:rPr>
      </w:pPr>
    </w:p>
    <w:p w14:paraId="213EAFF2" w14:textId="77777777" w:rsidR="00E17633" w:rsidRPr="00E3533D" w:rsidRDefault="00E17633" w:rsidP="00E3533D">
      <w:pPr>
        <w:autoSpaceDE w:val="0"/>
        <w:autoSpaceDN w:val="0"/>
        <w:adjustRightInd w:val="0"/>
        <w:spacing w:line="240" w:lineRule="auto"/>
        <w:ind w:right="181"/>
        <w:jc w:val="both"/>
        <w:rPr>
          <w:rFonts w:cs="Arial"/>
          <w:b/>
          <w:szCs w:val="20"/>
        </w:rPr>
      </w:pPr>
      <w:r w:rsidRPr="00E3533D">
        <w:rPr>
          <w:rFonts w:cs="Arial"/>
          <w:b/>
          <w:szCs w:val="20"/>
        </w:rPr>
        <w:t>Nov predlog Zakona o varstvu potrošnikov prinaša dodatno varnost potrošnikov in odpravlja nepotrebna administrativna bremena za podjetja</w:t>
      </w:r>
    </w:p>
    <w:p w14:paraId="7CF09A33" w14:textId="77777777" w:rsidR="00E17633" w:rsidRPr="00E3533D" w:rsidRDefault="00E17633" w:rsidP="00E3533D">
      <w:pPr>
        <w:autoSpaceDE w:val="0"/>
        <w:autoSpaceDN w:val="0"/>
        <w:adjustRightInd w:val="0"/>
        <w:spacing w:line="240" w:lineRule="auto"/>
        <w:ind w:right="181"/>
        <w:jc w:val="both"/>
        <w:rPr>
          <w:rFonts w:cs="Arial"/>
          <w:b/>
          <w:szCs w:val="20"/>
        </w:rPr>
      </w:pPr>
    </w:p>
    <w:p w14:paraId="20F4C89E" w14:textId="1FAA7467" w:rsidR="00E17633" w:rsidRDefault="00E17633" w:rsidP="00E3533D">
      <w:pPr>
        <w:spacing w:line="240" w:lineRule="auto"/>
        <w:jc w:val="both"/>
        <w:rPr>
          <w:rFonts w:cs="Arial"/>
          <w:color w:val="000000"/>
          <w:szCs w:val="20"/>
          <w:lang w:eastAsia="en-GB"/>
        </w:rPr>
      </w:pPr>
      <w:r w:rsidRPr="00E3533D">
        <w:rPr>
          <w:rFonts w:cs="Arial"/>
          <w:iCs/>
          <w:szCs w:val="20"/>
        </w:rPr>
        <w:t xml:space="preserve">Vlada je sprejela predlog </w:t>
      </w:r>
      <w:r w:rsidRPr="00E3533D">
        <w:rPr>
          <w:rFonts w:cs="Arial"/>
          <w:szCs w:val="20"/>
        </w:rPr>
        <w:t>Zakona o varstvu potrošnikov</w:t>
      </w:r>
      <w:r w:rsidRPr="00E3533D">
        <w:rPr>
          <w:rFonts w:cs="Arial"/>
          <w:iCs/>
          <w:szCs w:val="20"/>
        </w:rPr>
        <w:t xml:space="preserve">, </w:t>
      </w:r>
      <w:r w:rsidRPr="00E3533D">
        <w:rPr>
          <w:rFonts w:cs="Arial"/>
          <w:color w:val="000000"/>
          <w:szCs w:val="20"/>
          <w:lang w:eastAsia="en-GB"/>
        </w:rPr>
        <w:t>ki v slovenski pravni red prenaša rešitve treh novih evropskih direktiv</w:t>
      </w:r>
      <w:r w:rsidRPr="00E3533D">
        <w:rPr>
          <w:rStyle w:val="Sprotnaopomba-sklic"/>
          <w:rFonts w:cs="Arial"/>
          <w:color w:val="000000"/>
          <w:szCs w:val="20"/>
          <w:lang w:eastAsia="en-GB"/>
        </w:rPr>
        <w:footnoteReference w:id="2"/>
      </w:r>
      <w:r w:rsidRPr="00E3533D">
        <w:rPr>
          <w:rFonts w:cs="Arial"/>
          <w:color w:val="000000"/>
          <w:szCs w:val="20"/>
          <w:lang w:eastAsia="en-GB"/>
        </w:rPr>
        <w:t xml:space="preserve">. Te bodo poenotile pravila med pravnimi redi držav članic EU glede pravic in obveznosti potrošnikov v zvezi z nepoštenimi poslovnimi praksami, prodajno pogodbo, </w:t>
      </w:r>
      <w:r w:rsidRPr="00E3533D">
        <w:rPr>
          <w:rFonts w:cs="Arial"/>
          <w:color w:val="000000"/>
          <w:szCs w:val="20"/>
          <w:lang w:eastAsia="en-GB"/>
        </w:rPr>
        <w:lastRenderedPageBreak/>
        <w:t>pogodbo o dobavi digitalne vsebine ali digitalne storitve ter nekaterih pravil v zvezi s kazenskimi sankcijami.</w:t>
      </w:r>
    </w:p>
    <w:p w14:paraId="69405700" w14:textId="77777777" w:rsidR="002520AE" w:rsidRPr="002520AE" w:rsidRDefault="002520AE" w:rsidP="00E3533D">
      <w:pPr>
        <w:spacing w:line="240" w:lineRule="auto"/>
        <w:jc w:val="both"/>
        <w:rPr>
          <w:rFonts w:cs="Arial"/>
          <w:color w:val="000000"/>
          <w:szCs w:val="20"/>
          <w:lang w:eastAsia="en-GB"/>
        </w:rPr>
      </w:pPr>
    </w:p>
    <w:p w14:paraId="69C126C5" w14:textId="77777777" w:rsidR="00E17633" w:rsidRPr="00E3533D" w:rsidRDefault="00E17633" w:rsidP="00E3533D">
      <w:pPr>
        <w:spacing w:line="240" w:lineRule="auto"/>
        <w:jc w:val="both"/>
        <w:rPr>
          <w:rFonts w:cs="Arial"/>
          <w:iCs/>
          <w:szCs w:val="20"/>
        </w:rPr>
      </w:pPr>
      <w:r w:rsidRPr="00E3533D">
        <w:rPr>
          <w:rFonts w:cs="Arial"/>
          <w:szCs w:val="20"/>
        </w:rPr>
        <w:t>Temeljna načela se glede na veljavna zakona ne spreminjajo in so osredotočena na</w:t>
      </w:r>
      <w:r w:rsidRPr="00E3533D">
        <w:rPr>
          <w:rFonts w:cs="Arial"/>
          <w:iCs/>
          <w:szCs w:val="20"/>
        </w:rPr>
        <w:t xml:space="preserve"> zaščito potrošnikov kot šibkejše stranke v razmerju s podjetji, pravici potrošnikov do sodnega in upravnega varstva, prav tako pa se z jasno določitvijo pravil zagotavlja načelo pravne varnosti, kar posledično koristi tako potrošnikom kot podjetjem. </w:t>
      </w:r>
    </w:p>
    <w:p w14:paraId="31F93772" w14:textId="77777777" w:rsidR="00E17633" w:rsidRPr="00E3533D" w:rsidRDefault="00E17633" w:rsidP="00E3533D">
      <w:pPr>
        <w:spacing w:line="240" w:lineRule="auto"/>
        <w:jc w:val="both"/>
        <w:rPr>
          <w:rFonts w:cs="Arial"/>
          <w:szCs w:val="20"/>
        </w:rPr>
      </w:pPr>
    </w:p>
    <w:p w14:paraId="40D0EF20" w14:textId="77777777" w:rsidR="00E17633" w:rsidRPr="00E3533D" w:rsidRDefault="00E17633" w:rsidP="00E3533D">
      <w:pPr>
        <w:spacing w:line="240" w:lineRule="auto"/>
        <w:jc w:val="both"/>
        <w:rPr>
          <w:rFonts w:cs="Arial"/>
          <w:szCs w:val="20"/>
        </w:rPr>
      </w:pPr>
      <w:r w:rsidRPr="00E3533D">
        <w:rPr>
          <w:rFonts w:cs="Arial"/>
          <w:szCs w:val="20"/>
        </w:rPr>
        <w:t xml:space="preserve">Predlaga se uvedba hierarhije </w:t>
      </w:r>
      <w:proofErr w:type="spellStart"/>
      <w:r w:rsidRPr="00E3533D">
        <w:rPr>
          <w:rFonts w:cs="Arial"/>
          <w:szCs w:val="20"/>
        </w:rPr>
        <w:t>t.i</w:t>
      </w:r>
      <w:proofErr w:type="spellEnd"/>
      <w:r w:rsidRPr="00E3533D">
        <w:rPr>
          <w:rFonts w:cs="Arial"/>
          <w:szCs w:val="20"/>
        </w:rPr>
        <w:t xml:space="preserve">. jamčevalnih zahtevkov potrošnika proti prodajalcu zaradi neskladnosti blaga (1. stopnja: brezplačno popravilo ali zamenjava blaga; 2. stopnja: znižanje kupnine ali odstop od pogodbe). Prav tako se predlaga uvedba pravice potrošnika do zavrnitve, kar pomeni, da bi lahko potrošnik kljub hierarhiji zahtevkov takoj odstopil od pogodbe, če se neskladnost blaga pojavi v 30 dneh od dobave blaga, ne da bi mu bilo treba prej zahtevati popravilo ali zamenjavo blaga. Dodatno se predlaga ureditev določenih vidikov tržnih garancij, ki bi morala biti izdana brezplačno in v slovenskem jeziku, kadar je blago namenjeno prodaji na ozemlju Republike Slovenije. </w:t>
      </w:r>
    </w:p>
    <w:p w14:paraId="2A7268E1" w14:textId="77777777" w:rsidR="00E17633" w:rsidRPr="00E3533D" w:rsidRDefault="00E17633" w:rsidP="00E3533D">
      <w:pPr>
        <w:spacing w:line="240" w:lineRule="auto"/>
        <w:jc w:val="both"/>
        <w:rPr>
          <w:rFonts w:cs="Arial"/>
          <w:szCs w:val="20"/>
        </w:rPr>
      </w:pPr>
    </w:p>
    <w:p w14:paraId="022E59CE" w14:textId="77777777" w:rsidR="00E17633" w:rsidRPr="00E3533D" w:rsidRDefault="00E17633" w:rsidP="00E3533D">
      <w:pPr>
        <w:spacing w:line="240" w:lineRule="auto"/>
        <w:jc w:val="both"/>
        <w:rPr>
          <w:rFonts w:cs="Arial"/>
          <w:szCs w:val="20"/>
        </w:rPr>
      </w:pPr>
      <w:r w:rsidRPr="00E3533D">
        <w:rPr>
          <w:rFonts w:cs="Arial"/>
          <w:szCs w:val="20"/>
        </w:rPr>
        <w:t>Predlog zakona na  novo ureja pogodbo o dobavi digitalne vsebine in digitalne storitve, obvezno jamstvo za skladnost digitalne vsebine ali digitalne storitve ter spremembo digitalne vsebine ali digitalne storitve. Določbe poglavja o pogodbi o dobavi digitalne vsebine in digitalne storitve se bodo uporabljale tudi v primeru, ko se bo potrošnik zavezal, da bo namesto kupnine podjetju posredoval osebne podatke v zameno za dobavo digitalne vsebine ali digitalne storitve, kot je to sedaj običajno v primeru socialnih omrežjih,  storitvah elektronske pošte in mnogih drugih digitalnih  dobavah in storitvah. Podjetja bodo imela na podlagi predloga zakona obveznost, da zagotavljajo potrebne posodobitve digitalne vsebine in digitalne storitve, vključno z varnostnimi posodobitvami. Za razliko o pogodbi o dobavi digitalne vsebine in digitalne storitve, se bo prodaja blaga z digitalnimi elementi obravnavala po določbah, ki veljajo za prodajno pogodbo.</w:t>
      </w:r>
    </w:p>
    <w:p w14:paraId="4737F40D" w14:textId="77777777" w:rsidR="00E17633" w:rsidRPr="00E3533D" w:rsidRDefault="00E17633" w:rsidP="00E3533D">
      <w:pPr>
        <w:spacing w:line="240" w:lineRule="auto"/>
        <w:jc w:val="both"/>
        <w:rPr>
          <w:rFonts w:cs="Arial"/>
          <w:szCs w:val="20"/>
        </w:rPr>
      </w:pPr>
    </w:p>
    <w:p w14:paraId="489A63C0" w14:textId="77777777" w:rsidR="00E17633" w:rsidRPr="00E3533D" w:rsidRDefault="00E17633" w:rsidP="00E3533D">
      <w:pPr>
        <w:spacing w:line="240" w:lineRule="auto"/>
        <w:jc w:val="both"/>
        <w:rPr>
          <w:rFonts w:cs="Arial"/>
          <w:szCs w:val="20"/>
        </w:rPr>
      </w:pPr>
      <w:r w:rsidRPr="00E3533D">
        <w:rPr>
          <w:rFonts w:cs="Arial"/>
          <w:szCs w:val="20"/>
        </w:rPr>
        <w:t>Na novo se predlaga tudi določitev obveznosti spletnih tržnic, da potrošniku podajo dodatne informacije o razvrstitvi ponudb in, ali se v konkretnem primeru prek spletne tržnice sklepa pogodba s podjetjem ali potrošnikom. Prav tako bodo podjetja morala potrošnika obvestiti, ali je ponujena cena prilagojena na podlagi oblikovanja profilov potrošnikov, prepovedano bo tudi skrito oglaševanje, lažno podajanje ocen in priporočil potrošnikov. Predlog zakona določa, da bo potrošnik v primeru nepoštenih poslovnih praks lahko odstopil od pogodbe in zahteval odškodnino. Prav tako bo prepovedana t. i. dvojna kakovost blaga, pri čemer je dovoljena različna kakovost blaga, prepovedano pa je različno blago enako označiti. Bolj jasno bo opredeljena tudi obveznost podjetij, kako in v kakšnih situacijah morajo pri ponujanju popustov označiti prejšnjo ceno in znižano ceno.</w:t>
      </w:r>
    </w:p>
    <w:p w14:paraId="65F1A31A" w14:textId="77777777" w:rsidR="00E17633" w:rsidRPr="00E3533D" w:rsidRDefault="00E17633" w:rsidP="00E3533D">
      <w:pPr>
        <w:spacing w:line="240" w:lineRule="auto"/>
        <w:jc w:val="both"/>
        <w:rPr>
          <w:rFonts w:cs="Arial"/>
          <w:szCs w:val="20"/>
        </w:rPr>
      </w:pPr>
    </w:p>
    <w:p w14:paraId="020AFAEF" w14:textId="77777777" w:rsidR="00E17633" w:rsidRPr="00E3533D" w:rsidRDefault="00E17633" w:rsidP="00E3533D">
      <w:pPr>
        <w:spacing w:line="240" w:lineRule="auto"/>
        <w:jc w:val="both"/>
        <w:rPr>
          <w:rFonts w:cs="Arial"/>
          <w:szCs w:val="20"/>
        </w:rPr>
      </w:pPr>
      <w:r w:rsidRPr="00E3533D">
        <w:rPr>
          <w:rFonts w:cs="Arial"/>
          <w:szCs w:val="20"/>
        </w:rPr>
        <w:t>Predlog zakona odpravlja nesorazmerna bremena za podjetja, in sicer se podjetjem omogoča več prožnosti pri izbiri najustreznejših načinov komuniciranja s potrošniki. Usklajujejo se tudi merila za odmero globe, da bodo v vseh državah članicah EU le-te učinkovitejše, sorazmerne in odvračilne. S tem namenom se pri čezmejnih kršitvah predlaga določitev globe v višini odstotka letnega prometa podjetja, pri čemer najvišji znesek takšne globe znaša vsaj štiri odstotke letnega prometa podjetja in je odstotek prilagojen glede na razširjenost kršitve.</w:t>
      </w:r>
    </w:p>
    <w:p w14:paraId="7A49582C" w14:textId="77777777" w:rsidR="00E17633" w:rsidRPr="00E3533D" w:rsidRDefault="00E17633" w:rsidP="00E3533D">
      <w:pPr>
        <w:spacing w:line="240" w:lineRule="auto"/>
        <w:jc w:val="both"/>
        <w:rPr>
          <w:rFonts w:cs="Arial"/>
          <w:iCs/>
          <w:szCs w:val="20"/>
        </w:rPr>
      </w:pPr>
    </w:p>
    <w:p w14:paraId="6AC87669" w14:textId="77777777" w:rsidR="00E17633" w:rsidRPr="00E3533D" w:rsidRDefault="00E17633" w:rsidP="00E3533D">
      <w:pPr>
        <w:spacing w:line="240" w:lineRule="auto"/>
        <w:jc w:val="both"/>
        <w:rPr>
          <w:rFonts w:cs="Arial"/>
          <w:iCs/>
          <w:szCs w:val="20"/>
        </w:rPr>
      </w:pPr>
      <w:r w:rsidRPr="00E3533D">
        <w:rPr>
          <w:rFonts w:cs="Arial"/>
          <w:iCs/>
          <w:szCs w:val="20"/>
        </w:rPr>
        <w:t>Vlada predlaga Državnemu zboru, da predlog zakona obravnava po nujnem postopku, saj se mudi zaradi harmonizacije evropskega potrošniškega prava s prenosom direktiv.</w:t>
      </w:r>
    </w:p>
    <w:p w14:paraId="2773969A" w14:textId="77777777" w:rsidR="00E17633" w:rsidRPr="00E3533D" w:rsidRDefault="00E17633" w:rsidP="00E3533D">
      <w:pPr>
        <w:autoSpaceDE w:val="0"/>
        <w:autoSpaceDN w:val="0"/>
        <w:adjustRightInd w:val="0"/>
        <w:spacing w:line="240" w:lineRule="auto"/>
        <w:ind w:left="142" w:right="181"/>
        <w:jc w:val="both"/>
        <w:rPr>
          <w:rFonts w:cs="Arial"/>
          <w:szCs w:val="20"/>
        </w:rPr>
      </w:pPr>
    </w:p>
    <w:p w14:paraId="1865608C" w14:textId="77777777" w:rsidR="00E17633" w:rsidRPr="00E3533D" w:rsidRDefault="00E17633" w:rsidP="00E3533D">
      <w:pPr>
        <w:autoSpaceDE w:val="0"/>
        <w:autoSpaceDN w:val="0"/>
        <w:adjustRightInd w:val="0"/>
        <w:spacing w:line="240" w:lineRule="auto"/>
        <w:ind w:right="181"/>
        <w:jc w:val="both"/>
        <w:rPr>
          <w:rFonts w:cs="Arial"/>
          <w:szCs w:val="20"/>
        </w:rPr>
      </w:pPr>
      <w:r w:rsidRPr="00E3533D">
        <w:rPr>
          <w:rFonts w:cs="Arial"/>
          <w:szCs w:val="20"/>
        </w:rPr>
        <w:t>Vir: Ministrstvo za gospodarski razvoj in tehnologijo</w:t>
      </w:r>
    </w:p>
    <w:p w14:paraId="0435A318" w14:textId="77777777" w:rsidR="00E17633" w:rsidRPr="00E3533D" w:rsidRDefault="00E17633" w:rsidP="00E3533D">
      <w:pPr>
        <w:spacing w:line="240" w:lineRule="auto"/>
        <w:jc w:val="both"/>
        <w:rPr>
          <w:rFonts w:cs="Arial"/>
          <w:szCs w:val="20"/>
        </w:rPr>
      </w:pPr>
    </w:p>
    <w:p w14:paraId="18BE8718" w14:textId="77777777" w:rsidR="00E17633" w:rsidRPr="00E3533D" w:rsidRDefault="00E17633" w:rsidP="00E3533D">
      <w:pPr>
        <w:spacing w:line="240" w:lineRule="auto"/>
        <w:jc w:val="both"/>
        <w:rPr>
          <w:rFonts w:cs="Arial"/>
          <w:szCs w:val="20"/>
        </w:rPr>
      </w:pPr>
    </w:p>
    <w:p w14:paraId="6051601C" w14:textId="77777777" w:rsidR="00E17633" w:rsidRPr="00E3533D" w:rsidRDefault="00E17633" w:rsidP="00E3533D">
      <w:pPr>
        <w:spacing w:line="240" w:lineRule="auto"/>
        <w:jc w:val="both"/>
        <w:rPr>
          <w:rFonts w:cs="Arial"/>
          <w:b/>
          <w:bCs/>
          <w:szCs w:val="20"/>
        </w:rPr>
      </w:pPr>
      <w:r w:rsidRPr="00E3533D">
        <w:rPr>
          <w:rFonts w:cs="Arial"/>
          <w:b/>
          <w:bCs/>
          <w:szCs w:val="20"/>
        </w:rPr>
        <w:t>Vlada podpira predlog zakona za zmanjšanje neenakosti in škodljivih posegov politike</w:t>
      </w:r>
    </w:p>
    <w:p w14:paraId="2CE0FB73" w14:textId="77777777" w:rsidR="00E17633" w:rsidRPr="00E3533D" w:rsidRDefault="00E17633" w:rsidP="00E3533D">
      <w:pPr>
        <w:spacing w:line="240" w:lineRule="auto"/>
        <w:jc w:val="both"/>
        <w:rPr>
          <w:rFonts w:cs="Arial"/>
          <w:b/>
          <w:bCs/>
          <w:szCs w:val="20"/>
        </w:rPr>
      </w:pPr>
    </w:p>
    <w:p w14:paraId="4E1B261F" w14:textId="77777777" w:rsidR="00E17633" w:rsidRPr="00E3533D" w:rsidRDefault="00E17633" w:rsidP="00E3533D">
      <w:pPr>
        <w:spacing w:line="240" w:lineRule="auto"/>
        <w:jc w:val="both"/>
        <w:rPr>
          <w:rFonts w:cs="Arial"/>
          <w:bCs/>
          <w:szCs w:val="20"/>
        </w:rPr>
      </w:pPr>
      <w:r w:rsidRPr="00E3533D">
        <w:rPr>
          <w:rFonts w:cs="Arial"/>
          <w:bCs/>
          <w:szCs w:val="20"/>
        </w:rPr>
        <w:t>Vlada je danes sprejela mnenje o predlogu Zakona za zmanjšanje neenakosti in škodljivih posegov politike ter zagotavljanje spoštovanja pravne države, ki ga je državnemu zboru predložila skupina volivk in volivcev na čelu z Inštitutom 8. marec. Vlada predlog podpira.</w:t>
      </w:r>
    </w:p>
    <w:p w14:paraId="029247B6" w14:textId="77777777" w:rsidR="00E17633" w:rsidRPr="00E3533D" w:rsidRDefault="00E17633" w:rsidP="00E3533D">
      <w:pPr>
        <w:spacing w:line="240" w:lineRule="auto"/>
        <w:jc w:val="both"/>
        <w:rPr>
          <w:rFonts w:cs="Arial"/>
          <w:szCs w:val="20"/>
        </w:rPr>
      </w:pPr>
    </w:p>
    <w:p w14:paraId="40D5B96E" w14:textId="77777777" w:rsidR="00E17633" w:rsidRPr="00E3533D" w:rsidRDefault="00E17633" w:rsidP="00E3533D">
      <w:pPr>
        <w:spacing w:line="240" w:lineRule="auto"/>
        <w:jc w:val="both"/>
        <w:rPr>
          <w:rFonts w:cs="Arial"/>
          <w:szCs w:val="20"/>
        </w:rPr>
      </w:pPr>
      <w:r w:rsidRPr="00E3533D">
        <w:rPr>
          <w:rFonts w:cs="Arial"/>
          <w:szCs w:val="20"/>
        </w:rPr>
        <w:t xml:space="preserve">Predlog zakona bi odpravil določene spremembe obstoječe zakonodaje na področju vzgoje in izobraževanja, organiziranosti in dela policije, organizacije in dela državnega tožilstva, prevozov </w:t>
      </w:r>
      <w:r w:rsidRPr="00E3533D">
        <w:rPr>
          <w:rFonts w:cs="Arial"/>
          <w:szCs w:val="20"/>
        </w:rPr>
        <w:lastRenderedPageBreak/>
        <w:t>v cestnem prometu, financiranja kulture, kazenskega prava, prodaje in nakupa orožja, obdavčitve dohodka pravnih oseb, gradnje objektov in pravic tujih študentov, ki živijo v Sloveniji.</w:t>
      </w:r>
    </w:p>
    <w:p w14:paraId="62378029" w14:textId="77777777" w:rsidR="00E17633" w:rsidRPr="00E3533D" w:rsidRDefault="00E17633" w:rsidP="00E3533D">
      <w:pPr>
        <w:spacing w:line="240" w:lineRule="auto"/>
        <w:jc w:val="both"/>
        <w:rPr>
          <w:rFonts w:cs="Arial"/>
          <w:szCs w:val="20"/>
        </w:rPr>
      </w:pPr>
    </w:p>
    <w:p w14:paraId="063C9584" w14:textId="77777777" w:rsidR="00E17633" w:rsidRPr="00E3533D" w:rsidRDefault="00E17633" w:rsidP="00E3533D">
      <w:pPr>
        <w:spacing w:line="240" w:lineRule="auto"/>
        <w:jc w:val="both"/>
        <w:rPr>
          <w:rFonts w:cs="Arial"/>
          <w:szCs w:val="20"/>
        </w:rPr>
      </w:pPr>
      <w:r w:rsidRPr="00E3533D">
        <w:rPr>
          <w:rFonts w:cs="Arial"/>
          <w:szCs w:val="20"/>
        </w:rPr>
        <w:t>Vlada predlog podpira, z danes sprejetim mnenjem pa nadomeščamo mnenje vlade, sprejeto 30. maja 2022.</w:t>
      </w:r>
    </w:p>
    <w:p w14:paraId="5D409CA7" w14:textId="77777777" w:rsidR="00E17633" w:rsidRPr="00E3533D" w:rsidRDefault="00E17633" w:rsidP="00E3533D">
      <w:pPr>
        <w:spacing w:line="240" w:lineRule="auto"/>
        <w:jc w:val="both"/>
        <w:rPr>
          <w:rFonts w:cs="Arial"/>
          <w:szCs w:val="20"/>
        </w:rPr>
      </w:pPr>
    </w:p>
    <w:p w14:paraId="12C6993F" w14:textId="77777777" w:rsidR="00E17633" w:rsidRPr="00E3533D" w:rsidRDefault="00E17633" w:rsidP="00E3533D">
      <w:pPr>
        <w:spacing w:line="240" w:lineRule="auto"/>
        <w:jc w:val="both"/>
        <w:rPr>
          <w:rFonts w:cs="Arial"/>
          <w:szCs w:val="20"/>
        </w:rPr>
      </w:pPr>
      <w:r w:rsidRPr="00E3533D">
        <w:rPr>
          <w:rFonts w:cs="Arial"/>
          <w:szCs w:val="20"/>
        </w:rPr>
        <w:t>Vir: Ministrstvo za finance</w:t>
      </w:r>
    </w:p>
    <w:p w14:paraId="67F1D2E9" w14:textId="77777777" w:rsidR="00E17633" w:rsidRPr="00E3533D" w:rsidRDefault="00E17633" w:rsidP="00E3533D">
      <w:pPr>
        <w:spacing w:line="240" w:lineRule="auto"/>
        <w:jc w:val="both"/>
        <w:rPr>
          <w:rFonts w:cs="Arial"/>
          <w:szCs w:val="20"/>
        </w:rPr>
      </w:pPr>
    </w:p>
    <w:p w14:paraId="43352A5B" w14:textId="77777777" w:rsidR="00E17633" w:rsidRPr="00E3533D" w:rsidRDefault="00E17633" w:rsidP="00E3533D">
      <w:pPr>
        <w:spacing w:line="240" w:lineRule="auto"/>
        <w:jc w:val="both"/>
        <w:rPr>
          <w:rFonts w:cs="Arial"/>
          <w:szCs w:val="20"/>
        </w:rPr>
      </w:pPr>
    </w:p>
    <w:p w14:paraId="69A6CC9B" w14:textId="77777777" w:rsidR="00E17633" w:rsidRPr="00E3533D" w:rsidRDefault="00E17633" w:rsidP="00E3533D">
      <w:pPr>
        <w:tabs>
          <w:tab w:val="left" w:pos="-1276"/>
        </w:tabs>
        <w:spacing w:line="240" w:lineRule="auto"/>
        <w:jc w:val="both"/>
        <w:rPr>
          <w:rFonts w:eastAsia="Calibri" w:cs="Arial"/>
          <w:b/>
          <w:iCs/>
          <w:szCs w:val="20"/>
          <w:lang w:eastAsia="sl-SI"/>
        </w:rPr>
      </w:pPr>
      <w:r w:rsidRPr="00E3533D">
        <w:rPr>
          <w:rFonts w:eastAsia="Calibri" w:cs="Arial"/>
          <w:b/>
          <w:iCs/>
          <w:szCs w:val="20"/>
          <w:lang w:eastAsia="sl-SI"/>
        </w:rPr>
        <w:t xml:space="preserve">Zakona o ratifikaciji Protokolov o pristopu Republike Finske in Kraljevine Švedske k Severnoatlantski  pogodbi </w:t>
      </w:r>
    </w:p>
    <w:p w14:paraId="3F04578F" w14:textId="77777777" w:rsidR="00E17633" w:rsidRPr="00E3533D" w:rsidRDefault="00E17633" w:rsidP="00E3533D">
      <w:pPr>
        <w:tabs>
          <w:tab w:val="left" w:pos="-1276"/>
        </w:tabs>
        <w:spacing w:line="240" w:lineRule="auto"/>
        <w:jc w:val="both"/>
        <w:rPr>
          <w:rFonts w:eastAsia="Calibri" w:cs="Arial"/>
          <w:szCs w:val="20"/>
        </w:rPr>
      </w:pPr>
    </w:p>
    <w:p w14:paraId="249FEF74"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Vlada je določila besedilo predlogov zakonov o ratifikaciji Protokola o pristopu Kraljevine Švedske k Severnoatlantski pogodbi in Protokola o pristopu Republike Finske k Severnoatlantski  pogodbi. Protokola sta bila podpisana, 5. julija 2022 v Bruslju in urejata postopek včlanjevanja držav v zvezo Nato.</w:t>
      </w:r>
    </w:p>
    <w:p w14:paraId="26B1FB33" w14:textId="77777777" w:rsidR="00E17633" w:rsidRPr="00E3533D" w:rsidRDefault="00E17633" w:rsidP="00E3533D">
      <w:pPr>
        <w:tabs>
          <w:tab w:val="left" w:pos="-1276"/>
        </w:tabs>
        <w:spacing w:line="240" w:lineRule="auto"/>
        <w:jc w:val="both"/>
        <w:rPr>
          <w:rFonts w:eastAsia="Calibri" w:cs="Arial"/>
          <w:szCs w:val="20"/>
        </w:rPr>
      </w:pPr>
    </w:p>
    <w:p w14:paraId="14FEA700"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Kraljevina Švedska in Republika Finska sta eni izmed najtesnejših partneric Nata. Zaradi spremenjenih varnostnih in političnih razmer, ki so posledica ruske invazije na Ukrajino sta obe vladi pripravili poročilo o spremembah zunanjepolitičnega in varnostnega okolja. Pripravljeni poročili, ki ugotavljata prednosti članstva držav v Natu sta podprla tudi finski in švedski parlament ter širša javnost v obeh državah. Kraljevina Švedska in Republika Finska sta nato za članstvo v Natu uradno zaprosili 18. maja 2022.</w:t>
      </w:r>
    </w:p>
    <w:p w14:paraId="08596BD1" w14:textId="77777777" w:rsidR="00E17633" w:rsidRPr="00E3533D" w:rsidRDefault="00E17633" w:rsidP="00E3533D">
      <w:pPr>
        <w:tabs>
          <w:tab w:val="left" w:pos="-1276"/>
        </w:tabs>
        <w:spacing w:line="240" w:lineRule="auto"/>
        <w:jc w:val="both"/>
        <w:rPr>
          <w:rFonts w:eastAsia="Calibri" w:cs="Arial"/>
          <w:szCs w:val="20"/>
        </w:rPr>
      </w:pPr>
    </w:p>
    <w:p w14:paraId="6989E8F8" w14:textId="77777777" w:rsidR="00E17633" w:rsidRPr="00E3533D" w:rsidRDefault="00E17633" w:rsidP="00E3533D">
      <w:pPr>
        <w:tabs>
          <w:tab w:val="left" w:pos="-1276"/>
        </w:tabs>
        <w:spacing w:line="240" w:lineRule="auto"/>
        <w:jc w:val="both"/>
        <w:rPr>
          <w:rFonts w:cs="Arial"/>
          <w:szCs w:val="20"/>
        </w:rPr>
      </w:pPr>
      <w:r w:rsidRPr="00E3533D">
        <w:rPr>
          <w:rFonts w:eastAsia="Calibri" w:cs="Arial"/>
          <w:szCs w:val="20"/>
        </w:rPr>
        <w:t>Vir: Ministrstvo za zunanje zadeve</w:t>
      </w:r>
    </w:p>
    <w:p w14:paraId="6ABB6D33" w14:textId="6456950E" w:rsidR="00E17633" w:rsidRDefault="00E17633" w:rsidP="00E3533D">
      <w:pPr>
        <w:spacing w:line="240" w:lineRule="auto"/>
        <w:jc w:val="both"/>
        <w:rPr>
          <w:rFonts w:cs="Arial"/>
          <w:szCs w:val="20"/>
        </w:rPr>
      </w:pPr>
    </w:p>
    <w:p w14:paraId="68A1362A" w14:textId="77777777" w:rsidR="002520AE" w:rsidRPr="00E3533D" w:rsidRDefault="002520AE" w:rsidP="00E3533D">
      <w:pPr>
        <w:spacing w:line="240" w:lineRule="auto"/>
        <w:jc w:val="both"/>
        <w:rPr>
          <w:rFonts w:cs="Arial"/>
          <w:szCs w:val="20"/>
        </w:rPr>
      </w:pPr>
    </w:p>
    <w:p w14:paraId="664A48B4" w14:textId="77777777" w:rsidR="001A600E" w:rsidRPr="00E3533D" w:rsidRDefault="001A600E" w:rsidP="00E3533D">
      <w:pPr>
        <w:spacing w:line="240" w:lineRule="auto"/>
        <w:jc w:val="both"/>
        <w:rPr>
          <w:rFonts w:eastAsiaTheme="minorHAnsi" w:cs="Arial"/>
          <w:b/>
          <w:bCs/>
          <w:szCs w:val="20"/>
        </w:rPr>
      </w:pPr>
      <w:r w:rsidRPr="00E3533D">
        <w:rPr>
          <w:rFonts w:eastAsiaTheme="minorHAnsi" w:cs="Arial"/>
          <w:b/>
          <w:bCs/>
          <w:szCs w:val="20"/>
        </w:rPr>
        <w:t>Vlada mag. Jurija Groznika ni imenovala na funkcijo generalnega državnega odvetnika</w:t>
      </w:r>
    </w:p>
    <w:p w14:paraId="428932FD" w14:textId="77777777" w:rsidR="002520AE" w:rsidRDefault="002520AE" w:rsidP="00E3533D">
      <w:pPr>
        <w:spacing w:line="240" w:lineRule="auto"/>
        <w:jc w:val="both"/>
        <w:rPr>
          <w:rFonts w:eastAsia="Calibri" w:cs="Arial"/>
          <w:szCs w:val="20"/>
        </w:rPr>
      </w:pPr>
    </w:p>
    <w:p w14:paraId="4AD419A6" w14:textId="0BA7E1AC" w:rsidR="001A600E" w:rsidRPr="00E3533D" w:rsidRDefault="001A600E" w:rsidP="00E3533D">
      <w:pPr>
        <w:spacing w:line="240" w:lineRule="auto"/>
        <w:jc w:val="both"/>
        <w:rPr>
          <w:rFonts w:eastAsia="Calibri" w:cs="Arial"/>
          <w:szCs w:val="20"/>
        </w:rPr>
      </w:pPr>
      <w:r w:rsidRPr="00E3533D">
        <w:rPr>
          <w:rFonts w:eastAsia="Calibri" w:cs="Arial"/>
          <w:szCs w:val="20"/>
        </w:rPr>
        <w:t xml:space="preserve">Vlada je na današnji seji gradivo s predlogom za imenovanje mag Jurija Groznika za generalnega državnega odvetnika obravnavala in odločila, da predlaganega kandidata ne imenuje na funkcijo generalnega državnega odvetnika.   </w:t>
      </w:r>
    </w:p>
    <w:p w14:paraId="45E8E399" w14:textId="77777777" w:rsidR="001A600E" w:rsidRPr="00E3533D" w:rsidRDefault="001A600E" w:rsidP="00E3533D">
      <w:pPr>
        <w:spacing w:line="240" w:lineRule="auto"/>
        <w:jc w:val="both"/>
        <w:rPr>
          <w:rFonts w:eastAsia="Calibri" w:cs="Arial"/>
          <w:szCs w:val="20"/>
        </w:rPr>
      </w:pPr>
    </w:p>
    <w:p w14:paraId="12704CCF" w14:textId="31EA90FA" w:rsidR="001A600E" w:rsidRDefault="001A600E" w:rsidP="00E3533D">
      <w:pPr>
        <w:spacing w:line="240" w:lineRule="auto"/>
        <w:jc w:val="both"/>
        <w:rPr>
          <w:rFonts w:eastAsia="Calibri" w:cs="Arial"/>
          <w:szCs w:val="20"/>
        </w:rPr>
      </w:pPr>
      <w:r w:rsidRPr="00E3533D">
        <w:rPr>
          <w:rFonts w:eastAsia="Calibri" w:cs="Arial"/>
          <w:szCs w:val="20"/>
        </w:rPr>
        <w:t xml:space="preserve">Generalnega državnega odvetnika imenuje </w:t>
      </w:r>
      <w:r w:rsidR="002520AE">
        <w:rPr>
          <w:rFonts w:eastAsia="Calibri" w:cs="Arial"/>
          <w:szCs w:val="20"/>
        </w:rPr>
        <w:t>v</w:t>
      </w:r>
      <w:r w:rsidRPr="00E3533D">
        <w:rPr>
          <w:rFonts w:eastAsia="Calibri" w:cs="Arial"/>
          <w:szCs w:val="20"/>
        </w:rPr>
        <w:t xml:space="preserve">lada, na obrazložen predlog ministra za pravosodje, po predhodni pridobitvi mnenja Komisije za presojo ustreznosti kandidatov za generalnega državnega odvetnika in višje državne odvetnike. </w:t>
      </w:r>
    </w:p>
    <w:p w14:paraId="5C1A65D1" w14:textId="77777777" w:rsidR="002520AE" w:rsidRPr="00E3533D" w:rsidRDefault="002520AE" w:rsidP="00E3533D">
      <w:pPr>
        <w:spacing w:line="240" w:lineRule="auto"/>
        <w:jc w:val="both"/>
        <w:rPr>
          <w:rFonts w:eastAsia="Calibri" w:cs="Arial"/>
          <w:szCs w:val="20"/>
        </w:rPr>
      </w:pPr>
    </w:p>
    <w:p w14:paraId="793F6E13" w14:textId="0EC8A4DC" w:rsidR="001A600E" w:rsidRDefault="001A600E" w:rsidP="00E3533D">
      <w:pPr>
        <w:spacing w:line="240" w:lineRule="auto"/>
        <w:jc w:val="both"/>
        <w:rPr>
          <w:rFonts w:eastAsia="Calibri" w:cs="Arial"/>
          <w:szCs w:val="20"/>
        </w:rPr>
      </w:pPr>
      <w:r w:rsidRPr="00E3533D">
        <w:rPr>
          <w:rFonts w:eastAsia="Calibri" w:cs="Arial"/>
          <w:szCs w:val="20"/>
        </w:rPr>
        <w:t>Ministrstvo za pravosodje je 1. 10. 2021 objavilo prosto mesto generalnega državnega odvetnika. V roku je prejelo štiri prijave kandidatov, ki so izpolnjevali predpisane formalne pogoje za imenovanje. Z vsakim kandidatom posebej je takratni minister opravil razgovor, kot najprimernejšega kandidata za zasedbo mesta generalnega državnega odvetnika pa je izbral mag. Jurija Groznika.</w:t>
      </w:r>
    </w:p>
    <w:p w14:paraId="42693DD3" w14:textId="77777777" w:rsidR="002520AE" w:rsidRPr="00E3533D" w:rsidRDefault="002520AE" w:rsidP="00E3533D">
      <w:pPr>
        <w:spacing w:line="240" w:lineRule="auto"/>
        <w:jc w:val="both"/>
        <w:rPr>
          <w:rFonts w:eastAsia="Calibri" w:cs="Arial"/>
          <w:szCs w:val="20"/>
        </w:rPr>
      </w:pPr>
    </w:p>
    <w:p w14:paraId="116EB6AE" w14:textId="5A75A071" w:rsidR="001A600E" w:rsidRDefault="001A600E" w:rsidP="00E3533D">
      <w:pPr>
        <w:spacing w:line="240" w:lineRule="auto"/>
        <w:jc w:val="both"/>
        <w:rPr>
          <w:rFonts w:eastAsia="Calibri" w:cs="Arial"/>
          <w:szCs w:val="20"/>
        </w:rPr>
      </w:pPr>
      <w:r w:rsidRPr="00E3533D">
        <w:rPr>
          <w:rFonts w:eastAsia="Calibri" w:cs="Arial"/>
          <w:szCs w:val="20"/>
        </w:rPr>
        <w:t>Vlada je ocenila, da predlagani kandidat, kljub siceršnji izkazani strokovni usposobljenosti in ustreznosti, v preteklem mandatu ni dosledno deloval v skladu s cilji, poslanstvom in načeli delovanja Državnega odvetništva kot celote. Generalni državni odvetnik, kot predstojnika organa, ki je po zakonu odgovoren za zakonitost dela državnega odvetništva, mora delovati v skladu z ustavo in zakoni, ter med drugimi vrednotami varovati tudi ustavne interese, vključno s krepitvijo pravne države in zaščito človekovih pravic, javni interes in ugled države ter državnega odvetništva.</w:t>
      </w:r>
    </w:p>
    <w:p w14:paraId="6D98F241" w14:textId="77777777" w:rsidR="002520AE" w:rsidRPr="00E3533D" w:rsidRDefault="002520AE" w:rsidP="00E3533D">
      <w:pPr>
        <w:spacing w:line="240" w:lineRule="auto"/>
        <w:jc w:val="both"/>
        <w:rPr>
          <w:rFonts w:eastAsia="Calibri" w:cs="Arial"/>
          <w:szCs w:val="20"/>
        </w:rPr>
      </w:pPr>
    </w:p>
    <w:p w14:paraId="33592814" w14:textId="1F929456" w:rsidR="00E17633" w:rsidRDefault="001A600E" w:rsidP="00E3533D">
      <w:pPr>
        <w:spacing w:line="240" w:lineRule="auto"/>
        <w:jc w:val="both"/>
        <w:rPr>
          <w:rFonts w:cs="Arial"/>
          <w:szCs w:val="20"/>
        </w:rPr>
      </w:pPr>
      <w:r w:rsidRPr="00E3533D">
        <w:rPr>
          <w:rFonts w:cs="Arial"/>
          <w:szCs w:val="20"/>
        </w:rPr>
        <w:t>Vir: Ministrstvo za pravosodje</w:t>
      </w:r>
    </w:p>
    <w:p w14:paraId="5551704C" w14:textId="77777777" w:rsidR="002520AE" w:rsidRPr="00E3533D" w:rsidRDefault="002520AE" w:rsidP="00E3533D">
      <w:pPr>
        <w:spacing w:line="240" w:lineRule="auto"/>
        <w:jc w:val="both"/>
        <w:rPr>
          <w:rFonts w:cs="Arial"/>
          <w:szCs w:val="20"/>
        </w:rPr>
      </w:pPr>
    </w:p>
    <w:p w14:paraId="029C861C" w14:textId="77777777" w:rsidR="001A600E" w:rsidRPr="00E3533D" w:rsidRDefault="001A600E" w:rsidP="00E3533D">
      <w:pPr>
        <w:spacing w:line="240" w:lineRule="auto"/>
        <w:jc w:val="both"/>
        <w:rPr>
          <w:rFonts w:cs="Arial"/>
          <w:szCs w:val="20"/>
        </w:rPr>
      </w:pPr>
    </w:p>
    <w:p w14:paraId="7E6345FA" w14:textId="77777777" w:rsidR="00E17633" w:rsidRPr="00E3533D" w:rsidRDefault="00E17633" w:rsidP="00E3533D">
      <w:pPr>
        <w:overflowPunct w:val="0"/>
        <w:autoSpaceDE w:val="0"/>
        <w:autoSpaceDN w:val="0"/>
        <w:spacing w:line="240" w:lineRule="auto"/>
        <w:jc w:val="both"/>
        <w:textAlignment w:val="baseline"/>
        <w:rPr>
          <w:rFonts w:cs="Arial"/>
          <w:b/>
          <w:szCs w:val="20"/>
          <w:lang w:eastAsia="sl-SI"/>
        </w:rPr>
      </w:pPr>
      <w:r w:rsidRPr="00E3533D">
        <w:rPr>
          <w:rFonts w:cs="Arial"/>
          <w:b/>
          <w:szCs w:val="20"/>
          <w:lang w:eastAsia="sl-SI"/>
        </w:rPr>
        <w:t>Vlada sprejela Sklep o spremembah in dopolnitvah Sklepa o ustanovitvi Nacionalnega laboratorija za zdravje, okolje in hrano</w:t>
      </w:r>
    </w:p>
    <w:p w14:paraId="4180894C" w14:textId="77777777" w:rsidR="00E17633" w:rsidRPr="00E3533D" w:rsidRDefault="00E17633" w:rsidP="00E3533D">
      <w:pPr>
        <w:overflowPunct w:val="0"/>
        <w:autoSpaceDE w:val="0"/>
        <w:autoSpaceDN w:val="0"/>
        <w:spacing w:line="240" w:lineRule="auto"/>
        <w:jc w:val="both"/>
        <w:textAlignment w:val="baseline"/>
        <w:rPr>
          <w:rFonts w:cs="Arial"/>
          <w:b/>
          <w:szCs w:val="20"/>
          <w:lang w:eastAsia="sl-SI"/>
        </w:rPr>
      </w:pPr>
    </w:p>
    <w:p w14:paraId="7B1FFDA6" w14:textId="77777777" w:rsidR="00E17633" w:rsidRPr="00E3533D"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E3533D">
        <w:rPr>
          <w:rFonts w:cs="Arial"/>
          <w:bCs/>
          <w:szCs w:val="20"/>
          <w:lang w:eastAsia="sl-SI"/>
        </w:rPr>
        <w:t xml:space="preserve">V predlogu sprememb in dopolnitev Sklepa o ustanovitvi Nacionalnega laboratorija za zdravje, okolje in hrano (Sklep) se spremeni besedilo drugega odstavka 6. člena tako, da se določi, da </w:t>
      </w:r>
      <w:r w:rsidRPr="00E3533D">
        <w:rPr>
          <w:rFonts w:cs="Arial"/>
          <w:bCs/>
          <w:szCs w:val="20"/>
          <w:lang w:eastAsia="sl-SI"/>
        </w:rPr>
        <w:lastRenderedPageBreak/>
        <w:t>vodje organizacijskih enot imenuje in razrešuje generalni direktor zavoda na predlog strokovnega direktorja zavoda.</w:t>
      </w:r>
    </w:p>
    <w:p w14:paraId="1552CFBB"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p>
    <w:p w14:paraId="24F7E751"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V Sklepu se beseda »direktor« nadomesti z besedilom »generalni direktor«. V 15. členu Sklepa se med naloge strokovnega sveta dodajo še dajanje soglasij k strateškim dokumentom in letnemu načrtu, potrjevanje letnega strokovnega poročila ter skrb za realizacijo delovnega programa.</w:t>
      </w:r>
    </w:p>
    <w:p w14:paraId="5571D29C"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p>
    <w:p w14:paraId="0AA98FC1"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r w:rsidRPr="00E3533D">
        <w:rPr>
          <w:rFonts w:cs="Arial"/>
          <w:szCs w:val="20"/>
          <w:lang w:eastAsia="sl-SI"/>
        </w:rPr>
        <w:t>Naloge, imenovanje in razrešitev ter pogoji za kandidate za strokovnega direktorja zavoda se določijo v novem 17.a členu Sklepa. Po zgledu Sklepa o spremembah in dopolnitvah Sklepa o ustanovitvi Nacionalnega inštituta za javno zdravje št. 0140-130/2022/7 z dne 6. 6. 2022, 17.a člen v šestem odstavku določa dodatno situacijo, kdaj se imenuje vršilec dolžnosti strokovnega direktorja zavoda. Za čas do imenovanja strokovnega direktorja zavoda se predvidi, da naloge strokovnega direktorja zavoda opravlja vršilec dolžnosti strokovnega direktorja zavoda in ne generalni direktor zavoda.</w:t>
      </w:r>
    </w:p>
    <w:p w14:paraId="25FC93DD"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p>
    <w:p w14:paraId="65C15A54" w14:textId="77777777" w:rsidR="00E17633" w:rsidRPr="00E3533D" w:rsidRDefault="00E17633" w:rsidP="00E3533D">
      <w:pPr>
        <w:overflowPunct w:val="0"/>
        <w:autoSpaceDE w:val="0"/>
        <w:autoSpaceDN w:val="0"/>
        <w:adjustRightInd w:val="0"/>
        <w:spacing w:line="240" w:lineRule="auto"/>
        <w:jc w:val="both"/>
        <w:textAlignment w:val="baseline"/>
        <w:rPr>
          <w:rFonts w:cs="Arial"/>
          <w:iCs/>
          <w:szCs w:val="20"/>
        </w:rPr>
      </w:pPr>
      <w:r w:rsidRPr="00E3533D">
        <w:rPr>
          <w:rFonts w:cs="Arial"/>
          <w:szCs w:val="20"/>
          <w:lang w:eastAsia="sl-SI"/>
        </w:rPr>
        <w:t>V prehodnih in končnih določbah v 13., 14. in 15. členu sprememb in dopolnitev Sklepa se določi, da se poslovodska funkcija in funkcija vodenja strokovnega dela zavoda z dnem veljavnosti tega sklepa ločita. Svet zavoda mora v 30 dneh po uveljavitvi sklepa uskladiti statut. Dosedanji direktor zavoda opravlja poslovodsko funkcijo do izteka veljavnega mandata.</w:t>
      </w:r>
    </w:p>
    <w:p w14:paraId="45B32893" w14:textId="77777777" w:rsidR="00E17633" w:rsidRPr="00E3533D" w:rsidRDefault="00E17633" w:rsidP="00E3533D">
      <w:pPr>
        <w:spacing w:line="240" w:lineRule="auto"/>
        <w:jc w:val="both"/>
        <w:rPr>
          <w:rFonts w:cs="Arial"/>
          <w:szCs w:val="20"/>
        </w:rPr>
      </w:pPr>
    </w:p>
    <w:p w14:paraId="05286400" w14:textId="77777777" w:rsidR="00E17633" w:rsidRPr="00E3533D" w:rsidRDefault="00E17633" w:rsidP="00E3533D">
      <w:pPr>
        <w:spacing w:line="240" w:lineRule="auto"/>
        <w:jc w:val="both"/>
        <w:rPr>
          <w:rFonts w:cs="Arial"/>
          <w:szCs w:val="20"/>
        </w:rPr>
      </w:pPr>
      <w:r w:rsidRPr="00E3533D">
        <w:rPr>
          <w:rFonts w:cs="Arial"/>
          <w:szCs w:val="20"/>
        </w:rPr>
        <w:t>Vir: Ministrstvo za zdravje</w:t>
      </w:r>
    </w:p>
    <w:p w14:paraId="79910A3F" w14:textId="77777777" w:rsidR="00E17633" w:rsidRPr="00E3533D" w:rsidRDefault="00E17633" w:rsidP="00E3533D">
      <w:pPr>
        <w:spacing w:line="240" w:lineRule="auto"/>
        <w:jc w:val="both"/>
        <w:rPr>
          <w:rFonts w:cs="Arial"/>
          <w:szCs w:val="20"/>
        </w:rPr>
      </w:pPr>
    </w:p>
    <w:p w14:paraId="4C430035" w14:textId="77777777" w:rsidR="00E17633" w:rsidRPr="00E3533D" w:rsidRDefault="00E17633" w:rsidP="00E3533D">
      <w:pPr>
        <w:spacing w:line="240" w:lineRule="auto"/>
        <w:jc w:val="both"/>
        <w:rPr>
          <w:rFonts w:cs="Arial"/>
          <w:szCs w:val="20"/>
        </w:rPr>
      </w:pPr>
    </w:p>
    <w:p w14:paraId="416BCBB1" w14:textId="77777777" w:rsidR="00E17633" w:rsidRPr="00E3533D" w:rsidRDefault="00E17633" w:rsidP="00E3533D">
      <w:pPr>
        <w:autoSpaceDE w:val="0"/>
        <w:autoSpaceDN w:val="0"/>
        <w:adjustRightInd w:val="0"/>
        <w:spacing w:line="240" w:lineRule="auto"/>
        <w:ind w:right="181"/>
        <w:jc w:val="both"/>
        <w:rPr>
          <w:rFonts w:cs="Arial"/>
          <w:b/>
          <w:szCs w:val="20"/>
        </w:rPr>
      </w:pPr>
      <w:r w:rsidRPr="00E3533D">
        <w:rPr>
          <w:rFonts w:cs="Arial"/>
          <w:b/>
          <w:szCs w:val="20"/>
        </w:rPr>
        <w:t>Vlada imenovala člane Sveta Slovenskega instituta za kakovost in meroslovje</w:t>
      </w:r>
    </w:p>
    <w:p w14:paraId="5F72285B" w14:textId="77777777" w:rsidR="00E17633" w:rsidRPr="00E3533D" w:rsidRDefault="00E17633" w:rsidP="00E3533D">
      <w:pPr>
        <w:autoSpaceDE w:val="0"/>
        <w:autoSpaceDN w:val="0"/>
        <w:adjustRightInd w:val="0"/>
        <w:spacing w:line="240" w:lineRule="auto"/>
        <w:ind w:right="181"/>
        <w:jc w:val="both"/>
        <w:rPr>
          <w:rFonts w:cs="Arial"/>
          <w:b/>
          <w:szCs w:val="20"/>
        </w:rPr>
      </w:pPr>
    </w:p>
    <w:p w14:paraId="398309D8" w14:textId="304DF145" w:rsidR="00E17633" w:rsidRPr="00E3533D" w:rsidRDefault="00E17633" w:rsidP="00E3533D">
      <w:pPr>
        <w:spacing w:line="240" w:lineRule="auto"/>
        <w:jc w:val="both"/>
        <w:rPr>
          <w:rFonts w:cs="Arial"/>
          <w:szCs w:val="20"/>
          <w:lang w:eastAsia="sl-SI"/>
        </w:rPr>
      </w:pPr>
      <w:r w:rsidRPr="00E3533D">
        <w:rPr>
          <w:rFonts w:cs="Arial"/>
          <w:iCs/>
          <w:szCs w:val="20"/>
        </w:rPr>
        <w:t xml:space="preserve">Vlada je za </w:t>
      </w:r>
      <w:r w:rsidRPr="00E3533D">
        <w:rPr>
          <w:rFonts w:cs="Arial"/>
          <w:szCs w:val="20"/>
          <w:lang w:eastAsia="sl-SI"/>
        </w:rPr>
        <w:t>člana Sveta Slovenskega instituta za kakovost in meroslovje, Ljubljana (</w:t>
      </w:r>
      <w:r w:rsidRPr="00E3533D">
        <w:rPr>
          <w:rFonts w:cs="Arial"/>
          <w:szCs w:val="20"/>
        </w:rPr>
        <w:t>SIQ)</w:t>
      </w:r>
      <w:r w:rsidRPr="00E3533D">
        <w:rPr>
          <w:rFonts w:cs="Arial"/>
          <w:szCs w:val="20"/>
          <w:lang w:eastAsia="sl-SI"/>
        </w:rPr>
        <w:t>, kot predstavnika ustanovitelja za dobo štirih let, in sicer od 27. 7. 2022 do 26. 7. 2026, z možnostjo ponovnega imenovanja, imenovala Franca Stanonika in Bernardo Suša.</w:t>
      </w:r>
    </w:p>
    <w:p w14:paraId="731D74B0" w14:textId="77777777" w:rsidR="00E17633" w:rsidRPr="00E3533D" w:rsidRDefault="00E17633" w:rsidP="00E3533D">
      <w:pPr>
        <w:spacing w:line="240" w:lineRule="auto"/>
        <w:jc w:val="both"/>
        <w:rPr>
          <w:rFonts w:cs="Arial"/>
          <w:iCs/>
          <w:szCs w:val="20"/>
        </w:rPr>
      </w:pPr>
    </w:p>
    <w:p w14:paraId="4C12803E" w14:textId="77777777" w:rsidR="00E17633" w:rsidRPr="00E3533D" w:rsidRDefault="00E17633" w:rsidP="00E3533D">
      <w:pPr>
        <w:spacing w:line="240" w:lineRule="auto"/>
        <w:jc w:val="both"/>
        <w:rPr>
          <w:rFonts w:cs="Arial"/>
          <w:szCs w:val="20"/>
        </w:rPr>
      </w:pPr>
      <w:r w:rsidRPr="00E3533D">
        <w:rPr>
          <w:rFonts w:cs="Arial"/>
          <w:szCs w:val="20"/>
        </w:rPr>
        <w:t xml:space="preserve">Vlade Republike Slovenije imenuje v Svet Slovenskega instituta za kakovost in meroslovje kot člane po enega predstavnika ministrstva, pristojnega za gospodarstvo in enega člana kot predstavnika ministrstva, pristojnega za finance. Mandat članov Sveta SIQ je štiri leta, pri čemer je lahko član ponovno imenovan. </w:t>
      </w:r>
    </w:p>
    <w:p w14:paraId="7CCEB18C"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207E3EB3" w14:textId="2B25FB98" w:rsidR="00E17633" w:rsidRPr="00E3533D" w:rsidRDefault="00E17633" w:rsidP="00E3533D">
      <w:pPr>
        <w:spacing w:line="240" w:lineRule="auto"/>
        <w:jc w:val="both"/>
        <w:rPr>
          <w:rFonts w:cs="Arial"/>
          <w:szCs w:val="20"/>
        </w:rPr>
      </w:pPr>
      <w:r w:rsidRPr="00E3533D">
        <w:rPr>
          <w:rFonts w:cs="Arial"/>
          <w:szCs w:val="20"/>
        </w:rPr>
        <w:t>Vir: Ministrstvo za gospodarski razvoj in tehnologijo</w:t>
      </w:r>
    </w:p>
    <w:p w14:paraId="26380FCD"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4FC2FCD8" w14:textId="77777777" w:rsidR="00E17633" w:rsidRPr="00E3533D" w:rsidRDefault="00E17633" w:rsidP="00E3533D">
      <w:pPr>
        <w:spacing w:line="240" w:lineRule="auto"/>
        <w:jc w:val="both"/>
        <w:rPr>
          <w:rFonts w:cs="Arial"/>
          <w:szCs w:val="20"/>
        </w:rPr>
      </w:pPr>
    </w:p>
    <w:p w14:paraId="066ACE5A" w14:textId="77777777" w:rsidR="00E17633" w:rsidRPr="00E3533D" w:rsidRDefault="00E17633" w:rsidP="00E3533D">
      <w:pPr>
        <w:spacing w:line="240" w:lineRule="auto"/>
        <w:jc w:val="both"/>
        <w:rPr>
          <w:rFonts w:cs="Arial"/>
          <w:b/>
          <w:bCs/>
          <w:color w:val="000000"/>
          <w:szCs w:val="20"/>
        </w:rPr>
      </w:pPr>
      <w:r w:rsidRPr="00E3533D">
        <w:rPr>
          <w:rFonts w:cs="Arial"/>
          <w:b/>
          <w:bCs/>
          <w:szCs w:val="20"/>
        </w:rPr>
        <w:t>Vlada o p</w:t>
      </w:r>
      <w:r w:rsidRPr="00E3533D">
        <w:rPr>
          <w:rFonts w:cs="Arial"/>
          <w:b/>
          <w:color w:val="000000"/>
          <w:szCs w:val="20"/>
        </w:rPr>
        <w:t>redlogu za razrešitev in imenovanje članov Uradniškega sveta</w:t>
      </w:r>
      <w:r w:rsidRPr="00E3533D">
        <w:rPr>
          <w:rFonts w:cs="Arial"/>
          <w:b/>
          <w:bCs/>
          <w:szCs w:val="20"/>
        </w:rPr>
        <w:t xml:space="preserve"> </w:t>
      </w:r>
    </w:p>
    <w:p w14:paraId="4A7B0B0B" w14:textId="77777777" w:rsidR="00E17633" w:rsidRPr="00E3533D" w:rsidRDefault="00E17633" w:rsidP="00E3533D">
      <w:pPr>
        <w:autoSpaceDE w:val="0"/>
        <w:autoSpaceDN w:val="0"/>
        <w:adjustRightInd w:val="0"/>
        <w:spacing w:line="240" w:lineRule="auto"/>
        <w:jc w:val="both"/>
        <w:rPr>
          <w:rFonts w:cs="Arial"/>
          <w:color w:val="000000"/>
          <w:szCs w:val="20"/>
        </w:rPr>
      </w:pPr>
    </w:p>
    <w:p w14:paraId="6D636F3F" w14:textId="77777777" w:rsidR="00E17633" w:rsidRPr="00E3533D" w:rsidRDefault="00E17633" w:rsidP="00E3533D">
      <w:pPr>
        <w:autoSpaceDE w:val="0"/>
        <w:autoSpaceDN w:val="0"/>
        <w:adjustRightInd w:val="0"/>
        <w:spacing w:line="240" w:lineRule="auto"/>
        <w:jc w:val="both"/>
        <w:rPr>
          <w:rFonts w:cs="Arial"/>
          <w:szCs w:val="20"/>
        </w:rPr>
      </w:pPr>
      <w:r w:rsidRPr="00E3533D">
        <w:rPr>
          <w:rFonts w:cs="Arial"/>
          <w:color w:val="000000"/>
          <w:szCs w:val="20"/>
        </w:rPr>
        <w:t xml:space="preserve">Vlada je na današnji redni seji sprejela sklep, da se z dnem 7. 7. 2022 v Uradniškem svetu razrešijo dosedanji vladni predstavniki: </w:t>
      </w:r>
      <w:bookmarkStart w:id="3" w:name="_Hlk107307054"/>
      <w:r w:rsidRPr="00E3533D">
        <w:rPr>
          <w:rFonts w:cs="Arial"/>
          <w:color w:val="000000"/>
          <w:szCs w:val="20"/>
        </w:rPr>
        <w:t xml:space="preserve">Sebastjan </w:t>
      </w:r>
      <w:proofErr w:type="spellStart"/>
      <w:r w:rsidRPr="00E3533D">
        <w:rPr>
          <w:rFonts w:cs="Arial"/>
          <w:color w:val="000000"/>
          <w:szCs w:val="20"/>
        </w:rPr>
        <w:t>Apat</w:t>
      </w:r>
      <w:proofErr w:type="spellEnd"/>
      <w:r w:rsidRPr="00E3533D">
        <w:rPr>
          <w:rFonts w:cs="Arial"/>
          <w:color w:val="000000"/>
          <w:szCs w:val="20"/>
        </w:rPr>
        <w:t xml:space="preserve">, Renata Martinčič in </w:t>
      </w:r>
      <w:proofErr w:type="spellStart"/>
      <w:r w:rsidRPr="00E3533D">
        <w:rPr>
          <w:rFonts w:cs="Arial"/>
          <w:color w:val="000000"/>
          <w:szCs w:val="20"/>
        </w:rPr>
        <w:t>Aleksandar</w:t>
      </w:r>
      <w:proofErr w:type="spellEnd"/>
      <w:r w:rsidRPr="00E3533D">
        <w:rPr>
          <w:rFonts w:cs="Arial"/>
          <w:color w:val="000000"/>
          <w:szCs w:val="20"/>
        </w:rPr>
        <w:t xml:space="preserve"> </w:t>
      </w:r>
      <w:proofErr w:type="spellStart"/>
      <w:r w:rsidRPr="00E3533D">
        <w:rPr>
          <w:rFonts w:cs="Arial"/>
          <w:color w:val="000000"/>
          <w:szCs w:val="20"/>
        </w:rPr>
        <w:t>Volaš</w:t>
      </w:r>
      <w:proofErr w:type="spellEnd"/>
      <w:r w:rsidRPr="00E3533D">
        <w:rPr>
          <w:rFonts w:cs="Arial"/>
          <w:color w:val="000000"/>
          <w:szCs w:val="20"/>
        </w:rPr>
        <w:t xml:space="preserve">, z izjemo </w:t>
      </w:r>
      <w:r w:rsidRPr="00E3533D">
        <w:rPr>
          <w:rFonts w:cs="Arial"/>
          <w:snapToGrid w:val="0"/>
          <w:color w:val="000000"/>
          <w:szCs w:val="20"/>
        </w:rPr>
        <w:t xml:space="preserve">dr. Vide Čadonič Špelič, kateri je mandat v Uradniškem svetu prenehal že 13. 5. 2022, in se </w:t>
      </w:r>
      <w:r w:rsidRPr="00E3533D">
        <w:rPr>
          <w:rFonts w:cs="Arial"/>
          <w:color w:val="000000"/>
          <w:szCs w:val="20"/>
        </w:rPr>
        <w:t>z dnem 8. 7. 2022 za člane Uradniškega sveta imenujejo:</w:t>
      </w:r>
      <w:r w:rsidRPr="00E3533D">
        <w:rPr>
          <w:rFonts w:cs="Arial"/>
          <w:szCs w:val="20"/>
        </w:rPr>
        <w:t xml:space="preserve"> Bojana Bavec, dr. Mitja Blaganje, mag. Teja Božovič Holc in Gregor Novak.</w:t>
      </w:r>
    </w:p>
    <w:bookmarkEnd w:id="3"/>
    <w:p w14:paraId="1AAFC451" w14:textId="77777777" w:rsidR="00E17633" w:rsidRPr="00E3533D" w:rsidRDefault="00E17633" w:rsidP="00E3533D">
      <w:pPr>
        <w:autoSpaceDE w:val="0"/>
        <w:autoSpaceDN w:val="0"/>
        <w:adjustRightInd w:val="0"/>
        <w:spacing w:line="240" w:lineRule="auto"/>
        <w:jc w:val="both"/>
        <w:rPr>
          <w:rFonts w:cs="Arial"/>
          <w:color w:val="000000"/>
          <w:szCs w:val="20"/>
        </w:rPr>
      </w:pPr>
    </w:p>
    <w:p w14:paraId="640B17CA" w14:textId="77777777" w:rsidR="00E17633" w:rsidRPr="00E3533D" w:rsidRDefault="00E17633" w:rsidP="00E3533D">
      <w:pPr>
        <w:spacing w:line="240" w:lineRule="auto"/>
        <w:jc w:val="both"/>
        <w:rPr>
          <w:rFonts w:cs="Arial"/>
          <w:color w:val="000000"/>
          <w:szCs w:val="20"/>
        </w:rPr>
      </w:pPr>
      <w:r w:rsidRPr="00E3533D">
        <w:rPr>
          <w:rFonts w:cs="Arial"/>
          <w:szCs w:val="20"/>
        </w:rPr>
        <w:t xml:space="preserve">V skladu z Zakonom o javnih uslužbencih (ZJU) štiri člane Uradniškega sveta imenuje vlada na predlog ministra, pristojnega za upravo. </w:t>
      </w:r>
      <w:r w:rsidRPr="00E3533D">
        <w:rPr>
          <w:rFonts w:cs="Arial"/>
          <w:color w:val="000000"/>
          <w:szCs w:val="20"/>
        </w:rPr>
        <w:t>Vlada lahko na podlagi četrtega odstavka 176. člena ZJU člane Uradniškega sveta, ki jih je imenovala, tudi razreši.</w:t>
      </w:r>
    </w:p>
    <w:p w14:paraId="189C7B59" w14:textId="77777777" w:rsidR="00E17633" w:rsidRPr="00E3533D" w:rsidRDefault="00E17633" w:rsidP="00E3533D">
      <w:pPr>
        <w:spacing w:line="240" w:lineRule="auto"/>
        <w:jc w:val="both"/>
        <w:rPr>
          <w:rFonts w:cs="Arial"/>
          <w:color w:val="000000"/>
          <w:szCs w:val="20"/>
        </w:rPr>
      </w:pPr>
    </w:p>
    <w:p w14:paraId="4634CC70" w14:textId="77777777" w:rsidR="00E17633" w:rsidRPr="00E3533D" w:rsidRDefault="00E17633" w:rsidP="00E3533D">
      <w:pPr>
        <w:spacing w:line="240" w:lineRule="auto"/>
        <w:jc w:val="both"/>
        <w:rPr>
          <w:rFonts w:cs="Arial"/>
          <w:szCs w:val="20"/>
        </w:rPr>
      </w:pPr>
      <w:r w:rsidRPr="00E3533D">
        <w:rPr>
          <w:rFonts w:cs="Arial"/>
          <w:szCs w:val="20"/>
        </w:rPr>
        <w:t>Vir: Ministrstvo za javno upravo</w:t>
      </w:r>
    </w:p>
    <w:p w14:paraId="7293CCFC" w14:textId="77777777" w:rsidR="00E17633" w:rsidRPr="00E3533D" w:rsidRDefault="00E17633" w:rsidP="00E3533D">
      <w:pPr>
        <w:spacing w:line="240" w:lineRule="auto"/>
        <w:jc w:val="both"/>
        <w:rPr>
          <w:rFonts w:cs="Arial"/>
          <w:szCs w:val="20"/>
        </w:rPr>
      </w:pPr>
    </w:p>
    <w:p w14:paraId="2B2BD9C2" w14:textId="77777777" w:rsidR="00E17633" w:rsidRPr="00E3533D" w:rsidRDefault="00E17633" w:rsidP="00E3533D">
      <w:pPr>
        <w:spacing w:line="240" w:lineRule="auto"/>
        <w:jc w:val="both"/>
        <w:rPr>
          <w:rFonts w:cs="Arial"/>
          <w:szCs w:val="20"/>
        </w:rPr>
      </w:pPr>
    </w:p>
    <w:p w14:paraId="4C4DA4D8" w14:textId="77777777" w:rsidR="00E17633" w:rsidRPr="00E3533D" w:rsidRDefault="00E17633" w:rsidP="00E3533D">
      <w:pPr>
        <w:spacing w:line="240" w:lineRule="auto"/>
        <w:jc w:val="both"/>
        <w:rPr>
          <w:rFonts w:cs="Arial"/>
          <w:b/>
          <w:bCs/>
          <w:szCs w:val="20"/>
        </w:rPr>
      </w:pPr>
      <w:r w:rsidRPr="00E3533D">
        <w:rPr>
          <w:rFonts w:cs="Arial"/>
          <w:b/>
          <w:bCs/>
          <w:szCs w:val="20"/>
        </w:rPr>
        <w:t xml:space="preserve">Vlada imenovala namestnike članov v Strokovnega sveta za sodno izvedenstvo, sodno </w:t>
      </w:r>
      <w:proofErr w:type="spellStart"/>
      <w:r w:rsidRPr="00E3533D">
        <w:rPr>
          <w:rFonts w:cs="Arial"/>
          <w:b/>
          <w:bCs/>
          <w:szCs w:val="20"/>
        </w:rPr>
        <w:t>cenilstvo</w:t>
      </w:r>
      <w:proofErr w:type="spellEnd"/>
      <w:r w:rsidRPr="00E3533D">
        <w:rPr>
          <w:rFonts w:cs="Arial"/>
          <w:b/>
          <w:bCs/>
          <w:szCs w:val="20"/>
        </w:rPr>
        <w:t xml:space="preserve"> in sodno tolmačenje</w:t>
      </w:r>
    </w:p>
    <w:p w14:paraId="59B9C33D" w14:textId="77777777" w:rsidR="00E17633" w:rsidRPr="00E3533D" w:rsidRDefault="00E17633" w:rsidP="00E3533D">
      <w:pPr>
        <w:spacing w:line="240" w:lineRule="auto"/>
        <w:jc w:val="both"/>
        <w:rPr>
          <w:rFonts w:cs="Arial"/>
          <w:b/>
          <w:bCs/>
          <w:szCs w:val="20"/>
        </w:rPr>
      </w:pPr>
    </w:p>
    <w:p w14:paraId="4683F405" w14:textId="77777777" w:rsidR="00E17633" w:rsidRPr="00E3533D" w:rsidRDefault="00E17633" w:rsidP="00E3533D">
      <w:pPr>
        <w:spacing w:line="240" w:lineRule="auto"/>
        <w:jc w:val="both"/>
        <w:rPr>
          <w:rFonts w:eastAsia="Calibri" w:cs="Arial"/>
          <w:szCs w:val="20"/>
        </w:rPr>
      </w:pPr>
      <w:r w:rsidRPr="00E3533D">
        <w:rPr>
          <w:rFonts w:eastAsia="Calibri" w:cs="Arial"/>
          <w:szCs w:val="20"/>
        </w:rPr>
        <w:t xml:space="preserve">Vlada je sprejela sklep, da se v Strokovnem svetu za sodno izvedenstvo, sodno </w:t>
      </w:r>
      <w:proofErr w:type="spellStart"/>
      <w:r w:rsidRPr="00E3533D">
        <w:rPr>
          <w:rFonts w:eastAsia="Calibri" w:cs="Arial"/>
          <w:szCs w:val="20"/>
        </w:rPr>
        <w:t>cenilstvo</w:t>
      </w:r>
      <w:proofErr w:type="spellEnd"/>
      <w:r w:rsidRPr="00E3533D">
        <w:rPr>
          <w:rFonts w:eastAsia="Calibri" w:cs="Arial"/>
          <w:szCs w:val="20"/>
        </w:rPr>
        <w:t xml:space="preserve"> in sodno tolmačenje:</w:t>
      </w:r>
    </w:p>
    <w:p w14:paraId="4F353D21" w14:textId="77777777" w:rsidR="00E17633" w:rsidRPr="00E3533D" w:rsidRDefault="00E17633" w:rsidP="002520AE">
      <w:pPr>
        <w:pStyle w:val="Odstavekseznama"/>
        <w:numPr>
          <w:ilvl w:val="0"/>
          <w:numId w:val="28"/>
        </w:numPr>
        <w:spacing w:line="240" w:lineRule="auto"/>
        <w:jc w:val="both"/>
        <w:rPr>
          <w:rFonts w:eastAsia="Calibri" w:cs="Arial"/>
          <w:szCs w:val="20"/>
        </w:rPr>
      </w:pPr>
      <w:r w:rsidRPr="00E3533D">
        <w:rPr>
          <w:rFonts w:eastAsia="Calibri" w:cs="Arial"/>
          <w:szCs w:val="20"/>
        </w:rPr>
        <w:t xml:space="preserve">z mesta namestnika člana za sklop strokovnega področja kulture razreši dr. Andrej Gaspari in namesto njega imenuje mag. Saša </w:t>
      </w:r>
      <w:proofErr w:type="spellStart"/>
      <w:r w:rsidRPr="00E3533D">
        <w:rPr>
          <w:rFonts w:eastAsia="Calibri" w:cs="Arial"/>
          <w:szCs w:val="20"/>
        </w:rPr>
        <w:t>Urukala</w:t>
      </w:r>
      <w:proofErr w:type="spellEnd"/>
      <w:r w:rsidRPr="00E3533D">
        <w:rPr>
          <w:rFonts w:eastAsia="Calibri" w:cs="Arial"/>
          <w:szCs w:val="20"/>
        </w:rPr>
        <w:t>, sodnega izvedenca in sodnega cenilca, imenovanega za strokovno področje oblikovanje;</w:t>
      </w:r>
    </w:p>
    <w:p w14:paraId="4877089C" w14:textId="77777777" w:rsidR="00E17633" w:rsidRPr="00E3533D" w:rsidRDefault="00E17633" w:rsidP="002520AE">
      <w:pPr>
        <w:pStyle w:val="Odstavekseznama"/>
        <w:numPr>
          <w:ilvl w:val="0"/>
          <w:numId w:val="28"/>
        </w:numPr>
        <w:spacing w:line="240" w:lineRule="auto"/>
        <w:jc w:val="both"/>
        <w:rPr>
          <w:rFonts w:eastAsia="Calibri" w:cs="Arial"/>
          <w:szCs w:val="20"/>
        </w:rPr>
      </w:pPr>
      <w:r w:rsidRPr="00E3533D">
        <w:rPr>
          <w:rFonts w:eastAsia="Calibri" w:cs="Arial"/>
          <w:szCs w:val="20"/>
        </w:rPr>
        <w:lastRenderedPageBreak/>
        <w:t>na mesto nekdanjega namestnika člana za sklop strokovnega področja kmetijstva in gozdarstva Tomaža Hrovata imenuje Andreja Avseneka, sodnega izvedenca, imenovanega za strokovni področji kmetijstvo in gozdarstvo.</w:t>
      </w:r>
    </w:p>
    <w:p w14:paraId="1992188C" w14:textId="77777777" w:rsidR="00E17633" w:rsidRPr="00E3533D" w:rsidRDefault="00E17633" w:rsidP="00E3533D">
      <w:pPr>
        <w:spacing w:line="240" w:lineRule="auto"/>
        <w:jc w:val="both"/>
        <w:rPr>
          <w:rFonts w:eastAsia="Calibri" w:cs="Arial"/>
          <w:szCs w:val="20"/>
        </w:rPr>
      </w:pPr>
    </w:p>
    <w:p w14:paraId="14C47E77" w14:textId="77777777" w:rsidR="00E17633" w:rsidRPr="00E3533D" w:rsidRDefault="00E17633" w:rsidP="00E3533D">
      <w:pPr>
        <w:spacing w:line="240" w:lineRule="auto"/>
        <w:jc w:val="both"/>
        <w:rPr>
          <w:rFonts w:eastAsia="Calibri" w:cs="Arial"/>
          <w:szCs w:val="20"/>
        </w:rPr>
      </w:pPr>
      <w:r w:rsidRPr="00E3533D">
        <w:rPr>
          <w:rFonts w:eastAsia="Calibri" w:cs="Arial"/>
          <w:szCs w:val="20"/>
        </w:rPr>
        <w:t xml:space="preserve">Vlada s sklepom z dne 4. 10. 2018 imenovala člane in namestnike članov v Strokovni svet za sodno izvedenstvo, sodno </w:t>
      </w:r>
      <w:proofErr w:type="spellStart"/>
      <w:r w:rsidRPr="00E3533D">
        <w:rPr>
          <w:rFonts w:eastAsia="Calibri" w:cs="Arial"/>
          <w:szCs w:val="20"/>
        </w:rPr>
        <w:t>cenilstvo</w:t>
      </w:r>
      <w:proofErr w:type="spellEnd"/>
      <w:r w:rsidRPr="00E3533D">
        <w:rPr>
          <w:rFonts w:eastAsia="Calibri" w:cs="Arial"/>
          <w:szCs w:val="20"/>
        </w:rPr>
        <w:t xml:space="preserve"> in sodno tolmačenje za obdobje šestih let.</w:t>
      </w:r>
    </w:p>
    <w:p w14:paraId="51345945" w14:textId="77777777" w:rsidR="00E17633" w:rsidRPr="00E3533D" w:rsidRDefault="00E17633" w:rsidP="00E3533D">
      <w:pPr>
        <w:spacing w:line="240" w:lineRule="auto"/>
        <w:jc w:val="both"/>
        <w:rPr>
          <w:rFonts w:eastAsia="Calibri" w:cs="Arial"/>
          <w:szCs w:val="20"/>
        </w:rPr>
      </w:pPr>
    </w:p>
    <w:p w14:paraId="60519530" w14:textId="77777777" w:rsidR="00E17633" w:rsidRPr="00E3533D" w:rsidRDefault="00E17633" w:rsidP="00E3533D">
      <w:pPr>
        <w:spacing w:line="240" w:lineRule="auto"/>
        <w:jc w:val="both"/>
        <w:rPr>
          <w:rFonts w:eastAsia="Calibri" w:cs="Arial"/>
          <w:szCs w:val="20"/>
        </w:rPr>
      </w:pPr>
      <w:r w:rsidRPr="00E3533D">
        <w:rPr>
          <w:rFonts w:eastAsia="Calibri" w:cs="Arial"/>
          <w:szCs w:val="20"/>
        </w:rPr>
        <w:t>Ker sta dva namestnika člana Strokovnega sveta podala odstopni izjavi pred iztekom dobe, za katero sta bila imenovana, sta upravičena predlagatelja za člana ter namestnika člana Strokovnega sveta podala svoje predloge za nova namestnika člana Strokovnega sveta. Ministrica za pravosodje je tako Vladi podala predlog za imenovanje namestnika člana Strokovnega sveta za sklop strokovnega področja kmetijstvo in gozdarstvo ter za prenehanje imenovanja trenutno imenovanega namestnika člana Strokovnega sveta za sklop strokovnega področja kultura in predlog za imenovanje novega namestnika člana Strokovnega sveta za sklop strokovnega področja kultura.</w:t>
      </w:r>
    </w:p>
    <w:p w14:paraId="34D54C92" w14:textId="77777777" w:rsidR="00E17633" w:rsidRPr="00E3533D" w:rsidRDefault="00E17633" w:rsidP="00E3533D">
      <w:pPr>
        <w:spacing w:line="240" w:lineRule="auto"/>
        <w:jc w:val="both"/>
        <w:rPr>
          <w:rFonts w:cs="Arial"/>
          <w:szCs w:val="20"/>
        </w:rPr>
      </w:pPr>
    </w:p>
    <w:p w14:paraId="75E759B9" w14:textId="77777777" w:rsidR="00E17633" w:rsidRPr="00E3533D" w:rsidRDefault="00E17633" w:rsidP="00E3533D">
      <w:pPr>
        <w:spacing w:line="240" w:lineRule="auto"/>
        <w:jc w:val="both"/>
        <w:rPr>
          <w:rFonts w:cs="Arial"/>
          <w:szCs w:val="20"/>
        </w:rPr>
      </w:pPr>
      <w:r w:rsidRPr="00E3533D">
        <w:rPr>
          <w:rFonts w:cs="Arial"/>
          <w:szCs w:val="20"/>
        </w:rPr>
        <w:t>Vir: Ministrstvo za pravosodje</w:t>
      </w:r>
    </w:p>
    <w:p w14:paraId="476A027F"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56A6BB69" w14:textId="77777777" w:rsidR="00E17633" w:rsidRPr="00E3533D" w:rsidRDefault="00E17633" w:rsidP="00E3533D">
      <w:pPr>
        <w:tabs>
          <w:tab w:val="left" w:pos="5468"/>
        </w:tabs>
        <w:spacing w:line="240" w:lineRule="auto"/>
        <w:jc w:val="both"/>
        <w:rPr>
          <w:rFonts w:cs="Arial"/>
          <w:b/>
          <w:szCs w:val="20"/>
        </w:rPr>
      </w:pPr>
    </w:p>
    <w:p w14:paraId="55708DC0" w14:textId="77777777" w:rsidR="00E17633" w:rsidRPr="00E3533D" w:rsidRDefault="00E17633" w:rsidP="00E3533D">
      <w:pPr>
        <w:tabs>
          <w:tab w:val="left" w:pos="5468"/>
        </w:tabs>
        <w:spacing w:line="240" w:lineRule="auto"/>
        <w:jc w:val="both"/>
        <w:rPr>
          <w:rFonts w:cs="Arial"/>
          <w:b/>
          <w:szCs w:val="20"/>
        </w:rPr>
      </w:pPr>
      <w:r w:rsidRPr="00E3533D">
        <w:rPr>
          <w:rFonts w:cs="Arial"/>
          <w:b/>
          <w:szCs w:val="20"/>
        </w:rPr>
        <w:t>Vlada imenovala nove člane Komisije za razlago Kolektivne pogodbe za policiste</w:t>
      </w:r>
    </w:p>
    <w:p w14:paraId="59FADA16" w14:textId="77777777" w:rsidR="00E17633" w:rsidRPr="00E3533D" w:rsidRDefault="00E17633" w:rsidP="00E3533D">
      <w:pPr>
        <w:tabs>
          <w:tab w:val="left" w:pos="5468"/>
        </w:tabs>
        <w:spacing w:line="240" w:lineRule="auto"/>
        <w:jc w:val="both"/>
        <w:rPr>
          <w:rFonts w:cs="Arial"/>
          <w:b/>
          <w:szCs w:val="20"/>
        </w:rPr>
      </w:pPr>
    </w:p>
    <w:p w14:paraId="078D67F2" w14:textId="77777777" w:rsidR="00E17633" w:rsidRPr="00E3533D" w:rsidRDefault="00E17633" w:rsidP="00E3533D">
      <w:pPr>
        <w:pStyle w:val="Neotevilenodstavek"/>
        <w:spacing w:before="0" w:after="0" w:line="240" w:lineRule="auto"/>
        <w:rPr>
          <w:color w:val="000000"/>
          <w:sz w:val="20"/>
          <w:szCs w:val="20"/>
        </w:rPr>
      </w:pPr>
      <w:r w:rsidRPr="00E3533D">
        <w:rPr>
          <w:color w:val="000000"/>
          <w:sz w:val="20"/>
          <w:szCs w:val="20"/>
        </w:rPr>
        <w:t>Vlada je sprejela sklep o razrešitvi dosedanjih in imenovanju novih članov in njihovih namestnikov v Komisijo za razlago Kolektivne pogodbe za policiste.</w:t>
      </w:r>
    </w:p>
    <w:p w14:paraId="56D95C3F" w14:textId="77777777" w:rsidR="00E17633" w:rsidRPr="00E3533D" w:rsidRDefault="00E17633" w:rsidP="00E3533D">
      <w:pPr>
        <w:pStyle w:val="Neotevilenodstavek"/>
        <w:spacing w:before="0" w:after="0" w:line="240" w:lineRule="auto"/>
        <w:rPr>
          <w:color w:val="000000"/>
          <w:sz w:val="20"/>
          <w:szCs w:val="20"/>
        </w:rPr>
      </w:pPr>
    </w:p>
    <w:p w14:paraId="6BB4B29A" w14:textId="77777777" w:rsidR="00E17633" w:rsidRPr="00E3533D" w:rsidRDefault="00E17633" w:rsidP="00E3533D">
      <w:pPr>
        <w:spacing w:line="240" w:lineRule="auto"/>
        <w:jc w:val="both"/>
        <w:rPr>
          <w:rFonts w:cs="Arial"/>
          <w:szCs w:val="20"/>
          <w:lang w:eastAsia="sl-SI"/>
        </w:rPr>
      </w:pPr>
      <w:r w:rsidRPr="00E3533D">
        <w:rPr>
          <w:rFonts w:cs="Arial"/>
          <w:szCs w:val="20"/>
          <w:lang w:eastAsia="sl-SI"/>
        </w:rPr>
        <w:t xml:space="preserve">Novi člani so: </w:t>
      </w:r>
    </w:p>
    <w:p w14:paraId="0E34B65C" w14:textId="77777777" w:rsidR="00E17633" w:rsidRPr="00E3533D" w:rsidRDefault="00E17633" w:rsidP="002520AE">
      <w:pPr>
        <w:pStyle w:val="Odstavekseznama"/>
        <w:numPr>
          <w:ilvl w:val="0"/>
          <w:numId w:val="29"/>
        </w:numPr>
        <w:spacing w:line="240" w:lineRule="auto"/>
        <w:jc w:val="both"/>
        <w:rPr>
          <w:rFonts w:cs="Arial"/>
          <w:szCs w:val="20"/>
        </w:rPr>
      </w:pPr>
      <w:r w:rsidRPr="00E3533D">
        <w:rPr>
          <w:rFonts w:cs="Arial"/>
          <w:szCs w:val="20"/>
        </w:rPr>
        <w:t>Tina Heferle, državna sekretarka, Ministrstvo za notranje zadeve, članica;</w:t>
      </w:r>
    </w:p>
    <w:p w14:paraId="17449701" w14:textId="77777777" w:rsidR="00E17633" w:rsidRPr="00E3533D" w:rsidRDefault="00E17633" w:rsidP="002520AE">
      <w:pPr>
        <w:pStyle w:val="Odstavekseznama"/>
        <w:numPr>
          <w:ilvl w:val="0"/>
          <w:numId w:val="29"/>
        </w:numPr>
        <w:spacing w:line="240" w:lineRule="auto"/>
        <w:jc w:val="both"/>
        <w:rPr>
          <w:rFonts w:cs="Arial"/>
          <w:szCs w:val="20"/>
        </w:rPr>
      </w:pPr>
      <w:r w:rsidRPr="00E3533D">
        <w:rPr>
          <w:rFonts w:cs="Arial"/>
          <w:szCs w:val="20"/>
        </w:rPr>
        <w:t xml:space="preserve">Marko </w:t>
      </w:r>
      <w:proofErr w:type="spellStart"/>
      <w:r w:rsidRPr="00E3533D">
        <w:rPr>
          <w:rFonts w:cs="Arial"/>
          <w:szCs w:val="20"/>
        </w:rPr>
        <w:t>Rešetič</w:t>
      </w:r>
      <w:proofErr w:type="spellEnd"/>
      <w:r w:rsidRPr="00E3533D">
        <w:rPr>
          <w:rFonts w:cs="Arial"/>
          <w:szCs w:val="20"/>
        </w:rPr>
        <w:t>, namestnik generalnega sekretarja, Ministrstvo za notranje zadeve, namestnik članice Tine Heferle;</w:t>
      </w:r>
    </w:p>
    <w:p w14:paraId="3D61C1F4" w14:textId="77777777" w:rsidR="00E17633" w:rsidRPr="00E3533D" w:rsidRDefault="00E17633" w:rsidP="002520AE">
      <w:pPr>
        <w:pStyle w:val="Odstavekseznama"/>
        <w:numPr>
          <w:ilvl w:val="0"/>
          <w:numId w:val="29"/>
        </w:numPr>
        <w:spacing w:line="240" w:lineRule="auto"/>
        <w:jc w:val="both"/>
        <w:rPr>
          <w:rFonts w:cs="Arial"/>
          <w:szCs w:val="20"/>
        </w:rPr>
      </w:pPr>
      <w:r w:rsidRPr="00E3533D">
        <w:rPr>
          <w:rFonts w:cs="Arial"/>
          <w:szCs w:val="20"/>
        </w:rPr>
        <w:t>Robert Kos, direktor Urada za organizacijo in kadre, Sekretariat, Ministrstvo za notranje zadeve, namestnik članice Tine Heferle;</w:t>
      </w:r>
    </w:p>
    <w:p w14:paraId="6A5A7725" w14:textId="77777777" w:rsidR="00E17633" w:rsidRPr="00E3533D" w:rsidRDefault="00E17633" w:rsidP="002520AE">
      <w:pPr>
        <w:pStyle w:val="Odstavekseznama"/>
        <w:numPr>
          <w:ilvl w:val="0"/>
          <w:numId w:val="29"/>
        </w:numPr>
        <w:spacing w:line="240" w:lineRule="auto"/>
        <w:jc w:val="both"/>
        <w:rPr>
          <w:rFonts w:cs="Arial"/>
          <w:szCs w:val="20"/>
        </w:rPr>
      </w:pPr>
      <w:r w:rsidRPr="00E3533D">
        <w:rPr>
          <w:rFonts w:cs="Arial"/>
          <w:szCs w:val="20"/>
        </w:rPr>
        <w:t>mag. Anita Kodre, policijska svetnica, Služba generalnega direktorja policije, Sektor za razvoj in sistemske naloge, članica,</w:t>
      </w:r>
    </w:p>
    <w:p w14:paraId="2B99A78D" w14:textId="77777777" w:rsidR="00E17633" w:rsidRPr="00E3533D" w:rsidRDefault="00E17633" w:rsidP="002520AE">
      <w:pPr>
        <w:pStyle w:val="Odstavekseznama"/>
        <w:numPr>
          <w:ilvl w:val="0"/>
          <w:numId w:val="29"/>
        </w:numPr>
        <w:spacing w:line="240" w:lineRule="auto"/>
        <w:jc w:val="both"/>
        <w:rPr>
          <w:rFonts w:cs="Arial"/>
          <w:szCs w:val="20"/>
        </w:rPr>
      </w:pPr>
      <w:r w:rsidRPr="00E3533D">
        <w:rPr>
          <w:rFonts w:cs="Arial"/>
          <w:szCs w:val="20"/>
        </w:rPr>
        <w:t>mag. Mitja Perko, policijski svetnik, Služba generalnega direktorja policije, namestnik članice mag. Anite Kodre.</w:t>
      </w:r>
    </w:p>
    <w:p w14:paraId="40BD8F49" w14:textId="77777777" w:rsidR="00E17633" w:rsidRPr="00E3533D" w:rsidRDefault="00E17633" w:rsidP="00E3533D">
      <w:pPr>
        <w:pStyle w:val="Odstavekseznama"/>
        <w:spacing w:line="240" w:lineRule="auto"/>
        <w:jc w:val="both"/>
        <w:rPr>
          <w:rFonts w:cs="Arial"/>
          <w:szCs w:val="20"/>
        </w:rPr>
      </w:pPr>
    </w:p>
    <w:p w14:paraId="432EACCD" w14:textId="77777777" w:rsidR="00E17633" w:rsidRPr="00E3533D" w:rsidRDefault="00E17633" w:rsidP="00E3533D">
      <w:pPr>
        <w:spacing w:line="240" w:lineRule="auto"/>
        <w:jc w:val="both"/>
        <w:rPr>
          <w:rFonts w:cs="Arial"/>
          <w:color w:val="000000"/>
          <w:szCs w:val="20"/>
          <w:lang w:eastAsia="sl-SI"/>
        </w:rPr>
      </w:pPr>
      <w:r w:rsidRPr="00E3533D">
        <w:rPr>
          <w:rFonts w:cs="Arial"/>
          <w:color w:val="000000"/>
          <w:szCs w:val="20"/>
          <w:lang w:eastAsia="sl-SI"/>
        </w:rPr>
        <w:t>Kolektivna pogodba za policiste v prvem odstavku 13. člena določa, da pogodbeni strani sporazumno imenujeta petčlansko komisijo za razlago kolektivne pogodbe. Pri tem vsaka stran imenuje po dva člana komisije, s soglasjem pa pogodbeni strani imenujeta predsednika komisije.</w:t>
      </w:r>
    </w:p>
    <w:p w14:paraId="70A800AC" w14:textId="77777777" w:rsidR="00E17633" w:rsidRPr="00E3533D" w:rsidRDefault="00E17633" w:rsidP="00E3533D">
      <w:pPr>
        <w:spacing w:line="240" w:lineRule="auto"/>
        <w:jc w:val="both"/>
        <w:rPr>
          <w:rFonts w:cs="Arial"/>
          <w:szCs w:val="20"/>
        </w:rPr>
      </w:pPr>
    </w:p>
    <w:p w14:paraId="782EBC45" w14:textId="77777777" w:rsidR="00E17633" w:rsidRPr="00E3533D" w:rsidRDefault="00E17633" w:rsidP="00E3533D">
      <w:pPr>
        <w:spacing w:line="240" w:lineRule="auto"/>
        <w:jc w:val="both"/>
        <w:rPr>
          <w:rFonts w:cs="Arial"/>
          <w:szCs w:val="20"/>
        </w:rPr>
      </w:pPr>
      <w:r w:rsidRPr="00E3533D">
        <w:rPr>
          <w:rFonts w:cs="Arial"/>
          <w:szCs w:val="20"/>
        </w:rPr>
        <w:t>Vir: Ministrstvo za notranje zadeve</w:t>
      </w:r>
    </w:p>
    <w:p w14:paraId="33F99196"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0852FE56" w14:textId="77777777" w:rsidR="00E17633" w:rsidRPr="00E3533D" w:rsidRDefault="00E17633" w:rsidP="00E3533D">
      <w:pPr>
        <w:tabs>
          <w:tab w:val="left" w:pos="-1276"/>
        </w:tabs>
        <w:spacing w:line="240" w:lineRule="auto"/>
        <w:jc w:val="both"/>
        <w:rPr>
          <w:rFonts w:cs="Arial"/>
          <w:szCs w:val="20"/>
        </w:rPr>
      </w:pPr>
    </w:p>
    <w:p w14:paraId="72F3F0B9" w14:textId="77777777" w:rsidR="00E17633" w:rsidRPr="00E3533D" w:rsidRDefault="00E17633" w:rsidP="00E3533D">
      <w:pPr>
        <w:tabs>
          <w:tab w:val="left" w:pos="-1276"/>
        </w:tabs>
        <w:spacing w:line="240" w:lineRule="auto"/>
        <w:jc w:val="both"/>
        <w:rPr>
          <w:rFonts w:eastAsia="Calibri" w:cs="Arial"/>
          <w:b/>
          <w:iCs/>
          <w:szCs w:val="20"/>
          <w:lang w:eastAsia="sl-SI"/>
        </w:rPr>
      </w:pPr>
      <w:r w:rsidRPr="00E3533D">
        <w:rPr>
          <w:rFonts w:eastAsia="Calibri" w:cs="Arial"/>
          <w:b/>
          <w:iCs/>
          <w:szCs w:val="20"/>
          <w:lang w:eastAsia="sl-SI"/>
        </w:rPr>
        <w:t xml:space="preserve">Imenovanje novega člana v Evropski komisiji proti rasizmu in nestrpnosti Sveta Evrope iz Republike Slovenije </w:t>
      </w:r>
    </w:p>
    <w:p w14:paraId="1366CDFD" w14:textId="77777777" w:rsidR="00E17633" w:rsidRPr="00E3533D" w:rsidRDefault="00E17633" w:rsidP="00E3533D">
      <w:pPr>
        <w:tabs>
          <w:tab w:val="left" w:pos="-1276"/>
        </w:tabs>
        <w:spacing w:line="240" w:lineRule="auto"/>
        <w:jc w:val="both"/>
        <w:rPr>
          <w:rFonts w:eastAsia="Calibri" w:cs="Arial"/>
          <w:b/>
          <w:iCs/>
          <w:szCs w:val="20"/>
          <w:lang w:eastAsia="sl-SI"/>
        </w:rPr>
      </w:pPr>
    </w:p>
    <w:p w14:paraId="69F92239"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Vlada je dr. Nežo Kogovšek Šalamon imenovala za novo članico Republike Slovenije v Evropski komisiji proti rasizmu in nestrpnosti Sveta Evrope (</w:t>
      </w:r>
      <w:proofErr w:type="spellStart"/>
      <w:r w:rsidRPr="00E3533D">
        <w:rPr>
          <w:rFonts w:eastAsia="Calibri" w:cs="Arial"/>
          <w:szCs w:val="20"/>
        </w:rPr>
        <w:t>European</w:t>
      </w:r>
      <w:proofErr w:type="spellEnd"/>
      <w:r w:rsidRPr="00E3533D">
        <w:rPr>
          <w:rFonts w:eastAsia="Calibri" w:cs="Arial"/>
          <w:szCs w:val="20"/>
        </w:rPr>
        <w:t xml:space="preserve"> </w:t>
      </w:r>
      <w:proofErr w:type="spellStart"/>
      <w:r w:rsidRPr="00E3533D">
        <w:rPr>
          <w:rFonts w:eastAsia="Calibri" w:cs="Arial"/>
          <w:szCs w:val="20"/>
        </w:rPr>
        <w:t>Commission</w:t>
      </w:r>
      <w:proofErr w:type="spellEnd"/>
      <w:r w:rsidRPr="00E3533D">
        <w:rPr>
          <w:rFonts w:eastAsia="Calibri" w:cs="Arial"/>
          <w:szCs w:val="20"/>
        </w:rPr>
        <w:t xml:space="preserve"> </w:t>
      </w:r>
      <w:proofErr w:type="spellStart"/>
      <w:r w:rsidRPr="00E3533D">
        <w:rPr>
          <w:rFonts w:eastAsia="Calibri" w:cs="Arial"/>
          <w:szCs w:val="20"/>
        </w:rPr>
        <w:t>against</w:t>
      </w:r>
      <w:proofErr w:type="spellEnd"/>
      <w:r w:rsidRPr="00E3533D">
        <w:rPr>
          <w:rFonts w:eastAsia="Calibri" w:cs="Arial"/>
          <w:szCs w:val="20"/>
        </w:rPr>
        <w:t xml:space="preserve"> </w:t>
      </w:r>
      <w:proofErr w:type="spellStart"/>
      <w:r w:rsidRPr="00E3533D">
        <w:rPr>
          <w:rFonts w:eastAsia="Calibri" w:cs="Arial"/>
          <w:szCs w:val="20"/>
        </w:rPr>
        <w:t>Racism</w:t>
      </w:r>
      <w:proofErr w:type="spellEnd"/>
      <w:r w:rsidRPr="00E3533D">
        <w:rPr>
          <w:rFonts w:eastAsia="Calibri" w:cs="Arial"/>
          <w:szCs w:val="20"/>
        </w:rPr>
        <w:t xml:space="preserve"> </w:t>
      </w:r>
      <w:proofErr w:type="spellStart"/>
      <w:r w:rsidRPr="00E3533D">
        <w:rPr>
          <w:rFonts w:eastAsia="Calibri" w:cs="Arial"/>
          <w:szCs w:val="20"/>
        </w:rPr>
        <w:t>and</w:t>
      </w:r>
      <w:proofErr w:type="spellEnd"/>
      <w:r w:rsidRPr="00E3533D">
        <w:rPr>
          <w:rFonts w:eastAsia="Calibri" w:cs="Arial"/>
          <w:szCs w:val="20"/>
        </w:rPr>
        <w:t xml:space="preserve"> Intolerance </w:t>
      </w:r>
      <w:proofErr w:type="spellStart"/>
      <w:r w:rsidRPr="00E3533D">
        <w:rPr>
          <w:rFonts w:eastAsia="Calibri" w:cs="Arial"/>
          <w:szCs w:val="20"/>
        </w:rPr>
        <w:t>of</w:t>
      </w:r>
      <w:proofErr w:type="spellEnd"/>
      <w:r w:rsidRPr="00E3533D">
        <w:rPr>
          <w:rFonts w:eastAsia="Calibri" w:cs="Arial"/>
          <w:szCs w:val="20"/>
        </w:rPr>
        <w:t xml:space="preserve"> </w:t>
      </w:r>
      <w:proofErr w:type="spellStart"/>
      <w:r w:rsidRPr="00E3533D">
        <w:rPr>
          <w:rFonts w:eastAsia="Calibri" w:cs="Arial"/>
          <w:szCs w:val="20"/>
        </w:rPr>
        <w:t>the</w:t>
      </w:r>
      <w:proofErr w:type="spellEnd"/>
      <w:r w:rsidRPr="00E3533D">
        <w:rPr>
          <w:rFonts w:eastAsia="Calibri" w:cs="Arial"/>
          <w:szCs w:val="20"/>
        </w:rPr>
        <w:t xml:space="preserve"> </w:t>
      </w:r>
      <w:proofErr w:type="spellStart"/>
      <w:r w:rsidRPr="00E3533D">
        <w:rPr>
          <w:rFonts w:eastAsia="Calibri" w:cs="Arial"/>
          <w:szCs w:val="20"/>
        </w:rPr>
        <w:t>Council</w:t>
      </w:r>
      <w:proofErr w:type="spellEnd"/>
      <w:r w:rsidRPr="00E3533D">
        <w:rPr>
          <w:rFonts w:eastAsia="Calibri" w:cs="Arial"/>
          <w:szCs w:val="20"/>
        </w:rPr>
        <w:t xml:space="preserve"> </w:t>
      </w:r>
      <w:proofErr w:type="spellStart"/>
      <w:r w:rsidRPr="00E3533D">
        <w:rPr>
          <w:rFonts w:eastAsia="Calibri" w:cs="Arial"/>
          <w:szCs w:val="20"/>
        </w:rPr>
        <w:t>of</w:t>
      </w:r>
      <w:proofErr w:type="spellEnd"/>
      <w:r w:rsidRPr="00E3533D">
        <w:rPr>
          <w:rFonts w:eastAsia="Calibri" w:cs="Arial"/>
          <w:szCs w:val="20"/>
        </w:rPr>
        <w:t xml:space="preserve"> </w:t>
      </w:r>
      <w:proofErr w:type="spellStart"/>
      <w:r w:rsidRPr="00E3533D">
        <w:rPr>
          <w:rFonts w:eastAsia="Calibri" w:cs="Arial"/>
          <w:szCs w:val="20"/>
        </w:rPr>
        <w:t>Europe</w:t>
      </w:r>
      <w:proofErr w:type="spellEnd"/>
      <w:r w:rsidRPr="00E3533D">
        <w:rPr>
          <w:rFonts w:eastAsia="Calibri" w:cs="Arial"/>
          <w:szCs w:val="20"/>
        </w:rPr>
        <w:t xml:space="preserve"> - ECRI). Njen mandat bo trajal pet let.</w:t>
      </w:r>
    </w:p>
    <w:p w14:paraId="15A2D135" w14:textId="77777777" w:rsidR="00E17633" w:rsidRPr="00E3533D" w:rsidRDefault="00E17633" w:rsidP="00E3533D">
      <w:pPr>
        <w:tabs>
          <w:tab w:val="left" w:pos="-1276"/>
        </w:tabs>
        <w:spacing w:line="240" w:lineRule="auto"/>
        <w:jc w:val="both"/>
        <w:rPr>
          <w:rFonts w:eastAsia="Calibri" w:cs="Arial"/>
          <w:szCs w:val="20"/>
        </w:rPr>
      </w:pPr>
    </w:p>
    <w:p w14:paraId="22409255" w14:textId="77777777" w:rsidR="00E17633" w:rsidRPr="00E3533D" w:rsidRDefault="00E17633" w:rsidP="00E3533D">
      <w:pPr>
        <w:tabs>
          <w:tab w:val="left" w:pos="-1276"/>
        </w:tabs>
        <w:spacing w:line="240" w:lineRule="auto"/>
        <w:jc w:val="both"/>
        <w:rPr>
          <w:rFonts w:cs="Arial"/>
          <w:szCs w:val="20"/>
        </w:rPr>
      </w:pPr>
      <w:r w:rsidRPr="00E3533D">
        <w:rPr>
          <w:rFonts w:eastAsia="Calibri" w:cs="Arial"/>
          <w:szCs w:val="20"/>
        </w:rPr>
        <w:t>Vir: Ministrstvo za zunanje zadeve</w:t>
      </w:r>
    </w:p>
    <w:p w14:paraId="223A8393" w14:textId="77777777" w:rsidR="00E17633" w:rsidRPr="00E3533D" w:rsidRDefault="00E17633" w:rsidP="00E3533D">
      <w:pPr>
        <w:spacing w:line="240" w:lineRule="auto"/>
        <w:jc w:val="both"/>
        <w:rPr>
          <w:rFonts w:cs="Arial"/>
          <w:szCs w:val="20"/>
        </w:rPr>
      </w:pPr>
    </w:p>
    <w:p w14:paraId="39D656D3" w14:textId="77777777" w:rsidR="00E17633" w:rsidRPr="00E3533D" w:rsidRDefault="00E17633" w:rsidP="00E3533D">
      <w:pPr>
        <w:spacing w:line="240" w:lineRule="auto"/>
        <w:jc w:val="both"/>
        <w:rPr>
          <w:rFonts w:cs="Arial"/>
          <w:szCs w:val="20"/>
        </w:rPr>
      </w:pPr>
      <w:r w:rsidRPr="00E3533D">
        <w:rPr>
          <w:rFonts w:cs="Arial"/>
          <w:szCs w:val="20"/>
        </w:rPr>
        <w:t xml:space="preserve"> </w:t>
      </w:r>
    </w:p>
    <w:p w14:paraId="0D59149E" w14:textId="77777777" w:rsidR="00E17633" w:rsidRPr="00E3533D" w:rsidRDefault="00E17633" w:rsidP="00E3533D">
      <w:pPr>
        <w:tabs>
          <w:tab w:val="left" w:pos="-1276"/>
        </w:tabs>
        <w:spacing w:line="240" w:lineRule="auto"/>
        <w:jc w:val="both"/>
        <w:rPr>
          <w:rFonts w:eastAsia="Calibri" w:cs="Arial"/>
          <w:b/>
          <w:iCs/>
          <w:szCs w:val="20"/>
          <w:lang w:eastAsia="sl-SI"/>
        </w:rPr>
      </w:pPr>
      <w:r w:rsidRPr="00E3533D">
        <w:rPr>
          <w:rFonts w:eastAsia="Calibri" w:cs="Arial"/>
          <w:b/>
          <w:iCs/>
          <w:szCs w:val="20"/>
          <w:lang w:eastAsia="sl-SI"/>
        </w:rPr>
        <w:t xml:space="preserve">Uvrstitev območij, na katerih javnim uslužbencem, ki opravljajo delo v tujini, pripada dodatek za posebne življenjske razmere v tujini </w:t>
      </w:r>
    </w:p>
    <w:p w14:paraId="2D78A806" w14:textId="77777777" w:rsidR="00E17633" w:rsidRPr="00E3533D" w:rsidRDefault="00E17633" w:rsidP="00E3533D">
      <w:pPr>
        <w:tabs>
          <w:tab w:val="left" w:pos="-1276"/>
        </w:tabs>
        <w:spacing w:line="240" w:lineRule="auto"/>
        <w:jc w:val="both"/>
        <w:rPr>
          <w:rFonts w:eastAsia="Calibri" w:cs="Arial"/>
          <w:b/>
          <w:iCs/>
          <w:szCs w:val="20"/>
          <w:lang w:eastAsia="sl-SI"/>
        </w:rPr>
      </w:pPr>
    </w:p>
    <w:p w14:paraId="08D2B19E"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Vlada je sprejela sklep o uvrstitvi območij, na katerih javnim uslužbencem, ki opravljajo delo v tujini, pripada dodatek za posebne življenjske razmere v tujini.</w:t>
      </w:r>
    </w:p>
    <w:p w14:paraId="15F4C029" w14:textId="77777777" w:rsidR="00E17633" w:rsidRPr="00E3533D" w:rsidRDefault="00E17633" w:rsidP="00E3533D">
      <w:pPr>
        <w:tabs>
          <w:tab w:val="left" w:pos="-1276"/>
        </w:tabs>
        <w:spacing w:line="240" w:lineRule="auto"/>
        <w:jc w:val="both"/>
        <w:rPr>
          <w:rFonts w:eastAsia="Calibri" w:cs="Arial"/>
          <w:szCs w:val="20"/>
        </w:rPr>
      </w:pPr>
    </w:p>
    <w:p w14:paraId="697C9C7D"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 xml:space="preserve">16. člen Uredbe o plačah in drugih prejemkih javnih uslužbencev za delo v tujini določa, da javnim uslužbencem v tujini, ki opravljajo naloge na območjih, na katerih so življenjske razmere posebno </w:t>
      </w:r>
      <w:r w:rsidRPr="00E3533D">
        <w:rPr>
          <w:rFonts w:eastAsia="Calibri" w:cs="Arial"/>
          <w:szCs w:val="20"/>
        </w:rPr>
        <w:lastRenderedPageBreak/>
        <w:t>težke, pripada dodatek za posebne življenjske razmere v tujini glede na območje v katerem opravljajo naloge. Območja, razdeljena v tri skupine, s sklepom najmanj enkrat letno določi vlada na predlog Ministrstva za zunanje zadeve.</w:t>
      </w:r>
    </w:p>
    <w:p w14:paraId="6C8C5F11" w14:textId="77777777" w:rsidR="00E17633" w:rsidRPr="00E3533D" w:rsidRDefault="00E17633" w:rsidP="00E3533D">
      <w:pPr>
        <w:tabs>
          <w:tab w:val="left" w:pos="-1276"/>
        </w:tabs>
        <w:spacing w:line="240" w:lineRule="auto"/>
        <w:jc w:val="both"/>
        <w:rPr>
          <w:rFonts w:eastAsia="Calibri" w:cs="Arial"/>
          <w:szCs w:val="20"/>
        </w:rPr>
      </w:pPr>
    </w:p>
    <w:p w14:paraId="60281273" w14:textId="77777777" w:rsidR="00E17633" w:rsidRPr="00E3533D" w:rsidRDefault="00E17633" w:rsidP="00E3533D">
      <w:pPr>
        <w:tabs>
          <w:tab w:val="left" w:pos="-1276"/>
        </w:tabs>
        <w:spacing w:line="240" w:lineRule="auto"/>
        <w:jc w:val="both"/>
        <w:rPr>
          <w:rFonts w:eastAsia="Calibri" w:cs="Arial"/>
          <w:szCs w:val="20"/>
        </w:rPr>
      </w:pPr>
      <w:r w:rsidRPr="00E3533D">
        <w:rPr>
          <w:rFonts w:eastAsia="Calibri" w:cs="Arial"/>
          <w:szCs w:val="20"/>
        </w:rPr>
        <w:t xml:space="preserve">Pri določanju dodatka se upoštevajo merila, kot so neobičajne podnebne razmere, ki bistveno odstopajo od običajnih podnebnih razmer v Republiki Sloveniji, slabe higienske razmere, huda onesnaženost, izpostavljenost kužnim nalezljivim boleznim in epidemijam, obstoj zdravju škodljivih in strupenih snovi ter radioloških, bioloških in kemičnih snovi ter druge vrste posebno težkih življenjskih razmer v določenem kraju. </w:t>
      </w:r>
    </w:p>
    <w:p w14:paraId="7C58A89B" w14:textId="77777777" w:rsidR="00E17633" w:rsidRPr="00E3533D" w:rsidRDefault="00E17633" w:rsidP="00E3533D">
      <w:pPr>
        <w:tabs>
          <w:tab w:val="left" w:pos="-1276"/>
        </w:tabs>
        <w:spacing w:line="240" w:lineRule="auto"/>
        <w:jc w:val="both"/>
        <w:rPr>
          <w:rFonts w:eastAsia="Calibri" w:cs="Arial"/>
          <w:szCs w:val="20"/>
        </w:rPr>
      </w:pPr>
    </w:p>
    <w:p w14:paraId="7049328C" w14:textId="77777777" w:rsidR="00E17633" w:rsidRPr="00E3533D" w:rsidRDefault="00E17633" w:rsidP="00E3533D">
      <w:pPr>
        <w:tabs>
          <w:tab w:val="left" w:pos="-1276"/>
        </w:tabs>
        <w:spacing w:line="240" w:lineRule="auto"/>
        <w:jc w:val="both"/>
        <w:rPr>
          <w:rFonts w:cs="Arial"/>
          <w:szCs w:val="20"/>
        </w:rPr>
      </w:pPr>
      <w:r w:rsidRPr="00E3533D">
        <w:rPr>
          <w:rFonts w:eastAsia="Calibri" w:cs="Arial"/>
          <w:szCs w:val="20"/>
        </w:rPr>
        <w:t>Vir: Ministrstvo za zunanje zadeve</w:t>
      </w:r>
    </w:p>
    <w:p w14:paraId="432528F5" w14:textId="77777777" w:rsidR="00E17633" w:rsidRPr="00E3533D" w:rsidRDefault="00E17633" w:rsidP="00E3533D">
      <w:pPr>
        <w:spacing w:line="240" w:lineRule="auto"/>
        <w:jc w:val="both"/>
        <w:rPr>
          <w:rFonts w:cs="Arial"/>
          <w:szCs w:val="20"/>
        </w:rPr>
      </w:pPr>
    </w:p>
    <w:p w14:paraId="10D2295A" w14:textId="3983FB50" w:rsidR="00E17633" w:rsidRPr="00E3533D" w:rsidRDefault="00E17633" w:rsidP="00E3533D">
      <w:pPr>
        <w:spacing w:line="240" w:lineRule="auto"/>
        <w:jc w:val="both"/>
        <w:rPr>
          <w:rFonts w:cs="Arial"/>
          <w:szCs w:val="20"/>
        </w:rPr>
      </w:pPr>
      <w:r w:rsidRPr="00E3533D">
        <w:rPr>
          <w:rFonts w:cs="Arial"/>
          <w:szCs w:val="20"/>
        </w:rPr>
        <w:tab/>
      </w:r>
    </w:p>
    <w:p w14:paraId="69891026" w14:textId="77777777" w:rsidR="00E17633" w:rsidRPr="00E3533D" w:rsidRDefault="00E17633" w:rsidP="00E3533D">
      <w:pPr>
        <w:overflowPunct w:val="0"/>
        <w:autoSpaceDE w:val="0"/>
        <w:autoSpaceDN w:val="0"/>
        <w:adjustRightInd w:val="0"/>
        <w:spacing w:line="240" w:lineRule="auto"/>
        <w:jc w:val="both"/>
        <w:textAlignment w:val="baseline"/>
        <w:rPr>
          <w:rFonts w:cs="Arial"/>
          <w:b/>
          <w:szCs w:val="20"/>
          <w:lang w:eastAsia="sl-SI"/>
        </w:rPr>
      </w:pPr>
      <w:r w:rsidRPr="00E3533D">
        <w:rPr>
          <w:rFonts w:cs="Arial"/>
          <w:b/>
          <w:szCs w:val="20"/>
          <w:lang w:eastAsia="sl-SI"/>
        </w:rPr>
        <w:t xml:space="preserve">Vlada imenovala Aleša </w:t>
      </w:r>
      <w:proofErr w:type="spellStart"/>
      <w:r w:rsidRPr="00E3533D">
        <w:rPr>
          <w:rFonts w:cs="Arial"/>
          <w:b/>
          <w:szCs w:val="20"/>
          <w:lang w:eastAsia="sl-SI"/>
        </w:rPr>
        <w:t>Šabedra</w:t>
      </w:r>
      <w:proofErr w:type="spellEnd"/>
      <w:r w:rsidRPr="00E3533D">
        <w:rPr>
          <w:rFonts w:cs="Arial"/>
          <w:b/>
          <w:szCs w:val="20"/>
          <w:lang w:eastAsia="sl-SI"/>
        </w:rPr>
        <w:t xml:space="preserve"> za vršilca dolžnosti direktorja Urada Republike Slovenije za nadzor, kakovost in investicije v zdravstvu</w:t>
      </w:r>
    </w:p>
    <w:p w14:paraId="4A3D7352" w14:textId="77777777" w:rsidR="00E17633" w:rsidRPr="00E3533D" w:rsidRDefault="00E17633" w:rsidP="00E3533D">
      <w:pPr>
        <w:overflowPunct w:val="0"/>
        <w:autoSpaceDE w:val="0"/>
        <w:autoSpaceDN w:val="0"/>
        <w:adjustRightInd w:val="0"/>
        <w:spacing w:line="240" w:lineRule="auto"/>
        <w:jc w:val="both"/>
        <w:textAlignment w:val="baseline"/>
        <w:rPr>
          <w:rFonts w:cs="Arial"/>
          <w:b/>
          <w:szCs w:val="20"/>
          <w:lang w:eastAsia="sl-SI"/>
        </w:rPr>
      </w:pPr>
    </w:p>
    <w:p w14:paraId="327DF1BF" w14:textId="77777777" w:rsidR="00E17633" w:rsidRPr="00E3533D" w:rsidRDefault="00E17633" w:rsidP="00E3533D">
      <w:pPr>
        <w:overflowPunct w:val="0"/>
        <w:autoSpaceDE w:val="0"/>
        <w:autoSpaceDN w:val="0"/>
        <w:adjustRightInd w:val="0"/>
        <w:spacing w:line="240" w:lineRule="auto"/>
        <w:jc w:val="both"/>
        <w:textAlignment w:val="baseline"/>
        <w:rPr>
          <w:rFonts w:cs="Arial"/>
          <w:bCs/>
          <w:szCs w:val="20"/>
          <w:lang w:eastAsia="sl-SI"/>
        </w:rPr>
      </w:pPr>
      <w:r w:rsidRPr="00E3533D">
        <w:rPr>
          <w:rFonts w:cs="Arial"/>
          <w:bCs/>
          <w:szCs w:val="20"/>
          <w:lang w:eastAsia="sl-SI"/>
        </w:rPr>
        <w:t xml:space="preserve">Vlada je izdala odločbo, da se Aleša </w:t>
      </w:r>
      <w:proofErr w:type="spellStart"/>
      <w:r w:rsidRPr="00E3533D">
        <w:rPr>
          <w:rFonts w:cs="Arial"/>
          <w:bCs/>
          <w:szCs w:val="20"/>
          <w:lang w:eastAsia="sl-SI"/>
        </w:rPr>
        <w:t>Šabedra</w:t>
      </w:r>
      <w:proofErr w:type="spellEnd"/>
      <w:r w:rsidRPr="00E3533D">
        <w:rPr>
          <w:rFonts w:cs="Arial"/>
          <w:bCs/>
          <w:szCs w:val="20"/>
          <w:lang w:eastAsia="sl-SI"/>
        </w:rPr>
        <w:t xml:space="preserve"> z dnem 14. 7. 2022 imenuje za vršilca dolžnosti direktorja Urada Republike Slovenije za nadzor, kakovost in investicije v zdravstvu (Urad), in sicer do imenovanja direktorja Urada po opravljenem natečajnem postopku, vendar najdlje do 13. 1. 2023.</w:t>
      </w:r>
    </w:p>
    <w:p w14:paraId="24B007E0" w14:textId="77777777" w:rsidR="00E17633" w:rsidRPr="00E3533D" w:rsidRDefault="00E17633" w:rsidP="00E3533D">
      <w:pPr>
        <w:overflowPunct w:val="0"/>
        <w:autoSpaceDE w:val="0"/>
        <w:autoSpaceDN w:val="0"/>
        <w:adjustRightInd w:val="0"/>
        <w:spacing w:line="240" w:lineRule="auto"/>
        <w:jc w:val="both"/>
        <w:textAlignment w:val="baseline"/>
        <w:rPr>
          <w:rFonts w:cs="Arial"/>
          <w:szCs w:val="20"/>
          <w:lang w:eastAsia="sl-SI"/>
        </w:rPr>
      </w:pPr>
    </w:p>
    <w:p w14:paraId="102AEDE6" w14:textId="77777777" w:rsidR="00E17633" w:rsidRPr="00E3533D" w:rsidRDefault="00E17633" w:rsidP="00E3533D">
      <w:pPr>
        <w:spacing w:line="240" w:lineRule="auto"/>
        <w:jc w:val="both"/>
        <w:rPr>
          <w:rFonts w:cs="Arial"/>
          <w:szCs w:val="20"/>
        </w:rPr>
      </w:pPr>
      <w:r w:rsidRPr="00E3533D">
        <w:rPr>
          <w:rFonts w:cs="Arial"/>
          <w:szCs w:val="20"/>
        </w:rPr>
        <w:t xml:space="preserve">Zakon o javnih uslužbencih (ZJU) med drugim določa, da generalne sekretarje,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iz drugega odstavka 82. člena ZJU brez javnega natečaja največ šest mesecev naloge na tem položaju opravlja vršilec dolžnosti. </w:t>
      </w:r>
    </w:p>
    <w:p w14:paraId="59F55C02" w14:textId="77777777" w:rsidR="00E17633" w:rsidRPr="00E3533D" w:rsidRDefault="00E17633" w:rsidP="00E3533D">
      <w:pPr>
        <w:spacing w:line="240" w:lineRule="auto"/>
        <w:jc w:val="both"/>
        <w:rPr>
          <w:rFonts w:cs="Arial"/>
          <w:szCs w:val="20"/>
        </w:rPr>
      </w:pPr>
    </w:p>
    <w:p w14:paraId="34D78F32" w14:textId="77777777" w:rsidR="00E17633" w:rsidRPr="00E3533D" w:rsidRDefault="00E17633" w:rsidP="00E3533D">
      <w:pPr>
        <w:spacing w:line="240" w:lineRule="auto"/>
        <w:jc w:val="both"/>
        <w:rPr>
          <w:rFonts w:cs="Arial"/>
          <w:szCs w:val="20"/>
        </w:rPr>
      </w:pPr>
      <w:r w:rsidRPr="00E3533D">
        <w:rPr>
          <w:rFonts w:cs="Arial"/>
          <w:szCs w:val="20"/>
        </w:rPr>
        <w:t>Za vršilca dolžnosti je brez javnega natečaja lahko imenovana oseba, ki izpolnjuje predpisane pogoje. V primeru ponovitve postopka javnega natečaja prične rok iz tega odstavka ponovno teči. Po dveh ponovitvah javnega natečaja se rok lahko podaljša le, če se na javnem natečaju ne izkažeta kot primerna vsaj dva kandidata.</w:t>
      </w:r>
    </w:p>
    <w:p w14:paraId="4C9D3C2B" w14:textId="77777777" w:rsidR="00E17633" w:rsidRPr="00E3533D" w:rsidRDefault="00E17633" w:rsidP="00E3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rPr>
      </w:pPr>
    </w:p>
    <w:p w14:paraId="471A10A4" w14:textId="77777777" w:rsidR="00E17633" w:rsidRPr="00E3533D" w:rsidRDefault="00E17633" w:rsidP="00E3533D">
      <w:pPr>
        <w:autoSpaceDE w:val="0"/>
        <w:autoSpaceDN w:val="0"/>
        <w:adjustRightInd w:val="0"/>
        <w:spacing w:line="240" w:lineRule="auto"/>
        <w:jc w:val="both"/>
        <w:rPr>
          <w:rFonts w:cs="Arial"/>
          <w:szCs w:val="20"/>
        </w:rPr>
      </w:pPr>
      <w:r w:rsidRPr="00E3533D">
        <w:rPr>
          <w:rFonts w:cs="Arial"/>
          <w:szCs w:val="20"/>
        </w:rPr>
        <w:t xml:space="preserve">Aleš </w:t>
      </w:r>
      <w:proofErr w:type="spellStart"/>
      <w:r w:rsidRPr="00E3533D">
        <w:rPr>
          <w:rFonts w:cs="Arial"/>
          <w:szCs w:val="20"/>
        </w:rPr>
        <w:t>Šabeder</w:t>
      </w:r>
      <w:proofErr w:type="spellEnd"/>
      <w:r w:rsidRPr="00E3533D">
        <w:rPr>
          <w:rFonts w:cs="Arial"/>
          <w:szCs w:val="20"/>
        </w:rPr>
        <w:t xml:space="preserve"> izpolnjuje predpisane pogoje za opravljanje nalog vršilca dolžnosti direktorja Urada.</w:t>
      </w:r>
    </w:p>
    <w:p w14:paraId="08A5727A" w14:textId="3E9EFFDD" w:rsidR="00E17633" w:rsidRPr="00E3533D" w:rsidRDefault="00E17633" w:rsidP="00E3533D">
      <w:pPr>
        <w:spacing w:line="240" w:lineRule="auto"/>
        <w:jc w:val="both"/>
        <w:rPr>
          <w:rFonts w:cs="Arial"/>
          <w:szCs w:val="20"/>
        </w:rPr>
      </w:pPr>
    </w:p>
    <w:p w14:paraId="4E255E74" w14:textId="77777777" w:rsidR="00E17633" w:rsidRPr="00E3533D" w:rsidRDefault="00E17633" w:rsidP="00E3533D">
      <w:pPr>
        <w:spacing w:line="240" w:lineRule="auto"/>
        <w:jc w:val="both"/>
        <w:rPr>
          <w:rFonts w:cs="Arial"/>
          <w:szCs w:val="20"/>
        </w:rPr>
      </w:pPr>
      <w:r w:rsidRPr="00E3533D">
        <w:rPr>
          <w:rFonts w:cs="Arial"/>
          <w:szCs w:val="20"/>
        </w:rPr>
        <w:t>Vir: Ministrstvo za zdravje</w:t>
      </w:r>
    </w:p>
    <w:p w14:paraId="0AA56175" w14:textId="77777777" w:rsidR="00E17633" w:rsidRPr="00E3533D" w:rsidRDefault="00E17633" w:rsidP="00E3533D">
      <w:pPr>
        <w:spacing w:line="240" w:lineRule="auto"/>
        <w:jc w:val="both"/>
        <w:rPr>
          <w:rFonts w:cs="Arial"/>
          <w:szCs w:val="20"/>
        </w:rPr>
      </w:pPr>
    </w:p>
    <w:p w14:paraId="05988CC4" w14:textId="77777777" w:rsidR="00E17633" w:rsidRPr="00E3533D" w:rsidRDefault="00E17633" w:rsidP="00E3533D">
      <w:pPr>
        <w:spacing w:line="240" w:lineRule="auto"/>
        <w:jc w:val="both"/>
        <w:rPr>
          <w:rFonts w:cs="Arial"/>
          <w:szCs w:val="20"/>
        </w:rPr>
      </w:pPr>
    </w:p>
    <w:p w14:paraId="02E049C8" w14:textId="77777777" w:rsidR="00725BC1" w:rsidRPr="00E3533D" w:rsidRDefault="00725BC1" w:rsidP="00E3533D">
      <w:pPr>
        <w:autoSpaceDE w:val="0"/>
        <w:autoSpaceDN w:val="0"/>
        <w:adjustRightInd w:val="0"/>
        <w:spacing w:line="240" w:lineRule="auto"/>
        <w:jc w:val="both"/>
        <w:rPr>
          <w:rFonts w:cs="Arial"/>
          <w:b/>
          <w:bCs/>
          <w:color w:val="000000"/>
          <w:szCs w:val="20"/>
        </w:rPr>
      </w:pPr>
    </w:p>
    <w:sectPr w:rsidR="00725BC1" w:rsidRPr="00E3533D"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D0E6" w14:textId="77777777" w:rsidR="005B5913" w:rsidRDefault="005B5913">
      <w:r>
        <w:separator/>
      </w:r>
    </w:p>
  </w:endnote>
  <w:endnote w:type="continuationSeparator" w:id="0">
    <w:p w14:paraId="4CA4BCBE" w14:textId="77777777" w:rsidR="005B5913" w:rsidRDefault="005B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A66E2D" w:rsidRDefault="00A66E2D"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A66E2D" w:rsidRDefault="00A66E2D"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26EA3D9E" w:rsidR="00A66E2D" w:rsidRDefault="00A66E2D"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B73DF">
      <w:rPr>
        <w:rStyle w:val="tevilkastrani"/>
        <w:noProof/>
      </w:rPr>
      <w:t>21</w:t>
    </w:r>
    <w:r>
      <w:rPr>
        <w:rStyle w:val="tevilkastrani"/>
      </w:rPr>
      <w:fldChar w:fldCharType="end"/>
    </w:r>
  </w:p>
  <w:p w14:paraId="6DBD2DB5" w14:textId="77777777" w:rsidR="00A66E2D" w:rsidRDefault="00A66E2D"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2C54" w14:textId="77777777" w:rsidR="005B5913" w:rsidRDefault="005B5913">
      <w:r>
        <w:separator/>
      </w:r>
    </w:p>
  </w:footnote>
  <w:footnote w:type="continuationSeparator" w:id="0">
    <w:p w14:paraId="44E099DB" w14:textId="77777777" w:rsidR="005B5913" w:rsidRDefault="005B5913">
      <w:r>
        <w:continuationSeparator/>
      </w:r>
    </w:p>
  </w:footnote>
  <w:footnote w:id="1">
    <w:p w14:paraId="485CE4B7" w14:textId="77777777" w:rsidR="00A66E2D" w:rsidRDefault="00A66E2D" w:rsidP="00E17633">
      <w:pPr>
        <w:pStyle w:val="Sprotnaopomba-besedilo"/>
        <w:jc w:val="both"/>
        <w:rPr>
          <w:sz w:val="16"/>
          <w:szCs w:val="16"/>
        </w:rPr>
      </w:pPr>
      <w:r>
        <w:rPr>
          <w:rStyle w:val="Sprotnaopomba-sklic"/>
        </w:rPr>
        <w:footnoteRef/>
      </w:r>
      <w:r>
        <w:rPr>
          <w:sz w:val="16"/>
          <w:szCs w:val="16"/>
        </w:rPr>
        <w:t xml:space="preserve"> </w:t>
      </w:r>
      <w:proofErr w:type="spellStart"/>
      <w:r>
        <w:rPr>
          <w:sz w:val="16"/>
          <w:szCs w:val="16"/>
        </w:rPr>
        <w:t>Pri</w:t>
      </w:r>
      <w:proofErr w:type="spellEnd"/>
      <w:r>
        <w:rPr>
          <w:sz w:val="16"/>
          <w:szCs w:val="16"/>
        </w:rPr>
        <w:t xml:space="preserve"> </w:t>
      </w:r>
      <w:proofErr w:type="spellStart"/>
      <w:r>
        <w:rPr>
          <w:sz w:val="16"/>
          <w:szCs w:val="16"/>
        </w:rPr>
        <w:t>posameznem</w:t>
      </w:r>
      <w:proofErr w:type="spellEnd"/>
      <w:r>
        <w:rPr>
          <w:sz w:val="16"/>
          <w:szCs w:val="16"/>
        </w:rPr>
        <w:t xml:space="preserve"> </w:t>
      </w:r>
      <w:proofErr w:type="spellStart"/>
      <w:r>
        <w:rPr>
          <w:sz w:val="16"/>
          <w:szCs w:val="16"/>
        </w:rPr>
        <w:t>primeru</w:t>
      </w:r>
      <w:proofErr w:type="spellEnd"/>
      <w:r>
        <w:rPr>
          <w:sz w:val="16"/>
          <w:szCs w:val="16"/>
        </w:rPr>
        <w:t xml:space="preserve"> je </w:t>
      </w:r>
      <w:proofErr w:type="spellStart"/>
      <w:r>
        <w:rPr>
          <w:sz w:val="16"/>
          <w:szCs w:val="16"/>
        </w:rPr>
        <w:t>bil</w:t>
      </w:r>
      <w:proofErr w:type="spellEnd"/>
      <w:r>
        <w:rPr>
          <w:sz w:val="16"/>
          <w:szCs w:val="16"/>
        </w:rPr>
        <w:t xml:space="preserve"> </w:t>
      </w:r>
      <w:proofErr w:type="spellStart"/>
      <w:r>
        <w:rPr>
          <w:sz w:val="16"/>
          <w:szCs w:val="16"/>
        </w:rPr>
        <w:t>lahko</w:t>
      </w:r>
      <w:proofErr w:type="spellEnd"/>
      <w:r>
        <w:rPr>
          <w:sz w:val="16"/>
          <w:szCs w:val="16"/>
        </w:rPr>
        <w:t xml:space="preserve"> </w:t>
      </w:r>
      <w:proofErr w:type="spellStart"/>
      <w:r>
        <w:rPr>
          <w:sz w:val="16"/>
          <w:szCs w:val="16"/>
        </w:rPr>
        <w:t>razlog</w:t>
      </w:r>
      <w:proofErr w:type="spellEnd"/>
      <w:r>
        <w:rPr>
          <w:sz w:val="16"/>
          <w:szCs w:val="16"/>
        </w:rPr>
        <w:t xml:space="preserve"> </w:t>
      </w:r>
      <w:proofErr w:type="spellStart"/>
      <w:r>
        <w:rPr>
          <w:sz w:val="16"/>
          <w:szCs w:val="16"/>
        </w:rPr>
        <w:t>kršitev</w:t>
      </w:r>
      <w:proofErr w:type="spellEnd"/>
      <w:r>
        <w:rPr>
          <w:sz w:val="16"/>
          <w:szCs w:val="16"/>
        </w:rPr>
        <w:t xml:space="preserve"> </w:t>
      </w:r>
      <w:proofErr w:type="spellStart"/>
      <w:r>
        <w:rPr>
          <w:sz w:val="16"/>
          <w:szCs w:val="16"/>
        </w:rPr>
        <w:t>več</w:t>
      </w:r>
      <w:proofErr w:type="spellEnd"/>
      <w:r>
        <w:rPr>
          <w:sz w:val="16"/>
          <w:szCs w:val="16"/>
        </w:rPr>
        <w:t xml:space="preserve"> </w:t>
      </w:r>
      <w:proofErr w:type="spellStart"/>
      <w:r>
        <w:rPr>
          <w:sz w:val="16"/>
          <w:szCs w:val="16"/>
        </w:rPr>
        <w:t>pravic</w:t>
      </w:r>
      <w:proofErr w:type="spellEnd"/>
      <w:r>
        <w:rPr>
          <w:sz w:val="16"/>
          <w:szCs w:val="16"/>
        </w:rPr>
        <w:t xml:space="preserve">, </w:t>
      </w:r>
      <w:proofErr w:type="spellStart"/>
      <w:r>
        <w:rPr>
          <w:sz w:val="16"/>
          <w:szCs w:val="16"/>
        </w:rPr>
        <w:t>zato</w:t>
      </w:r>
      <w:proofErr w:type="spellEnd"/>
      <w:r>
        <w:rPr>
          <w:sz w:val="16"/>
          <w:szCs w:val="16"/>
        </w:rPr>
        <w:t xml:space="preserve"> je </w:t>
      </w:r>
      <w:proofErr w:type="spellStart"/>
      <w:r>
        <w:rPr>
          <w:sz w:val="16"/>
          <w:szCs w:val="16"/>
        </w:rPr>
        <w:t>seštevek</w:t>
      </w:r>
      <w:proofErr w:type="spellEnd"/>
      <w:r>
        <w:rPr>
          <w:sz w:val="16"/>
          <w:szCs w:val="16"/>
        </w:rPr>
        <w:t xml:space="preserve"> </w:t>
      </w:r>
      <w:proofErr w:type="spellStart"/>
      <w:r>
        <w:rPr>
          <w:sz w:val="16"/>
          <w:szCs w:val="16"/>
        </w:rPr>
        <w:t>pojavnosti</w:t>
      </w:r>
      <w:proofErr w:type="spellEnd"/>
      <w:r>
        <w:rPr>
          <w:sz w:val="16"/>
          <w:szCs w:val="16"/>
        </w:rPr>
        <w:t xml:space="preserve"> </w:t>
      </w:r>
      <w:proofErr w:type="spellStart"/>
      <w:r>
        <w:rPr>
          <w:sz w:val="16"/>
          <w:szCs w:val="16"/>
        </w:rPr>
        <w:t>zaznanih</w:t>
      </w:r>
      <w:proofErr w:type="spellEnd"/>
      <w:r>
        <w:rPr>
          <w:sz w:val="16"/>
          <w:szCs w:val="16"/>
        </w:rPr>
        <w:t xml:space="preserve"> </w:t>
      </w:r>
      <w:proofErr w:type="spellStart"/>
      <w:r>
        <w:rPr>
          <w:sz w:val="16"/>
          <w:szCs w:val="16"/>
        </w:rPr>
        <w:t>domnevnih</w:t>
      </w:r>
      <w:proofErr w:type="spellEnd"/>
      <w:r>
        <w:rPr>
          <w:sz w:val="16"/>
          <w:szCs w:val="16"/>
        </w:rPr>
        <w:t xml:space="preserve"> </w:t>
      </w:r>
      <w:proofErr w:type="spellStart"/>
      <w:r>
        <w:rPr>
          <w:sz w:val="16"/>
          <w:szCs w:val="16"/>
        </w:rPr>
        <w:t>kršitev</w:t>
      </w:r>
      <w:proofErr w:type="spellEnd"/>
      <w:r>
        <w:rPr>
          <w:sz w:val="16"/>
          <w:szCs w:val="16"/>
        </w:rPr>
        <w:t xml:space="preserve"> </w:t>
      </w:r>
      <w:proofErr w:type="spellStart"/>
      <w:r>
        <w:rPr>
          <w:sz w:val="16"/>
          <w:szCs w:val="16"/>
        </w:rPr>
        <w:t>pravic</w:t>
      </w:r>
      <w:proofErr w:type="spellEnd"/>
      <w:r>
        <w:rPr>
          <w:sz w:val="16"/>
          <w:szCs w:val="16"/>
        </w:rPr>
        <w:t xml:space="preserve"> </w:t>
      </w:r>
      <w:proofErr w:type="spellStart"/>
      <w:r>
        <w:rPr>
          <w:sz w:val="16"/>
          <w:szCs w:val="16"/>
        </w:rPr>
        <w:t>več</w:t>
      </w:r>
      <w:proofErr w:type="spellEnd"/>
      <w:r>
        <w:rPr>
          <w:sz w:val="16"/>
          <w:szCs w:val="16"/>
        </w:rPr>
        <w:t xml:space="preserve"> </w:t>
      </w:r>
      <w:proofErr w:type="spellStart"/>
      <w:r>
        <w:rPr>
          <w:sz w:val="16"/>
          <w:szCs w:val="16"/>
        </w:rPr>
        <w:t>kot</w:t>
      </w:r>
      <w:proofErr w:type="spellEnd"/>
      <w:r>
        <w:rPr>
          <w:sz w:val="16"/>
          <w:szCs w:val="16"/>
        </w:rPr>
        <w:t xml:space="preserve"> 100 %. </w:t>
      </w:r>
      <w:proofErr w:type="spellStart"/>
      <w:r>
        <w:rPr>
          <w:sz w:val="16"/>
          <w:szCs w:val="16"/>
        </w:rPr>
        <w:t>Gre</w:t>
      </w:r>
      <w:proofErr w:type="spellEnd"/>
      <w:r>
        <w:rPr>
          <w:sz w:val="16"/>
          <w:szCs w:val="16"/>
        </w:rPr>
        <w:t xml:space="preserve"> za </w:t>
      </w:r>
      <w:proofErr w:type="spellStart"/>
      <w:r>
        <w:rPr>
          <w:sz w:val="16"/>
          <w:szCs w:val="16"/>
        </w:rPr>
        <w:t>zaznane</w:t>
      </w:r>
      <w:proofErr w:type="spellEnd"/>
      <w:r>
        <w:rPr>
          <w:sz w:val="16"/>
          <w:szCs w:val="16"/>
        </w:rPr>
        <w:t xml:space="preserve"> </w:t>
      </w:r>
      <w:proofErr w:type="spellStart"/>
      <w:r>
        <w:rPr>
          <w:sz w:val="16"/>
          <w:szCs w:val="16"/>
        </w:rPr>
        <w:t>kršitve</w:t>
      </w:r>
      <w:proofErr w:type="spellEnd"/>
      <w:r>
        <w:rPr>
          <w:sz w:val="16"/>
          <w:szCs w:val="16"/>
        </w:rPr>
        <w:t xml:space="preserve"> z </w:t>
      </w:r>
      <w:proofErr w:type="spellStart"/>
      <w:r>
        <w:rPr>
          <w:sz w:val="16"/>
          <w:szCs w:val="16"/>
        </w:rPr>
        <w:t>vidika</w:t>
      </w:r>
      <w:proofErr w:type="spellEnd"/>
      <w:r>
        <w:rPr>
          <w:sz w:val="16"/>
          <w:szCs w:val="16"/>
        </w:rPr>
        <w:t xml:space="preserve"> </w:t>
      </w:r>
      <w:proofErr w:type="spellStart"/>
      <w:r>
        <w:rPr>
          <w:sz w:val="16"/>
          <w:szCs w:val="16"/>
        </w:rPr>
        <w:t>zastopnikov</w:t>
      </w:r>
      <w:proofErr w:type="spellEnd"/>
      <w:r>
        <w:rPr>
          <w:sz w:val="16"/>
          <w:szCs w:val="16"/>
        </w:rPr>
        <w:t xml:space="preserve"> </w:t>
      </w:r>
      <w:proofErr w:type="spellStart"/>
      <w:r>
        <w:rPr>
          <w:sz w:val="16"/>
          <w:szCs w:val="16"/>
        </w:rPr>
        <w:t>pacientovih</w:t>
      </w:r>
      <w:proofErr w:type="spellEnd"/>
      <w:r>
        <w:rPr>
          <w:sz w:val="16"/>
          <w:szCs w:val="16"/>
        </w:rPr>
        <w:t xml:space="preserve"> </w:t>
      </w:r>
      <w:proofErr w:type="spellStart"/>
      <w:r>
        <w:rPr>
          <w:sz w:val="16"/>
          <w:szCs w:val="16"/>
        </w:rPr>
        <w:t>pravic</w:t>
      </w:r>
      <w:proofErr w:type="spellEnd"/>
      <w:r>
        <w:rPr>
          <w:sz w:val="16"/>
          <w:szCs w:val="16"/>
        </w:rPr>
        <w:t>.</w:t>
      </w:r>
    </w:p>
  </w:footnote>
  <w:footnote w:id="2">
    <w:p w14:paraId="2EBF0C16" w14:textId="77777777" w:rsidR="00A66E2D" w:rsidRDefault="00A66E2D" w:rsidP="00E17633">
      <w:pPr>
        <w:jc w:val="both"/>
      </w:pPr>
      <w:r>
        <w:rPr>
          <w:rStyle w:val="Sprotnaopomba-sklic"/>
        </w:rPr>
        <w:footnoteRef/>
      </w:r>
      <w:r>
        <w:t xml:space="preserve"> </w:t>
      </w:r>
      <w:r>
        <w:rPr>
          <w:iCs/>
        </w:rPr>
        <w:t>Direktiva</w:t>
      </w:r>
      <w:r w:rsidRPr="00C12B55">
        <w:rPr>
          <w:iCs/>
        </w:rPr>
        <w:t xml:space="preserve"> (EU) 2019/770 Evropskega parlamenta in Sveta z dne 20. maja 2019 o nekaterih vidikih pogodb o dobavi digitalne vsebine in digitalnih storitev</w:t>
      </w:r>
      <w:r>
        <w:rPr>
          <w:iCs/>
        </w:rPr>
        <w:t>; Direktiva</w:t>
      </w:r>
      <w:r w:rsidRPr="00945A9C">
        <w:rPr>
          <w:iCs/>
        </w:rPr>
        <w:t xml:space="preserve"> </w:t>
      </w:r>
      <w:r w:rsidRPr="00C12B55">
        <w:rPr>
          <w:iCs/>
        </w:rPr>
        <w:t>(EU) 2019/771 Evropskega parlamenta in Sveta z dne 20. maja 2019 o nekaterih vidikih pogodb za prodajo blaga, spremembi Uredbe (EU) 2017/2394 in Direktive 2009/22/ES ter raz</w:t>
      </w:r>
      <w:r>
        <w:rPr>
          <w:iCs/>
        </w:rPr>
        <w:t xml:space="preserve">veljavitvi Direktive 1999/44/ES; </w:t>
      </w:r>
      <w:r w:rsidRPr="00945A9C">
        <w:rPr>
          <w:iCs/>
        </w:rPr>
        <w:t>Direktiv</w:t>
      </w:r>
      <w:r>
        <w:rPr>
          <w:iCs/>
        </w:rPr>
        <w:t>a</w:t>
      </w:r>
      <w:r w:rsidRPr="00945A9C">
        <w:rPr>
          <w:iCs/>
        </w:rPr>
        <w:t xml:space="preserve"> (EU) 2019/2161 Evropskega parlamenta in Sveta z dne 27.</w:t>
      </w:r>
      <w:r>
        <w:rPr>
          <w:iCs/>
        </w:rPr>
        <w:t> </w:t>
      </w:r>
      <w:r w:rsidRPr="00945A9C">
        <w:rPr>
          <w:iCs/>
        </w:rPr>
        <w:t>novembra 2019 o spremembi Direktive Sveta 93/13/EGS in direktiv 98/6/ES, 2005/29/ES ter 2011/83/EU Evropskega parlamenta in Sveta zaradi boljšega izvrševanja in posodobitve prav</w:t>
      </w:r>
      <w:r>
        <w:rPr>
          <w:iCs/>
        </w:rPr>
        <w:t>il Unije o varstvu potrošnikov.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A66E2D" w:rsidRPr="00110CBD" w:rsidRDefault="00A66E2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66E2D" w:rsidRPr="008F3500" w14:paraId="5A6B3F31" w14:textId="77777777">
      <w:trPr>
        <w:cantSplit/>
        <w:trHeight w:hRule="exact" w:val="847"/>
      </w:trPr>
      <w:tc>
        <w:tcPr>
          <w:tcW w:w="567" w:type="dxa"/>
        </w:tcPr>
        <w:p w14:paraId="51238327" w14:textId="77777777" w:rsidR="00A66E2D" w:rsidRPr="008F3500" w:rsidRDefault="00A66E2D" w:rsidP="00D248DE">
          <w:pPr>
            <w:autoSpaceDE w:val="0"/>
            <w:autoSpaceDN w:val="0"/>
            <w:adjustRightInd w:val="0"/>
            <w:spacing w:line="240" w:lineRule="auto"/>
            <w:rPr>
              <w:rFonts w:ascii="Republika" w:hAnsi="Republika"/>
              <w:color w:val="529DBA"/>
              <w:sz w:val="60"/>
              <w:szCs w:val="60"/>
            </w:rPr>
          </w:pPr>
        </w:p>
      </w:tc>
    </w:tr>
  </w:tbl>
  <w:p w14:paraId="5F641457" w14:textId="3BEC4C44" w:rsidR="00A66E2D" w:rsidRDefault="00A66E2D"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A66E2D" w:rsidRPr="008F3500" w:rsidRDefault="00A66E2D"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D54"/>
    <w:multiLevelType w:val="hybridMultilevel"/>
    <w:tmpl w:val="4566CE1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A02A96"/>
    <w:multiLevelType w:val="hybridMultilevel"/>
    <w:tmpl w:val="B276F86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F68D7"/>
    <w:multiLevelType w:val="hybridMultilevel"/>
    <w:tmpl w:val="933E2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855B0"/>
    <w:multiLevelType w:val="hybridMultilevel"/>
    <w:tmpl w:val="12F0EB60"/>
    <w:lvl w:ilvl="0" w:tplc="4E18501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5C55295"/>
    <w:multiLevelType w:val="hybridMultilevel"/>
    <w:tmpl w:val="BE16C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F0341"/>
    <w:multiLevelType w:val="hybridMultilevel"/>
    <w:tmpl w:val="EF403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364597"/>
    <w:multiLevelType w:val="hybridMultilevel"/>
    <w:tmpl w:val="C19E8634"/>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D941DD"/>
    <w:multiLevelType w:val="hybridMultilevel"/>
    <w:tmpl w:val="EC749D2A"/>
    <w:lvl w:ilvl="0" w:tplc="6D6887D2">
      <w:start w:val="7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2130EC"/>
    <w:multiLevelType w:val="hybridMultilevel"/>
    <w:tmpl w:val="8CC867E8"/>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CA3EF7"/>
    <w:multiLevelType w:val="hybridMultilevel"/>
    <w:tmpl w:val="844846DE"/>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D287326"/>
    <w:multiLevelType w:val="hybridMultilevel"/>
    <w:tmpl w:val="0024A7A6"/>
    <w:lvl w:ilvl="0" w:tplc="6D6887D2">
      <w:start w:val="77"/>
      <w:numFmt w:val="bullet"/>
      <w:lvlText w:val="̶"/>
      <w:lvlJc w:val="left"/>
      <w:pPr>
        <w:ind w:left="720" w:hanging="360"/>
      </w:pPr>
      <w:rPr>
        <w:rFonts w:ascii="Times New Roman" w:eastAsia="Times New Roman" w:hAnsi="Times New Roman" w:cs="Times New Roman" w:hint="default"/>
      </w:rPr>
    </w:lvl>
    <w:lvl w:ilvl="1" w:tplc="F496BFD6">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3B5A51"/>
    <w:multiLevelType w:val="hybridMultilevel"/>
    <w:tmpl w:val="51F6C388"/>
    <w:lvl w:ilvl="0" w:tplc="4E1850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16D05B4"/>
    <w:multiLevelType w:val="hybridMultilevel"/>
    <w:tmpl w:val="2638B3EE"/>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130714"/>
    <w:multiLevelType w:val="hybridMultilevel"/>
    <w:tmpl w:val="63D2EA5E"/>
    <w:lvl w:ilvl="0" w:tplc="F37A3B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91508C"/>
    <w:multiLevelType w:val="hybridMultilevel"/>
    <w:tmpl w:val="6DF83180"/>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5F515A"/>
    <w:multiLevelType w:val="hybridMultilevel"/>
    <w:tmpl w:val="762A8E48"/>
    <w:lvl w:ilvl="0" w:tplc="6D6887D2">
      <w:start w:val="7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905F17"/>
    <w:multiLevelType w:val="hybridMultilevel"/>
    <w:tmpl w:val="BEDE025E"/>
    <w:lvl w:ilvl="0" w:tplc="FFFFFFFF">
      <w:start w:val="77"/>
      <w:numFmt w:val="bullet"/>
      <w:lvlText w:val="̶"/>
      <w:lvlJc w:val="left"/>
      <w:pPr>
        <w:ind w:left="720" w:hanging="360"/>
      </w:pPr>
      <w:rPr>
        <w:rFonts w:ascii="Times New Roman" w:eastAsia="Times New Roman" w:hAnsi="Times New Roman" w:cs="Times New Roman" w:hint="default"/>
      </w:rPr>
    </w:lvl>
    <w:lvl w:ilvl="1" w:tplc="6D6887D2">
      <w:start w:val="77"/>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CB7C61"/>
    <w:multiLevelType w:val="hybridMultilevel"/>
    <w:tmpl w:val="F98627A0"/>
    <w:lvl w:ilvl="0" w:tplc="75628E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7475FC"/>
    <w:multiLevelType w:val="hybridMultilevel"/>
    <w:tmpl w:val="0F882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AC1DF6"/>
    <w:multiLevelType w:val="hybridMultilevel"/>
    <w:tmpl w:val="C510A1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F81EEC"/>
    <w:multiLevelType w:val="hybridMultilevel"/>
    <w:tmpl w:val="D786D05C"/>
    <w:lvl w:ilvl="0" w:tplc="6D6887D2">
      <w:start w:val="7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CC6FDC"/>
    <w:multiLevelType w:val="hybridMultilevel"/>
    <w:tmpl w:val="29E83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036C1B"/>
    <w:multiLevelType w:val="hybridMultilevel"/>
    <w:tmpl w:val="44CC9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4E69E0"/>
    <w:multiLevelType w:val="hybridMultilevel"/>
    <w:tmpl w:val="BBB833C8"/>
    <w:lvl w:ilvl="0" w:tplc="6D6887D2">
      <w:start w:val="77"/>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F692563"/>
    <w:multiLevelType w:val="hybridMultilevel"/>
    <w:tmpl w:val="06A090D2"/>
    <w:lvl w:ilvl="0" w:tplc="4E1850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3301821">
    <w:abstractNumId w:val="11"/>
  </w:num>
  <w:num w:numId="2" w16cid:durableId="1079061443">
    <w:abstractNumId w:val="13"/>
  </w:num>
  <w:num w:numId="3" w16cid:durableId="1284537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6345491">
    <w:abstractNumId w:val="15"/>
  </w:num>
  <w:num w:numId="5" w16cid:durableId="277955381">
    <w:abstractNumId w:val="23"/>
  </w:num>
  <w:num w:numId="6" w16cid:durableId="1428388319">
    <w:abstractNumId w:val="17"/>
  </w:num>
  <w:num w:numId="7" w16cid:durableId="1596743723">
    <w:abstractNumId w:val="14"/>
  </w:num>
  <w:num w:numId="8" w16cid:durableId="1178615132">
    <w:abstractNumId w:val="28"/>
  </w:num>
  <w:num w:numId="9" w16cid:durableId="1351563919">
    <w:abstractNumId w:val="21"/>
  </w:num>
  <w:num w:numId="10" w16cid:durableId="1254052356">
    <w:abstractNumId w:val="26"/>
  </w:num>
  <w:num w:numId="11" w16cid:durableId="637878818">
    <w:abstractNumId w:val="5"/>
  </w:num>
  <w:num w:numId="12" w16cid:durableId="1377192987">
    <w:abstractNumId w:val="22"/>
  </w:num>
  <w:num w:numId="13" w16cid:durableId="172301625">
    <w:abstractNumId w:val="6"/>
  </w:num>
  <w:num w:numId="14" w16cid:durableId="1194806052">
    <w:abstractNumId w:val="3"/>
  </w:num>
  <w:num w:numId="15" w16cid:durableId="856505962">
    <w:abstractNumId w:val="25"/>
  </w:num>
  <w:num w:numId="16" w16cid:durableId="1697660411">
    <w:abstractNumId w:val="4"/>
  </w:num>
  <w:num w:numId="17" w16cid:durableId="119805038">
    <w:abstractNumId w:val="24"/>
  </w:num>
  <w:num w:numId="18" w16cid:durableId="1210193078">
    <w:abstractNumId w:val="18"/>
  </w:num>
  <w:num w:numId="19" w16cid:durableId="109519996">
    <w:abstractNumId w:val="7"/>
  </w:num>
  <w:num w:numId="20" w16cid:durableId="1654721637">
    <w:abstractNumId w:val="0"/>
  </w:num>
  <w:num w:numId="21" w16cid:durableId="2059696705">
    <w:abstractNumId w:val="27"/>
  </w:num>
  <w:num w:numId="22" w16cid:durableId="2032341057">
    <w:abstractNumId w:val="9"/>
  </w:num>
  <w:num w:numId="23" w16cid:durableId="2019311205">
    <w:abstractNumId w:val="2"/>
  </w:num>
  <w:num w:numId="24" w16cid:durableId="996108665">
    <w:abstractNumId w:val="12"/>
  </w:num>
  <w:num w:numId="25" w16cid:durableId="337120989">
    <w:abstractNumId w:val="19"/>
  </w:num>
  <w:num w:numId="26" w16cid:durableId="2103062381">
    <w:abstractNumId w:val="8"/>
  </w:num>
  <w:num w:numId="27" w16cid:durableId="903370810">
    <w:abstractNumId w:val="20"/>
  </w:num>
  <w:num w:numId="28" w16cid:durableId="1104036332">
    <w:abstractNumId w:val="10"/>
  </w:num>
  <w:num w:numId="29" w16cid:durableId="1319447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2DF"/>
    <w:rsid w:val="00024395"/>
    <w:rsid w:val="00024A3C"/>
    <w:rsid w:val="00024E5D"/>
    <w:rsid w:val="0002514A"/>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1166"/>
    <w:rsid w:val="00031230"/>
    <w:rsid w:val="000317F4"/>
    <w:rsid w:val="000321BB"/>
    <w:rsid w:val="000328E2"/>
    <w:rsid w:val="00032EC5"/>
    <w:rsid w:val="0003341B"/>
    <w:rsid w:val="0003364B"/>
    <w:rsid w:val="0003390E"/>
    <w:rsid w:val="00033C5C"/>
    <w:rsid w:val="00033ED8"/>
    <w:rsid w:val="00034177"/>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68C"/>
    <w:rsid w:val="000656B8"/>
    <w:rsid w:val="00066761"/>
    <w:rsid w:val="00066B71"/>
    <w:rsid w:val="0007003B"/>
    <w:rsid w:val="000700BE"/>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ECD"/>
    <w:rsid w:val="000B710E"/>
    <w:rsid w:val="000B7728"/>
    <w:rsid w:val="000B7836"/>
    <w:rsid w:val="000B7870"/>
    <w:rsid w:val="000C0035"/>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DC9"/>
    <w:rsid w:val="000C7018"/>
    <w:rsid w:val="000C721D"/>
    <w:rsid w:val="000C72A8"/>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06A"/>
    <w:rsid w:val="001103F3"/>
    <w:rsid w:val="0011049B"/>
    <w:rsid w:val="0011068F"/>
    <w:rsid w:val="001106DC"/>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9C0"/>
    <w:rsid w:val="001705B0"/>
    <w:rsid w:val="001720AE"/>
    <w:rsid w:val="00172E26"/>
    <w:rsid w:val="001737D3"/>
    <w:rsid w:val="00173A3B"/>
    <w:rsid w:val="00173BF1"/>
    <w:rsid w:val="00173C2E"/>
    <w:rsid w:val="00173E27"/>
    <w:rsid w:val="0017478F"/>
    <w:rsid w:val="00174C29"/>
    <w:rsid w:val="00174DC9"/>
    <w:rsid w:val="00175126"/>
    <w:rsid w:val="00175354"/>
    <w:rsid w:val="00175789"/>
    <w:rsid w:val="00175B37"/>
    <w:rsid w:val="001764F8"/>
    <w:rsid w:val="001766EA"/>
    <w:rsid w:val="00177076"/>
    <w:rsid w:val="001772E6"/>
    <w:rsid w:val="00177A59"/>
    <w:rsid w:val="00177E8D"/>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3905"/>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0E"/>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76"/>
    <w:rsid w:val="001D1095"/>
    <w:rsid w:val="001D1607"/>
    <w:rsid w:val="001D17F4"/>
    <w:rsid w:val="001D1845"/>
    <w:rsid w:val="001D1A6D"/>
    <w:rsid w:val="001D1E89"/>
    <w:rsid w:val="001D203B"/>
    <w:rsid w:val="001D2EC3"/>
    <w:rsid w:val="001D312C"/>
    <w:rsid w:val="001D3CC9"/>
    <w:rsid w:val="001D3E73"/>
    <w:rsid w:val="001D3F0B"/>
    <w:rsid w:val="001D4F1F"/>
    <w:rsid w:val="001D516A"/>
    <w:rsid w:val="001D62DF"/>
    <w:rsid w:val="001D631C"/>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6ED4"/>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0CF"/>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0AE"/>
    <w:rsid w:val="00252A1A"/>
    <w:rsid w:val="00253590"/>
    <w:rsid w:val="00253596"/>
    <w:rsid w:val="00253673"/>
    <w:rsid w:val="002538AF"/>
    <w:rsid w:val="00253BD4"/>
    <w:rsid w:val="002541DC"/>
    <w:rsid w:val="002545F3"/>
    <w:rsid w:val="00254AA4"/>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41E6"/>
    <w:rsid w:val="002844C5"/>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D60"/>
    <w:rsid w:val="002920EF"/>
    <w:rsid w:val="00292A44"/>
    <w:rsid w:val="00292B89"/>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346"/>
    <w:rsid w:val="002B3AB8"/>
    <w:rsid w:val="002B4261"/>
    <w:rsid w:val="002B4581"/>
    <w:rsid w:val="002B4E6C"/>
    <w:rsid w:val="002B5351"/>
    <w:rsid w:val="002B58D6"/>
    <w:rsid w:val="002B5930"/>
    <w:rsid w:val="002B5976"/>
    <w:rsid w:val="002B5C98"/>
    <w:rsid w:val="002B5DA9"/>
    <w:rsid w:val="002B64C3"/>
    <w:rsid w:val="002B6696"/>
    <w:rsid w:val="002B675C"/>
    <w:rsid w:val="002B72A2"/>
    <w:rsid w:val="002B7315"/>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E2F"/>
    <w:rsid w:val="002F3E69"/>
    <w:rsid w:val="002F3F45"/>
    <w:rsid w:val="002F46E3"/>
    <w:rsid w:val="002F533B"/>
    <w:rsid w:val="002F55E2"/>
    <w:rsid w:val="002F6CCF"/>
    <w:rsid w:val="002F6F7E"/>
    <w:rsid w:val="002F7BAB"/>
    <w:rsid w:val="002F7D89"/>
    <w:rsid w:val="0030048E"/>
    <w:rsid w:val="00300EAB"/>
    <w:rsid w:val="00300FCB"/>
    <w:rsid w:val="003011A9"/>
    <w:rsid w:val="003016EA"/>
    <w:rsid w:val="00301717"/>
    <w:rsid w:val="003017F1"/>
    <w:rsid w:val="00302479"/>
    <w:rsid w:val="00303102"/>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0B0"/>
    <w:rsid w:val="00365851"/>
    <w:rsid w:val="00365D22"/>
    <w:rsid w:val="0036662B"/>
    <w:rsid w:val="00366A59"/>
    <w:rsid w:val="00366D4E"/>
    <w:rsid w:val="00367124"/>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35"/>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72A"/>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E36"/>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9B5"/>
    <w:rsid w:val="004575E7"/>
    <w:rsid w:val="00457684"/>
    <w:rsid w:val="00457C89"/>
    <w:rsid w:val="004601BD"/>
    <w:rsid w:val="004603B6"/>
    <w:rsid w:val="004605B6"/>
    <w:rsid w:val="00460C4B"/>
    <w:rsid w:val="004610D8"/>
    <w:rsid w:val="004614AB"/>
    <w:rsid w:val="00462319"/>
    <w:rsid w:val="004625CC"/>
    <w:rsid w:val="00462734"/>
    <w:rsid w:val="00462C2A"/>
    <w:rsid w:val="00463344"/>
    <w:rsid w:val="0046366D"/>
    <w:rsid w:val="0046392F"/>
    <w:rsid w:val="00463C1D"/>
    <w:rsid w:val="00464119"/>
    <w:rsid w:val="004657B7"/>
    <w:rsid w:val="004657EE"/>
    <w:rsid w:val="00465838"/>
    <w:rsid w:val="0046630A"/>
    <w:rsid w:val="00466F8F"/>
    <w:rsid w:val="00467109"/>
    <w:rsid w:val="004675B5"/>
    <w:rsid w:val="00467715"/>
    <w:rsid w:val="00467CB0"/>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B4E"/>
    <w:rsid w:val="00484DBD"/>
    <w:rsid w:val="00484F8C"/>
    <w:rsid w:val="004852B2"/>
    <w:rsid w:val="00485A58"/>
    <w:rsid w:val="00485BB9"/>
    <w:rsid w:val="00485C66"/>
    <w:rsid w:val="00485CF1"/>
    <w:rsid w:val="00485EAD"/>
    <w:rsid w:val="0048682E"/>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A91"/>
    <w:rsid w:val="00493B83"/>
    <w:rsid w:val="00494137"/>
    <w:rsid w:val="004942AD"/>
    <w:rsid w:val="00494581"/>
    <w:rsid w:val="004945FA"/>
    <w:rsid w:val="004954CF"/>
    <w:rsid w:val="004956E6"/>
    <w:rsid w:val="00495EB6"/>
    <w:rsid w:val="0049613E"/>
    <w:rsid w:val="004964AA"/>
    <w:rsid w:val="00496E80"/>
    <w:rsid w:val="00497455"/>
    <w:rsid w:val="00497672"/>
    <w:rsid w:val="0049776E"/>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241"/>
    <w:rsid w:val="004B4485"/>
    <w:rsid w:val="004B46E4"/>
    <w:rsid w:val="004B504D"/>
    <w:rsid w:val="004B5517"/>
    <w:rsid w:val="004B55CF"/>
    <w:rsid w:val="004B5ADE"/>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9A2"/>
    <w:rsid w:val="005941BA"/>
    <w:rsid w:val="00594400"/>
    <w:rsid w:val="005949B5"/>
    <w:rsid w:val="005956E8"/>
    <w:rsid w:val="005971FA"/>
    <w:rsid w:val="005974EA"/>
    <w:rsid w:val="00597823"/>
    <w:rsid w:val="00597FB0"/>
    <w:rsid w:val="005A081E"/>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13"/>
    <w:rsid w:val="005B59E6"/>
    <w:rsid w:val="005B5DFE"/>
    <w:rsid w:val="005B6949"/>
    <w:rsid w:val="005B6ABC"/>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D8"/>
    <w:rsid w:val="006110B1"/>
    <w:rsid w:val="00611E16"/>
    <w:rsid w:val="006125C5"/>
    <w:rsid w:val="00612762"/>
    <w:rsid w:val="00612D08"/>
    <w:rsid w:val="00612DC0"/>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551"/>
    <w:rsid w:val="0063383A"/>
    <w:rsid w:val="00633DAF"/>
    <w:rsid w:val="00633E77"/>
    <w:rsid w:val="00633F70"/>
    <w:rsid w:val="00633F83"/>
    <w:rsid w:val="0063447A"/>
    <w:rsid w:val="00634E7B"/>
    <w:rsid w:val="00635B38"/>
    <w:rsid w:val="00635D00"/>
    <w:rsid w:val="00635F60"/>
    <w:rsid w:val="006362EC"/>
    <w:rsid w:val="006365E6"/>
    <w:rsid w:val="00636E33"/>
    <w:rsid w:val="0063758C"/>
    <w:rsid w:val="00637757"/>
    <w:rsid w:val="006403CD"/>
    <w:rsid w:val="00640D68"/>
    <w:rsid w:val="00640EFD"/>
    <w:rsid w:val="00640F45"/>
    <w:rsid w:val="00641804"/>
    <w:rsid w:val="00641A78"/>
    <w:rsid w:val="00641E68"/>
    <w:rsid w:val="006426EF"/>
    <w:rsid w:val="00642714"/>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3C0"/>
    <w:rsid w:val="006A0510"/>
    <w:rsid w:val="006A0AE4"/>
    <w:rsid w:val="006A170B"/>
    <w:rsid w:val="006A17BA"/>
    <w:rsid w:val="006A1D9B"/>
    <w:rsid w:val="006A2063"/>
    <w:rsid w:val="006A2B6D"/>
    <w:rsid w:val="006A2D13"/>
    <w:rsid w:val="006A33A4"/>
    <w:rsid w:val="006A33CD"/>
    <w:rsid w:val="006A36BB"/>
    <w:rsid w:val="006A3833"/>
    <w:rsid w:val="006A38C8"/>
    <w:rsid w:val="006A3E6C"/>
    <w:rsid w:val="006A3F1D"/>
    <w:rsid w:val="006A411A"/>
    <w:rsid w:val="006A443D"/>
    <w:rsid w:val="006A4500"/>
    <w:rsid w:val="006A4F46"/>
    <w:rsid w:val="006A5192"/>
    <w:rsid w:val="006A58F5"/>
    <w:rsid w:val="006A76B1"/>
    <w:rsid w:val="006A7853"/>
    <w:rsid w:val="006A78AD"/>
    <w:rsid w:val="006A7EC2"/>
    <w:rsid w:val="006B02A0"/>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484"/>
    <w:rsid w:val="006D6A72"/>
    <w:rsid w:val="006D6CC2"/>
    <w:rsid w:val="006D7017"/>
    <w:rsid w:val="006D7899"/>
    <w:rsid w:val="006D78B8"/>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1D30"/>
    <w:rsid w:val="006F22C8"/>
    <w:rsid w:val="006F2D40"/>
    <w:rsid w:val="006F375C"/>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259"/>
    <w:rsid w:val="00706786"/>
    <w:rsid w:val="00706EC8"/>
    <w:rsid w:val="007070CE"/>
    <w:rsid w:val="00707152"/>
    <w:rsid w:val="00710244"/>
    <w:rsid w:val="0071064E"/>
    <w:rsid w:val="0071102E"/>
    <w:rsid w:val="00711B1D"/>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4D9"/>
    <w:rsid w:val="0073090C"/>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7DF"/>
    <w:rsid w:val="0075299E"/>
    <w:rsid w:val="007533BF"/>
    <w:rsid w:val="00753FC1"/>
    <w:rsid w:val="00754524"/>
    <w:rsid w:val="00756732"/>
    <w:rsid w:val="007568FC"/>
    <w:rsid w:val="00756913"/>
    <w:rsid w:val="007569FD"/>
    <w:rsid w:val="00756E09"/>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4A9F"/>
    <w:rsid w:val="007E547A"/>
    <w:rsid w:val="007E55D9"/>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101B"/>
    <w:rsid w:val="00811162"/>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19"/>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8B5"/>
    <w:rsid w:val="0089563E"/>
    <w:rsid w:val="00895902"/>
    <w:rsid w:val="00895D0F"/>
    <w:rsid w:val="00896B47"/>
    <w:rsid w:val="00896DCC"/>
    <w:rsid w:val="008973AB"/>
    <w:rsid w:val="00897C33"/>
    <w:rsid w:val="00897DEA"/>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DF"/>
    <w:rsid w:val="008B73E9"/>
    <w:rsid w:val="008B7490"/>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7A2"/>
    <w:rsid w:val="008F20C6"/>
    <w:rsid w:val="008F22DC"/>
    <w:rsid w:val="008F2970"/>
    <w:rsid w:val="008F2D74"/>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04F0"/>
    <w:rsid w:val="00921477"/>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4B1"/>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4ED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D3"/>
    <w:rsid w:val="00973BE8"/>
    <w:rsid w:val="00973EE5"/>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A66"/>
    <w:rsid w:val="00986BF1"/>
    <w:rsid w:val="00986BF6"/>
    <w:rsid w:val="00986D33"/>
    <w:rsid w:val="009871C6"/>
    <w:rsid w:val="00987AF7"/>
    <w:rsid w:val="00990389"/>
    <w:rsid w:val="009908C3"/>
    <w:rsid w:val="00990CC6"/>
    <w:rsid w:val="00991035"/>
    <w:rsid w:val="009910A6"/>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DD3"/>
    <w:rsid w:val="009B1E64"/>
    <w:rsid w:val="009B2340"/>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67F"/>
    <w:rsid w:val="009C07A7"/>
    <w:rsid w:val="009C0809"/>
    <w:rsid w:val="009C093F"/>
    <w:rsid w:val="009C0CCD"/>
    <w:rsid w:val="009C13AD"/>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210A"/>
    <w:rsid w:val="009D2DB5"/>
    <w:rsid w:val="009D2F48"/>
    <w:rsid w:val="009D3160"/>
    <w:rsid w:val="009D3EFB"/>
    <w:rsid w:val="009D40D7"/>
    <w:rsid w:val="009D4810"/>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47"/>
    <w:rsid w:val="009E7FA2"/>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E18"/>
    <w:rsid w:val="00A252A4"/>
    <w:rsid w:val="00A25D7C"/>
    <w:rsid w:val="00A25FB1"/>
    <w:rsid w:val="00A2618B"/>
    <w:rsid w:val="00A26238"/>
    <w:rsid w:val="00A2651E"/>
    <w:rsid w:val="00A26CFB"/>
    <w:rsid w:val="00A26DCC"/>
    <w:rsid w:val="00A2738B"/>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1FC0"/>
    <w:rsid w:val="00A424F1"/>
    <w:rsid w:val="00A4273D"/>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6E2D"/>
    <w:rsid w:val="00A679A2"/>
    <w:rsid w:val="00A67B35"/>
    <w:rsid w:val="00A67B5F"/>
    <w:rsid w:val="00A67D16"/>
    <w:rsid w:val="00A67E7D"/>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D7A"/>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0FA5"/>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2CAB"/>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12D"/>
    <w:rsid w:val="00AB751C"/>
    <w:rsid w:val="00AB76FA"/>
    <w:rsid w:val="00AB7952"/>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3758"/>
    <w:rsid w:val="00AE37AF"/>
    <w:rsid w:val="00AE3806"/>
    <w:rsid w:val="00AE3DF2"/>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440"/>
    <w:rsid w:val="00B065ED"/>
    <w:rsid w:val="00B069AA"/>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5016"/>
    <w:rsid w:val="00B45086"/>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8"/>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947"/>
    <w:rsid w:val="00B96E17"/>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A8A"/>
    <w:rsid w:val="00BC6D00"/>
    <w:rsid w:val="00BC6E2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D7D39"/>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C5D"/>
    <w:rsid w:val="00CB7DFA"/>
    <w:rsid w:val="00CC053B"/>
    <w:rsid w:val="00CC0687"/>
    <w:rsid w:val="00CC0DFE"/>
    <w:rsid w:val="00CC14B3"/>
    <w:rsid w:val="00CC18C6"/>
    <w:rsid w:val="00CC23C0"/>
    <w:rsid w:val="00CC263E"/>
    <w:rsid w:val="00CC2CDB"/>
    <w:rsid w:val="00CC2D48"/>
    <w:rsid w:val="00CC35CD"/>
    <w:rsid w:val="00CC36DB"/>
    <w:rsid w:val="00CC3EF6"/>
    <w:rsid w:val="00CC409B"/>
    <w:rsid w:val="00CC4885"/>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71"/>
    <w:rsid w:val="00CD44A6"/>
    <w:rsid w:val="00CD49E0"/>
    <w:rsid w:val="00CD4A1E"/>
    <w:rsid w:val="00CD535C"/>
    <w:rsid w:val="00CD5697"/>
    <w:rsid w:val="00CD5960"/>
    <w:rsid w:val="00CD5F12"/>
    <w:rsid w:val="00CD5FD7"/>
    <w:rsid w:val="00CD6981"/>
    <w:rsid w:val="00CD6B67"/>
    <w:rsid w:val="00CD6F4A"/>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11"/>
    <w:rsid w:val="00D33A4B"/>
    <w:rsid w:val="00D33F0F"/>
    <w:rsid w:val="00D341D3"/>
    <w:rsid w:val="00D342D7"/>
    <w:rsid w:val="00D3440F"/>
    <w:rsid w:val="00D352A2"/>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2615"/>
    <w:rsid w:val="00DC2BC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754"/>
    <w:rsid w:val="00DE6B26"/>
    <w:rsid w:val="00DE6BA6"/>
    <w:rsid w:val="00DE7242"/>
    <w:rsid w:val="00DE7505"/>
    <w:rsid w:val="00DE7603"/>
    <w:rsid w:val="00DE782B"/>
    <w:rsid w:val="00DE78ED"/>
    <w:rsid w:val="00DE796C"/>
    <w:rsid w:val="00DE7E65"/>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633"/>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3D"/>
    <w:rsid w:val="00E353AB"/>
    <w:rsid w:val="00E35961"/>
    <w:rsid w:val="00E35AC9"/>
    <w:rsid w:val="00E367AA"/>
    <w:rsid w:val="00E37068"/>
    <w:rsid w:val="00E371F5"/>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05"/>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1CFA"/>
    <w:rsid w:val="00EC22D5"/>
    <w:rsid w:val="00EC2DC4"/>
    <w:rsid w:val="00EC34F6"/>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326"/>
    <w:rsid w:val="00ED7DD5"/>
    <w:rsid w:val="00ED7FF1"/>
    <w:rsid w:val="00EE01A6"/>
    <w:rsid w:val="00EE01FD"/>
    <w:rsid w:val="00EE042D"/>
    <w:rsid w:val="00EE0A97"/>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36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5BC"/>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773"/>
    <w:rsid w:val="00FA228D"/>
    <w:rsid w:val="00FA25C1"/>
    <w:rsid w:val="00FA28B5"/>
    <w:rsid w:val="00FA2AB9"/>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87B"/>
    <w:rsid w:val="00FD144A"/>
    <w:rsid w:val="00FD1CFF"/>
    <w:rsid w:val="00FD2DC0"/>
    <w:rsid w:val="00FD2E5B"/>
    <w:rsid w:val="00FD37B8"/>
    <w:rsid w:val="00FD39EA"/>
    <w:rsid w:val="00FD40C5"/>
    <w:rsid w:val="00FD486A"/>
    <w:rsid w:val="00FD48F0"/>
    <w:rsid w:val="00FD4AB7"/>
    <w:rsid w:val="00FD4EF0"/>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qFormat="1"/>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aliases w:val="Footnote reference number,Footnote symbol,note TESI,SUPERS,EN Footnote Reference,Fussnota"/>
    <w:uiPriority w:val="99"/>
    <w:qFormat/>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Privzeto">
    <w:name w:val="Privzeto"/>
    <w:basedOn w:val="Navaden"/>
    <w:rsid w:val="00E17633"/>
    <w:pPr>
      <w:overflowPunct w:val="0"/>
      <w:autoSpaceDE w:val="0"/>
      <w:autoSpaceDN w:val="0"/>
      <w:adjustRightInd w:val="0"/>
      <w:spacing w:line="240" w:lineRule="auto"/>
      <w:jc w:val="both"/>
    </w:pPr>
    <w:rPr>
      <w:rFonts w:ascii="Times New Roman" w:hAnsi="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y.ec.europa.eu/communication-repowereu-plan-com2022230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2F6DAA-18C4-42DB-94EC-2575F154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10848</Words>
  <Characters>61839</Characters>
  <Application>Microsoft Office Word</Application>
  <DocSecurity>0</DocSecurity>
  <Lines>515</Lines>
  <Paragraphs>145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72542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Andreja Šonc Simčič</cp:lastModifiedBy>
  <cp:revision>2</cp:revision>
  <cp:lastPrinted>2022-07-01T14:06:00Z</cp:lastPrinted>
  <dcterms:created xsi:type="dcterms:W3CDTF">2022-07-08T14:53:00Z</dcterms:created>
  <dcterms:modified xsi:type="dcterms:W3CDTF">2022-07-08T14:53:00Z</dcterms:modified>
</cp:coreProperties>
</file>