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68B1FC05"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9721E4">
        <w:rPr>
          <w:rFonts w:cs="Arial"/>
          <w:b/>
          <w:color w:val="000000"/>
          <w:sz w:val="28"/>
          <w:szCs w:val="28"/>
        </w:rPr>
        <w:t>7</w:t>
      </w:r>
      <w:r>
        <w:rPr>
          <w:rFonts w:cs="Arial"/>
          <w:b/>
          <w:color w:val="000000"/>
          <w:sz w:val="28"/>
          <w:szCs w:val="28"/>
        </w:rPr>
        <w:t>2</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46EFBC94" w:rsidR="00A075C0" w:rsidRPr="00056450" w:rsidRDefault="00A766FE" w:rsidP="00893BAE">
      <w:pPr>
        <w:autoSpaceDE w:val="0"/>
        <w:autoSpaceDN w:val="0"/>
        <w:adjustRightInd w:val="0"/>
        <w:spacing w:line="240" w:lineRule="auto"/>
        <w:jc w:val="both"/>
        <w:rPr>
          <w:rFonts w:cs="Arial"/>
          <w:color w:val="000000"/>
          <w:szCs w:val="20"/>
        </w:rPr>
      </w:pPr>
      <w:r>
        <w:rPr>
          <w:rFonts w:cs="Arial"/>
          <w:color w:val="000000"/>
          <w:szCs w:val="20"/>
        </w:rPr>
        <w:t>5</w:t>
      </w:r>
      <w:r w:rsidR="00200852">
        <w:rPr>
          <w:rFonts w:cs="Arial"/>
          <w:color w:val="000000"/>
          <w:szCs w:val="20"/>
        </w:rPr>
        <w:t xml:space="preserve">. </w:t>
      </w:r>
      <w:r>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Pr>
          <w:rFonts w:cs="Arial"/>
          <w:color w:val="000000"/>
          <w:szCs w:val="20"/>
        </w:rPr>
        <w:t>2</w:t>
      </w:r>
    </w:p>
    <w:p w14:paraId="26C24CE4" w14:textId="3E49BF42" w:rsidR="00F6531B" w:rsidRDefault="00F6531B" w:rsidP="00F6531B">
      <w:pPr>
        <w:jc w:val="both"/>
        <w:rPr>
          <w:rFonts w:cs="Arial"/>
          <w:b/>
          <w:bCs/>
          <w:szCs w:val="20"/>
          <w:lang w:eastAsia="sl-SI"/>
        </w:rPr>
      </w:pPr>
    </w:p>
    <w:p w14:paraId="45B6421D" w14:textId="79E565D9" w:rsidR="008635DD" w:rsidRDefault="008635DD" w:rsidP="008635DD">
      <w:pPr>
        <w:jc w:val="both"/>
        <w:rPr>
          <w:rFonts w:cs="Arial"/>
          <w:b/>
          <w:bCs/>
          <w:szCs w:val="20"/>
          <w:lang w:eastAsia="sl-SI"/>
        </w:rPr>
      </w:pPr>
      <w:r w:rsidRPr="008635DD">
        <w:rPr>
          <w:rFonts w:cs="Arial"/>
          <w:b/>
          <w:bCs/>
          <w:szCs w:val="20"/>
          <w:lang w:eastAsia="sl-SI"/>
        </w:rPr>
        <w:t xml:space="preserve">Uredba o obveznem prispevku za promocijo kmetijskih in živilskih proizvodov za zavezance sektorja mesa </w:t>
      </w:r>
    </w:p>
    <w:p w14:paraId="5A2B0D2D" w14:textId="77777777" w:rsidR="008635DD" w:rsidRPr="008635DD" w:rsidRDefault="008635DD" w:rsidP="008635DD">
      <w:pPr>
        <w:jc w:val="both"/>
        <w:rPr>
          <w:rFonts w:cs="Arial"/>
          <w:b/>
          <w:bCs/>
          <w:szCs w:val="20"/>
          <w:lang w:eastAsia="sl-SI"/>
        </w:rPr>
      </w:pPr>
    </w:p>
    <w:p w14:paraId="7C131A50" w14:textId="77777777" w:rsidR="008635DD" w:rsidRPr="008635DD" w:rsidRDefault="008635DD" w:rsidP="008635DD">
      <w:pPr>
        <w:jc w:val="both"/>
        <w:rPr>
          <w:rFonts w:cs="Arial"/>
          <w:szCs w:val="20"/>
          <w:lang w:eastAsia="sl-SI"/>
        </w:rPr>
      </w:pPr>
      <w:r w:rsidRPr="008635DD">
        <w:rPr>
          <w:rFonts w:cs="Arial"/>
          <w:szCs w:val="20"/>
          <w:lang w:eastAsia="sl-SI"/>
        </w:rPr>
        <w:t>Vlada je na današnji dopisni seji izdala Uredbo o obveznem prispevku za promocijo kmetijskih in živilskih proizvodov za zavezance sektorja mesa za obdobje 2023–2025 in jo objavi v Uradnem listu RS.</w:t>
      </w:r>
    </w:p>
    <w:p w14:paraId="03E56FB8" w14:textId="77777777" w:rsidR="008635DD" w:rsidRPr="008635DD" w:rsidRDefault="008635DD" w:rsidP="008635DD">
      <w:pPr>
        <w:jc w:val="both"/>
        <w:rPr>
          <w:rFonts w:cs="Arial"/>
          <w:szCs w:val="20"/>
          <w:lang w:eastAsia="sl-SI"/>
        </w:rPr>
      </w:pPr>
    </w:p>
    <w:p w14:paraId="13FB94AD" w14:textId="77777777" w:rsidR="008635DD" w:rsidRPr="008635DD" w:rsidRDefault="008635DD" w:rsidP="008635DD">
      <w:pPr>
        <w:jc w:val="both"/>
        <w:rPr>
          <w:rFonts w:cs="Arial"/>
          <w:szCs w:val="20"/>
          <w:lang w:eastAsia="sl-SI"/>
        </w:rPr>
      </w:pPr>
      <w:r w:rsidRPr="008635DD">
        <w:rPr>
          <w:rFonts w:cs="Arial"/>
          <w:szCs w:val="20"/>
          <w:lang w:eastAsia="sl-SI"/>
        </w:rPr>
        <w:t>Uredba o obveznem prispevku za promocijo kmetijskih in živilskih proizvodov za zavezance sektorja mesa za obdobje 2023–2025 določa višino prispevka, začetek plačevanja prispevka in obdobje plačevanja prispevka za zavezance iz sektorja mesa, ki so določeni v Zakonu o promociji kmetijskih in živilskih proizvodov, in sicer:</w:t>
      </w:r>
    </w:p>
    <w:p w14:paraId="3583787B" w14:textId="6AA84394" w:rsidR="008635DD" w:rsidRPr="00DC2EA8" w:rsidRDefault="008635DD" w:rsidP="00DC2EA8">
      <w:pPr>
        <w:pStyle w:val="Odstavekseznama"/>
        <w:numPr>
          <w:ilvl w:val="0"/>
          <w:numId w:val="8"/>
        </w:numPr>
        <w:jc w:val="both"/>
        <w:rPr>
          <w:rFonts w:cs="Arial"/>
          <w:szCs w:val="20"/>
          <w:lang w:eastAsia="sl-SI"/>
        </w:rPr>
      </w:pPr>
      <w:r w:rsidRPr="00DC2EA8">
        <w:rPr>
          <w:rFonts w:cs="Arial"/>
          <w:szCs w:val="20"/>
          <w:lang w:eastAsia="sl-SI"/>
        </w:rPr>
        <w:t xml:space="preserve">višino prispevka za goveje meso za govedo do enega leta starosti, ki znaša letno 0,70 evra na glavo živali, ki ga plačata kupec in nosilec kmetijskega gospodarstva, vsak do polovice vrednosti, </w:t>
      </w:r>
    </w:p>
    <w:p w14:paraId="0FB1D30A" w14:textId="0A91AF7A" w:rsidR="008635DD" w:rsidRPr="00DC2EA8" w:rsidRDefault="008635DD" w:rsidP="00DC2EA8">
      <w:pPr>
        <w:pStyle w:val="Odstavekseznama"/>
        <w:numPr>
          <w:ilvl w:val="0"/>
          <w:numId w:val="8"/>
        </w:numPr>
        <w:jc w:val="both"/>
        <w:rPr>
          <w:rFonts w:cs="Arial"/>
          <w:szCs w:val="20"/>
          <w:lang w:eastAsia="sl-SI"/>
        </w:rPr>
      </w:pPr>
      <w:r w:rsidRPr="00DC2EA8">
        <w:rPr>
          <w:rFonts w:cs="Arial"/>
          <w:szCs w:val="20"/>
          <w:lang w:eastAsia="sl-SI"/>
        </w:rPr>
        <w:t xml:space="preserve">višino prispevka za goveje meso za govedo nad prvim letom starosti, ki znaša letno 2,40 evra na glavo živali, ki ga plačata kupec in nosilec kmetijskega gospodarstva, vsak do polovice vrednosti, </w:t>
      </w:r>
    </w:p>
    <w:p w14:paraId="33F9DDA2" w14:textId="4877AFEB" w:rsidR="008635DD" w:rsidRPr="00DC2EA8" w:rsidRDefault="008635DD" w:rsidP="00DC2EA8">
      <w:pPr>
        <w:pStyle w:val="Odstavekseznama"/>
        <w:numPr>
          <w:ilvl w:val="0"/>
          <w:numId w:val="8"/>
        </w:numPr>
        <w:jc w:val="both"/>
        <w:rPr>
          <w:rFonts w:cs="Arial"/>
          <w:szCs w:val="20"/>
          <w:lang w:eastAsia="sl-SI"/>
        </w:rPr>
      </w:pPr>
      <w:r w:rsidRPr="00DC2EA8">
        <w:rPr>
          <w:rFonts w:cs="Arial"/>
          <w:szCs w:val="20"/>
          <w:lang w:eastAsia="sl-SI"/>
        </w:rPr>
        <w:t>višino prispevka za prašičje meso znaša letno 0,40 evra na glavo živali, ki ga plačata kupec in nosilec kmetijskega gospodarstva, vsak do polovice vrednosti,</w:t>
      </w:r>
    </w:p>
    <w:p w14:paraId="13B84FC5" w14:textId="6AF6A58C" w:rsidR="008635DD" w:rsidRPr="00DC2EA8" w:rsidRDefault="008635DD" w:rsidP="00DC2EA8">
      <w:pPr>
        <w:pStyle w:val="Odstavekseznama"/>
        <w:numPr>
          <w:ilvl w:val="0"/>
          <w:numId w:val="8"/>
        </w:numPr>
        <w:jc w:val="both"/>
        <w:rPr>
          <w:rFonts w:cs="Arial"/>
          <w:szCs w:val="20"/>
          <w:lang w:eastAsia="sl-SI"/>
        </w:rPr>
      </w:pPr>
      <w:r w:rsidRPr="00DC2EA8">
        <w:rPr>
          <w:rFonts w:cs="Arial"/>
          <w:szCs w:val="20"/>
          <w:lang w:eastAsia="sl-SI"/>
        </w:rPr>
        <w:t>višino prispevka za perutninsko meso za perutnino, ki znaša letno 0,003 evra na glavo živali, pri čemer se prispevek ne plačuje od zakola puranov. Prispevek plačata kupec in nosilec kmetijskega gospodarstva, vsak do polovice vrednosti,</w:t>
      </w:r>
    </w:p>
    <w:p w14:paraId="20D8E9B9" w14:textId="1D218126" w:rsidR="008635DD" w:rsidRPr="00DC2EA8" w:rsidRDefault="008635DD" w:rsidP="00DC2EA8">
      <w:pPr>
        <w:pStyle w:val="Odstavekseznama"/>
        <w:numPr>
          <w:ilvl w:val="0"/>
          <w:numId w:val="8"/>
        </w:numPr>
        <w:jc w:val="both"/>
        <w:rPr>
          <w:rFonts w:cs="Arial"/>
          <w:szCs w:val="20"/>
          <w:lang w:eastAsia="sl-SI"/>
        </w:rPr>
      </w:pPr>
      <w:r w:rsidRPr="00DC2EA8">
        <w:rPr>
          <w:rFonts w:cs="Arial"/>
          <w:szCs w:val="20"/>
          <w:lang w:eastAsia="sl-SI"/>
        </w:rPr>
        <w:t>obdobje plačevanja prispevka za sektor mesa za goveje, prašičje in perutninsko meso.</w:t>
      </w:r>
    </w:p>
    <w:p w14:paraId="3C8B17AD" w14:textId="77777777" w:rsidR="008635DD" w:rsidRPr="008635DD" w:rsidRDefault="008635DD" w:rsidP="008635DD">
      <w:pPr>
        <w:jc w:val="both"/>
        <w:rPr>
          <w:rFonts w:cs="Arial"/>
          <w:szCs w:val="20"/>
          <w:lang w:eastAsia="sl-SI"/>
        </w:rPr>
      </w:pPr>
    </w:p>
    <w:p w14:paraId="3F182DE6" w14:textId="77777777" w:rsidR="008635DD" w:rsidRPr="008635DD" w:rsidRDefault="008635DD" w:rsidP="008635DD">
      <w:pPr>
        <w:jc w:val="both"/>
        <w:rPr>
          <w:rFonts w:cs="Arial"/>
          <w:szCs w:val="20"/>
          <w:lang w:eastAsia="sl-SI"/>
        </w:rPr>
      </w:pPr>
      <w:r w:rsidRPr="008635DD">
        <w:rPr>
          <w:rFonts w:cs="Arial"/>
          <w:szCs w:val="20"/>
          <w:lang w:eastAsia="sl-SI"/>
        </w:rPr>
        <w:t>Prispevek se bo z objavo Uredbe začel obračunavati prvi dan naslednjega meseca po objavi naznanila o pridobitvi sklepa Evropske Komisije o združljivosti sheme državne pomoči za promocijo. Prispevek za zavezance iz sektorja mesa se bo plačeval za programsko obdobje od 1. januarja 2023 do 31. decembra 2025.</w:t>
      </w:r>
    </w:p>
    <w:p w14:paraId="1DA5B988" w14:textId="77777777" w:rsidR="008635DD" w:rsidRPr="008635DD" w:rsidRDefault="008635DD" w:rsidP="008635DD">
      <w:pPr>
        <w:jc w:val="both"/>
        <w:rPr>
          <w:rFonts w:cs="Arial"/>
          <w:szCs w:val="20"/>
          <w:lang w:eastAsia="sl-SI"/>
        </w:rPr>
      </w:pPr>
    </w:p>
    <w:p w14:paraId="79CB5C3C" w14:textId="77777777" w:rsidR="008635DD" w:rsidRPr="008635DD" w:rsidRDefault="008635DD" w:rsidP="008635DD">
      <w:pPr>
        <w:jc w:val="both"/>
        <w:rPr>
          <w:rFonts w:cs="Arial"/>
          <w:szCs w:val="20"/>
          <w:lang w:eastAsia="sl-SI"/>
        </w:rPr>
      </w:pPr>
      <w:r w:rsidRPr="008635DD">
        <w:rPr>
          <w:rFonts w:cs="Arial"/>
          <w:szCs w:val="20"/>
          <w:lang w:eastAsia="sl-SI"/>
        </w:rPr>
        <w:t xml:space="preserve">S ponovno vključitvijo sektorja mesa v novo triletno programsko obdobje 2023 do 2025 je treba sprejeti novo uredbo, ki določa obdobje plačevanja prispevka  in višino prispevka za sektor mesa za novo programsko obdobje. </w:t>
      </w:r>
    </w:p>
    <w:p w14:paraId="099E7518" w14:textId="77777777" w:rsidR="008635DD" w:rsidRPr="008635DD" w:rsidRDefault="008635DD" w:rsidP="008635DD">
      <w:pPr>
        <w:jc w:val="both"/>
        <w:rPr>
          <w:rFonts w:cs="Arial"/>
          <w:szCs w:val="20"/>
          <w:lang w:eastAsia="sl-SI"/>
        </w:rPr>
      </w:pPr>
    </w:p>
    <w:p w14:paraId="728887B7" w14:textId="1EFEC09C" w:rsidR="00923E78" w:rsidRPr="008635DD" w:rsidRDefault="008635DD" w:rsidP="008635DD">
      <w:pPr>
        <w:jc w:val="both"/>
        <w:rPr>
          <w:rFonts w:cs="Arial"/>
          <w:szCs w:val="20"/>
          <w:lang w:eastAsia="sl-SI"/>
        </w:rPr>
      </w:pPr>
      <w:r w:rsidRPr="008635DD">
        <w:rPr>
          <w:rFonts w:cs="Arial"/>
          <w:szCs w:val="20"/>
          <w:lang w:eastAsia="sl-SI"/>
        </w:rPr>
        <w:t>Vir: Ministrstvo za kmetijstvo, gozdarstvo in prehrano</w:t>
      </w:r>
    </w:p>
    <w:p w14:paraId="7ACB73DC" w14:textId="77777777" w:rsidR="00923E78" w:rsidRPr="00923E78" w:rsidRDefault="00923E78" w:rsidP="00923E78">
      <w:pPr>
        <w:jc w:val="both"/>
        <w:rPr>
          <w:rFonts w:cs="Arial"/>
          <w:b/>
          <w:bCs/>
          <w:szCs w:val="20"/>
          <w:lang w:eastAsia="sl-SI"/>
        </w:rPr>
      </w:pPr>
    </w:p>
    <w:p w14:paraId="1366CDAE" w14:textId="11D643FF" w:rsidR="00E43F55" w:rsidRPr="00E43F55" w:rsidRDefault="00E43F55" w:rsidP="00E43F55">
      <w:pPr>
        <w:jc w:val="both"/>
        <w:rPr>
          <w:rFonts w:cs="Arial"/>
          <w:b/>
          <w:bCs/>
          <w:szCs w:val="20"/>
          <w:lang w:eastAsia="sl-SI"/>
        </w:rPr>
      </w:pPr>
      <w:r w:rsidRPr="00E43F55">
        <w:rPr>
          <w:rFonts w:cs="Arial"/>
          <w:b/>
          <w:bCs/>
          <w:szCs w:val="20"/>
          <w:lang w:eastAsia="sl-SI"/>
        </w:rPr>
        <w:t>Izdana sprememba Uredbe o vodovarstvenem območju za vodno telo vodonosnika Ljubljanskega polja</w:t>
      </w:r>
    </w:p>
    <w:p w14:paraId="69ED5377" w14:textId="77777777" w:rsidR="00E43F55" w:rsidRPr="00E43F55" w:rsidRDefault="00E43F55" w:rsidP="00E43F55">
      <w:pPr>
        <w:jc w:val="both"/>
        <w:rPr>
          <w:rFonts w:cs="Arial"/>
          <w:szCs w:val="20"/>
          <w:lang w:eastAsia="sl-SI"/>
        </w:rPr>
      </w:pPr>
    </w:p>
    <w:p w14:paraId="50A7F277" w14:textId="77777777" w:rsidR="00E43F55" w:rsidRPr="00E43F55" w:rsidRDefault="00E43F55" w:rsidP="00E43F55">
      <w:pPr>
        <w:jc w:val="both"/>
        <w:rPr>
          <w:rFonts w:cs="Arial"/>
          <w:szCs w:val="20"/>
          <w:lang w:eastAsia="sl-SI"/>
        </w:rPr>
      </w:pPr>
      <w:r w:rsidRPr="00E43F55">
        <w:rPr>
          <w:rFonts w:cs="Arial"/>
          <w:szCs w:val="20"/>
          <w:lang w:eastAsia="sl-SI"/>
        </w:rPr>
        <w:t>Vlada je izdala Uredbo o spremembi Uredbe o vodovarstvenem območju za vodno telo vodonosnika Ljubljanskega polja.</w:t>
      </w:r>
    </w:p>
    <w:p w14:paraId="560DB132" w14:textId="77777777" w:rsidR="00E43F55" w:rsidRPr="00E43F55" w:rsidRDefault="00E43F55" w:rsidP="00E43F55">
      <w:pPr>
        <w:jc w:val="both"/>
        <w:rPr>
          <w:rFonts w:cs="Arial"/>
          <w:szCs w:val="20"/>
          <w:lang w:eastAsia="sl-SI"/>
        </w:rPr>
      </w:pPr>
      <w:r w:rsidRPr="00E43F55">
        <w:rPr>
          <w:rFonts w:cs="Arial"/>
          <w:szCs w:val="20"/>
          <w:lang w:eastAsia="sl-SI"/>
        </w:rPr>
        <w:t xml:space="preserve">Predlog sprememb uredbe je pripravljen na podlagi pobude Ministrstva za kulturo (MK) - da je treba površino, ki bo namenjena novemu Zgodovinskemu arhivu Ljubljana, opredeliti kot zazidane površine in ne kot bruto tlorisne površine. V uredbi se je tako spremenil tretji odstavek 13. člena, v točki 3., podtočki a), na način, da je velikost stavbe do največ 2000 m2 zazidane površine. </w:t>
      </w:r>
    </w:p>
    <w:p w14:paraId="6653AF91" w14:textId="77777777" w:rsidR="00E43F55" w:rsidRPr="00E43F55" w:rsidRDefault="00E43F55" w:rsidP="00E43F55">
      <w:pPr>
        <w:jc w:val="both"/>
        <w:rPr>
          <w:rFonts w:cs="Arial"/>
          <w:szCs w:val="20"/>
          <w:lang w:eastAsia="sl-SI"/>
        </w:rPr>
      </w:pPr>
    </w:p>
    <w:p w14:paraId="6A28ACD7" w14:textId="338336CD" w:rsidR="00923E78" w:rsidRPr="00E43F55" w:rsidRDefault="00E43F55" w:rsidP="00E43F55">
      <w:pPr>
        <w:jc w:val="both"/>
        <w:rPr>
          <w:rFonts w:cs="Arial"/>
          <w:szCs w:val="20"/>
          <w:lang w:eastAsia="sl-SI"/>
        </w:rPr>
      </w:pPr>
      <w:r w:rsidRPr="00E43F55">
        <w:rPr>
          <w:rFonts w:cs="Arial"/>
          <w:szCs w:val="20"/>
          <w:lang w:eastAsia="sl-SI"/>
        </w:rPr>
        <w:t>Vir: Ministrstvo za okolje in prostor</w:t>
      </w:r>
    </w:p>
    <w:p w14:paraId="357B9FEE" w14:textId="77777777" w:rsidR="00923E78" w:rsidRPr="00923E78" w:rsidRDefault="00923E78" w:rsidP="00923E78">
      <w:pPr>
        <w:jc w:val="both"/>
        <w:rPr>
          <w:rFonts w:cs="Arial"/>
          <w:b/>
          <w:bCs/>
          <w:szCs w:val="20"/>
          <w:lang w:eastAsia="sl-SI"/>
        </w:rPr>
      </w:pPr>
    </w:p>
    <w:p w14:paraId="41B727FF" w14:textId="77216A9F" w:rsidR="003A7327" w:rsidRPr="003A7327" w:rsidRDefault="003A7327" w:rsidP="003A7327">
      <w:pPr>
        <w:jc w:val="both"/>
        <w:rPr>
          <w:rFonts w:cs="Arial"/>
          <w:b/>
          <w:bCs/>
          <w:szCs w:val="20"/>
          <w:lang w:eastAsia="sl-SI"/>
        </w:rPr>
      </w:pPr>
      <w:r>
        <w:rPr>
          <w:rFonts w:cs="Arial"/>
          <w:b/>
          <w:bCs/>
          <w:szCs w:val="20"/>
          <w:lang w:eastAsia="sl-SI"/>
        </w:rPr>
        <w:t>S</w:t>
      </w:r>
      <w:r w:rsidRPr="003A7327">
        <w:rPr>
          <w:rFonts w:cs="Arial"/>
          <w:b/>
          <w:bCs/>
          <w:szCs w:val="20"/>
          <w:lang w:eastAsia="sl-SI"/>
        </w:rPr>
        <w:t>prememb</w:t>
      </w:r>
      <w:r>
        <w:rPr>
          <w:rFonts w:cs="Arial"/>
          <w:b/>
          <w:bCs/>
          <w:szCs w:val="20"/>
          <w:lang w:eastAsia="sl-SI"/>
        </w:rPr>
        <w:t>e</w:t>
      </w:r>
      <w:r w:rsidRPr="003A7327">
        <w:rPr>
          <w:rFonts w:cs="Arial"/>
          <w:b/>
          <w:bCs/>
          <w:szCs w:val="20"/>
          <w:lang w:eastAsia="sl-SI"/>
        </w:rPr>
        <w:t xml:space="preserve"> </w:t>
      </w:r>
      <w:r>
        <w:rPr>
          <w:rFonts w:cs="Arial"/>
          <w:b/>
          <w:bCs/>
          <w:szCs w:val="20"/>
          <w:lang w:eastAsia="sl-SI"/>
        </w:rPr>
        <w:t>s</w:t>
      </w:r>
      <w:r w:rsidRPr="003A7327">
        <w:rPr>
          <w:rFonts w:cs="Arial"/>
          <w:b/>
          <w:bCs/>
          <w:szCs w:val="20"/>
          <w:lang w:eastAsia="sl-SI"/>
        </w:rPr>
        <w:t>klepa o uvedbi pribitka k cestnini na določenih odsekih cestninskih cest</w:t>
      </w:r>
    </w:p>
    <w:p w14:paraId="2A864A77" w14:textId="77777777" w:rsidR="003A7327" w:rsidRPr="003A7327" w:rsidRDefault="003A7327" w:rsidP="003A7327">
      <w:pPr>
        <w:jc w:val="both"/>
        <w:rPr>
          <w:rFonts w:cs="Arial"/>
          <w:b/>
          <w:bCs/>
          <w:szCs w:val="20"/>
          <w:lang w:eastAsia="sl-SI"/>
        </w:rPr>
      </w:pPr>
    </w:p>
    <w:p w14:paraId="7CE36F20" w14:textId="32FCAFFA" w:rsidR="003A7327" w:rsidRPr="003A7327" w:rsidRDefault="003A7327" w:rsidP="003A7327">
      <w:pPr>
        <w:jc w:val="both"/>
        <w:rPr>
          <w:rFonts w:cs="Arial"/>
          <w:szCs w:val="20"/>
          <w:lang w:eastAsia="sl-SI"/>
        </w:rPr>
      </w:pPr>
      <w:r w:rsidRPr="003A7327">
        <w:rPr>
          <w:rFonts w:cs="Arial"/>
          <w:szCs w:val="20"/>
          <w:lang w:eastAsia="sl-SI"/>
        </w:rPr>
        <w:t xml:space="preserve">Vlada je sprejela Sklep o spremembah Sklepa o uvedbi pribitka k cestnini na določenih odsekih cestninskih cest. Skladno z določbami Zakona o izgradnji, upravljanju in gospodarjenju z drugim tirom železniške proge Divača – Koper in na osnovi Sklepa o uvedbi pribitka k cestnini na določenih odsekih cestninskih cest se od 1. </w:t>
      </w:r>
      <w:r w:rsidR="005857B4">
        <w:rPr>
          <w:rFonts w:cs="Arial"/>
          <w:szCs w:val="20"/>
          <w:lang w:eastAsia="sl-SI"/>
        </w:rPr>
        <w:t>januarja</w:t>
      </w:r>
      <w:r w:rsidRPr="003A7327">
        <w:rPr>
          <w:rFonts w:cs="Arial"/>
          <w:szCs w:val="20"/>
          <w:lang w:eastAsia="sl-SI"/>
        </w:rPr>
        <w:t xml:space="preserve"> 2019 naprej zaračunava pribitek k cestnini na določenih odsekih cestninskih cest. </w:t>
      </w:r>
    </w:p>
    <w:p w14:paraId="3C2B0BCC" w14:textId="77777777" w:rsidR="003A7327" w:rsidRPr="003A7327" w:rsidRDefault="003A7327" w:rsidP="003A7327">
      <w:pPr>
        <w:jc w:val="both"/>
        <w:rPr>
          <w:rFonts w:cs="Arial"/>
          <w:szCs w:val="20"/>
          <w:lang w:eastAsia="sl-SI"/>
        </w:rPr>
      </w:pPr>
    </w:p>
    <w:p w14:paraId="5A705D9C" w14:textId="77777777" w:rsidR="003A7327" w:rsidRPr="003A7327" w:rsidRDefault="003A7327" w:rsidP="003A7327">
      <w:pPr>
        <w:jc w:val="both"/>
        <w:rPr>
          <w:rFonts w:cs="Arial"/>
          <w:szCs w:val="20"/>
          <w:lang w:eastAsia="sl-SI"/>
        </w:rPr>
      </w:pPr>
      <w:r w:rsidRPr="003A7327">
        <w:rPr>
          <w:rFonts w:cs="Arial"/>
          <w:szCs w:val="20"/>
          <w:lang w:eastAsia="sl-SI"/>
        </w:rPr>
        <w:t>Znesek pribitka se vsako leto določa na podlagi podatkov o višini ponderirane povprečne infrastrukturne pristojbine, ki jih zagotovi družba DARS, d. d., kot upravljavec omrežja cestninskih cest. Skladno z navedenim je upravljavec cestninskih cest zagotovil ažurirane podatke o povprečni ponderirani infrastrukturni pristojbini realizirani v letu 2020. Glede na zagotovljene podatke se s predlaganimi spremembami sklepa ustrezno prilagaja višino pribitka k cestnini na določenih odsekih cestninskih cest, in sicer gre za malenkostno znižanje višine pribitka k cestnini.</w:t>
      </w:r>
    </w:p>
    <w:p w14:paraId="23C414F9" w14:textId="77777777" w:rsidR="003A7327" w:rsidRPr="003A7327" w:rsidRDefault="003A7327" w:rsidP="003A7327">
      <w:pPr>
        <w:jc w:val="both"/>
        <w:rPr>
          <w:rFonts w:cs="Arial"/>
          <w:szCs w:val="20"/>
          <w:lang w:eastAsia="sl-SI"/>
        </w:rPr>
      </w:pPr>
    </w:p>
    <w:p w14:paraId="7FD6D377" w14:textId="34654C21" w:rsidR="003A7327" w:rsidRPr="003A7327" w:rsidRDefault="003A7327" w:rsidP="003A7327">
      <w:pPr>
        <w:jc w:val="both"/>
        <w:rPr>
          <w:rFonts w:cs="Arial"/>
          <w:szCs w:val="20"/>
          <w:lang w:eastAsia="sl-SI"/>
        </w:rPr>
      </w:pPr>
      <w:r w:rsidRPr="003A7327">
        <w:rPr>
          <w:rFonts w:cs="Arial"/>
          <w:szCs w:val="20"/>
          <w:lang w:eastAsia="sl-SI"/>
        </w:rPr>
        <w:t>Vir: Ministrstvo za infrastrukturo</w:t>
      </w:r>
    </w:p>
    <w:p w14:paraId="713BCAA8" w14:textId="77777777" w:rsidR="003A7327" w:rsidRDefault="003A7327" w:rsidP="007A4F0B">
      <w:pPr>
        <w:jc w:val="both"/>
        <w:rPr>
          <w:rFonts w:cs="Arial"/>
          <w:b/>
          <w:bCs/>
          <w:szCs w:val="20"/>
          <w:lang w:eastAsia="sl-SI"/>
        </w:rPr>
      </w:pPr>
    </w:p>
    <w:p w14:paraId="257E1D3C" w14:textId="50C79A8A" w:rsidR="0012203E" w:rsidRPr="0012203E" w:rsidRDefault="0012203E" w:rsidP="0012203E">
      <w:pPr>
        <w:jc w:val="both"/>
        <w:rPr>
          <w:rFonts w:cs="Arial"/>
          <w:b/>
          <w:bCs/>
          <w:szCs w:val="20"/>
          <w:lang w:eastAsia="sl-SI"/>
        </w:rPr>
      </w:pPr>
      <w:r w:rsidRPr="0012203E">
        <w:rPr>
          <w:rFonts w:cs="Arial"/>
          <w:b/>
          <w:bCs/>
          <w:szCs w:val="20"/>
          <w:lang w:eastAsia="sl-SI"/>
        </w:rPr>
        <w:t>Vlada podala soglasje k spremembam akta o cestninjenju</w:t>
      </w:r>
    </w:p>
    <w:p w14:paraId="72344C7A" w14:textId="77777777" w:rsidR="0012203E" w:rsidRPr="0012203E" w:rsidRDefault="0012203E" w:rsidP="0012203E">
      <w:pPr>
        <w:jc w:val="both"/>
        <w:rPr>
          <w:rFonts w:cs="Arial"/>
          <w:b/>
          <w:bCs/>
          <w:szCs w:val="20"/>
          <w:lang w:eastAsia="sl-SI"/>
        </w:rPr>
      </w:pPr>
    </w:p>
    <w:p w14:paraId="5B66E1AD" w14:textId="77777777" w:rsidR="0012203E" w:rsidRPr="0012203E" w:rsidRDefault="0012203E" w:rsidP="0012203E">
      <w:pPr>
        <w:jc w:val="both"/>
        <w:rPr>
          <w:rFonts w:cs="Arial"/>
          <w:szCs w:val="20"/>
          <w:lang w:eastAsia="sl-SI"/>
        </w:rPr>
      </w:pPr>
      <w:r w:rsidRPr="0012203E">
        <w:rPr>
          <w:rFonts w:cs="Arial"/>
          <w:szCs w:val="20"/>
          <w:lang w:eastAsia="sl-SI"/>
        </w:rPr>
        <w:t>Vlada podala soglasje k Spremembam Splošnega akta o cestninjenju, ki ga je sprejela uprava družbe DARS, d. d., dne 6. aprila 2022. Splošni akt o cestninjenju podrobneje ureja vprašanja v zvezi s cestninjenjem vozil, katerih največja dovoljena masa presega 3.500 kg in vozil, katerih največja dovoljena masa ne presega 3.500 kg.</w:t>
      </w:r>
    </w:p>
    <w:p w14:paraId="14EC7F58" w14:textId="77777777" w:rsidR="0012203E" w:rsidRPr="0012203E" w:rsidRDefault="0012203E" w:rsidP="0012203E">
      <w:pPr>
        <w:jc w:val="both"/>
        <w:rPr>
          <w:rFonts w:cs="Arial"/>
          <w:szCs w:val="20"/>
          <w:lang w:eastAsia="sl-SI"/>
        </w:rPr>
      </w:pPr>
    </w:p>
    <w:p w14:paraId="4FDE101C" w14:textId="77777777" w:rsidR="0012203E" w:rsidRPr="0012203E" w:rsidRDefault="0012203E" w:rsidP="0012203E">
      <w:pPr>
        <w:jc w:val="both"/>
        <w:rPr>
          <w:rFonts w:cs="Arial"/>
          <w:szCs w:val="20"/>
          <w:lang w:eastAsia="sl-SI"/>
        </w:rPr>
      </w:pPr>
      <w:r w:rsidRPr="0012203E">
        <w:rPr>
          <w:rFonts w:cs="Arial"/>
          <w:szCs w:val="20"/>
          <w:lang w:eastAsia="sl-SI"/>
        </w:rPr>
        <w:t>Tokratna novela splošnega akta je povezana s prilagoditvijo nekaterih uveljavljenih rešitev, ki so se na področju cestninjenja z elektronsko vinjete v praksi pokazale za problematične oziroma je mogoče z njihovo nadgradnjo olajšati in pospešiti samo postopanje upravljavca cestninskih cest  (npr. v zvezi s postopki za uveljavljenje pravice do povračila sorazmernega dela vrednosti elektronske vinjete), pa tudi z uvedbo inšpekcijskega postopka Informacijskega pooblaščenca zoper upravljavca cestninskih cest v zvezi s spletnim orodjem za preverjanje obstoja veljavne elektronske vinjete za posamezno vozilo cestninskega zavezanca in potekom njene veljavnosti. Upravljavec cestninskih cest je na podlagi ustne odredbe Informacijskega pooblaščenca omenjeno spletno orodje že umaknil, sedaj pa se temu stanju prilagaja še pravna ureditev. Kljub temu imajo cestninski zavezanci še vedno možnost preveritve obstoja veljavne elektronske vinjete in poteka njene veljavnosti v okviru nakupa elektronske vinjete v spletni trgovini upravljavca cestninskih cest in na posameznih prodajnih mestih, torej pri pogodbenih partnerjih upravljavca cestninskih cest za prodajo elektronskih vinjet.</w:t>
      </w:r>
    </w:p>
    <w:p w14:paraId="151CE468" w14:textId="77777777" w:rsidR="0012203E" w:rsidRPr="0012203E" w:rsidRDefault="0012203E" w:rsidP="0012203E">
      <w:pPr>
        <w:jc w:val="both"/>
        <w:rPr>
          <w:rFonts w:cs="Arial"/>
          <w:szCs w:val="20"/>
          <w:lang w:eastAsia="sl-SI"/>
        </w:rPr>
      </w:pPr>
    </w:p>
    <w:p w14:paraId="567D41FD" w14:textId="10732248" w:rsidR="00923E78" w:rsidRPr="0012203E" w:rsidRDefault="0012203E" w:rsidP="0012203E">
      <w:pPr>
        <w:jc w:val="both"/>
        <w:rPr>
          <w:rFonts w:cs="Arial"/>
          <w:szCs w:val="20"/>
          <w:lang w:eastAsia="sl-SI"/>
        </w:rPr>
      </w:pPr>
      <w:r w:rsidRPr="0012203E">
        <w:rPr>
          <w:rFonts w:cs="Arial"/>
          <w:szCs w:val="20"/>
          <w:lang w:eastAsia="sl-SI"/>
        </w:rPr>
        <w:t>Vir: Ministrstvo za infrastrukturo</w:t>
      </w:r>
    </w:p>
    <w:p w14:paraId="1E5977D4" w14:textId="77777777" w:rsidR="00923E78" w:rsidRPr="00923E78" w:rsidRDefault="00923E78" w:rsidP="00923E78">
      <w:pPr>
        <w:jc w:val="both"/>
        <w:rPr>
          <w:rFonts w:cs="Arial"/>
          <w:b/>
          <w:bCs/>
          <w:szCs w:val="20"/>
          <w:lang w:eastAsia="sl-SI"/>
        </w:rPr>
      </w:pPr>
    </w:p>
    <w:p w14:paraId="3FAC7168" w14:textId="70FE0CBA" w:rsidR="006C2AC4" w:rsidRPr="006C2AC4" w:rsidRDefault="006C2AC4" w:rsidP="006C2AC4">
      <w:pPr>
        <w:jc w:val="both"/>
        <w:rPr>
          <w:rFonts w:cs="Arial"/>
          <w:b/>
          <w:bCs/>
          <w:szCs w:val="20"/>
          <w:lang w:eastAsia="sl-SI"/>
        </w:rPr>
      </w:pPr>
      <w:r w:rsidRPr="006C2AC4">
        <w:rPr>
          <w:rFonts w:cs="Arial"/>
          <w:b/>
          <w:bCs/>
          <w:szCs w:val="20"/>
          <w:lang w:eastAsia="sl-SI"/>
        </w:rPr>
        <w:t>Seznanitev vlade s Pravili o nagrajevanju in dodatnih bonitetah članov poslovodstva DRI</w:t>
      </w:r>
    </w:p>
    <w:p w14:paraId="55877607" w14:textId="77777777" w:rsidR="006C2AC4" w:rsidRPr="006C2AC4" w:rsidRDefault="006C2AC4" w:rsidP="006C2AC4">
      <w:pPr>
        <w:jc w:val="both"/>
        <w:rPr>
          <w:rFonts w:cs="Arial"/>
          <w:b/>
          <w:bCs/>
          <w:szCs w:val="20"/>
          <w:lang w:eastAsia="sl-SI"/>
        </w:rPr>
      </w:pPr>
    </w:p>
    <w:p w14:paraId="48C7BCD0" w14:textId="77777777" w:rsidR="006C2AC4" w:rsidRPr="006C2AC4" w:rsidRDefault="006C2AC4" w:rsidP="006C2AC4">
      <w:pPr>
        <w:jc w:val="both"/>
        <w:rPr>
          <w:rFonts w:cs="Arial"/>
          <w:szCs w:val="20"/>
          <w:lang w:eastAsia="sl-SI"/>
        </w:rPr>
      </w:pPr>
      <w:r w:rsidRPr="006C2AC4">
        <w:rPr>
          <w:rFonts w:cs="Arial"/>
          <w:szCs w:val="20"/>
          <w:lang w:eastAsia="sl-SI"/>
        </w:rPr>
        <w:t xml:space="preserve">Vlada se je seznanila s Pravili o nagrajevanju in dodatnih bonitetah članov poslovodstva DRI upravljanje investicij, Družba za razvoj infrastrukture, </w:t>
      </w:r>
      <w:proofErr w:type="spellStart"/>
      <w:r w:rsidRPr="006C2AC4">
        <w:rPr>
          <w:rFonts w:cs="Arial"/>
          <w:szCs w:val="20"/>
          <w:lang w:eastAsia="sl-SI"/>
        </w:rPr>
        <w:t>d.o.o</w:t>
      </w:r>
      <w:proofErr w:type="spellEnd"/>
      <w:r w:rsidRPr="006C2AC4">
        <w:rPr>
          <w:rFonts w:cs="Arial"/>
          <w:szCs w:val="20"/>
          <w:lang w:eastAsia="sl-SI"/>
        </w:rPr>
        <w:t>., ki jih je nadzorni svet družbe sprejel na svoji 63. redni seji dne 30. septembra 2021.</w:t>
      </w:r>
    </w:p>
    <w:p w14:paraId="31A36256" w14:textId="77777777" w:rsidR="006C2AC4" w:rsidRPr="006C2AC4" w:rsidRDefault="006C2AC4" w:rsidP="006C2AC4">
      <w:pPr>
        <w:jc w:val="both"/>
        <w:rPr>
          <w:rFonts w:cs="Arial"/>
          <w:szCs w:val="20"/>
          <w:lang w:eastAsia="sl-SI"/>
        </w:rPr>
      </w:pPr>
    </w:p>
    <w:p w14:paraId="640050DC" w14:textId="77777777" w:rsidR="006C2AC4" w:rsidRPr="006C2AC4" w:rsidRDefault="006C2AC4" w:rsidP="006C2AC4">
      <w:pPr>
        <w:jc w:val="both"/>
        <w:rPr>
          <w:rFonts w:cs="Arial"/>
          <w:szCs w:val="20"/>
          <w:lang w:eastAsia="sl-SI"/>
        </w:rPr>
      </w:pPr>
      <w:r w:rsidRPr="006C2AC4">
        <w:rPr>
          <w:rFonts w:cs="Arial"/>
          <w:szCs w:val="20"/>
          <w:lang w:eastAsia="sl-SI"/>
        </w:rPr>
        <w:t xml:space="preserve">Vlada Republike Slovenije kot ustanoviteljica in edina družbenica družbe DRI upravljanje investicij </w:t>
      </w:r>
      <w:proofErr w:type="spellStart"/>
      <w:r w:rsidRPr="006C2AC4">
        <w:rPr>
          <w:rFonts w:cs="Arial"/>
          <w:szCs w:val="20"/>
          <w:lang w:eastAsia="sl-SI"/>
        </w:rPr>
        <w:t>d.o.o</w:t>
      </w:r>
      <w:proofErr w:type="spellEnd"/>
      <w:r w:rsidRPr="006C2AC4">
        <w:rPr>
          <w:rFonts w:cs="Arial"/>
          <w:szCs w:val="20"/>
          <w:lang w:eastAsia="sl-SI"/>
        </w:rPr>
        <w:t>. nastopa v vlogi skupščine družbe. Na podlagi Zakona o prejemkih poslovodnih oseb v gospodarskih družbah v večinski lasti Republike Slovenije in samoupravnih lokalnih skupnost se vlada kot skupščina družbe seznanja s pravili o nagrajevanju in dodatnih bonitetah članov poslovodstva družbe DRI.</w:t>
      </w:r>
    </w:p>
    <w:p w14:paraId="7B2AFD08" w14:textId="77777777" w:rsidR="006C2AC4" w:rsidRPr="006C2AC4" w:rsidRDefault="006C2AC4" w:rsidP="006C2AC4">
      <w:pPr>
        <w:jc w:val="both"/>
        <w:rPr>
          <w:rFonts w:cs="Arial"/>
          <w:szCs w:val="20"/>
          <w:lang w:eastAsia="sl-SI"/>
        </w:rPr>
      </w:pPr>
    </w:p>
    <w:p w14:paraId="77929DCD" w14:textId="3B3A1870" w:rsidR="00923E78" w:rsidRPr="006C2AC4" w:rsidRDefault="006C2AC4" w:rsidP="006C2AC4">
      <w:pPr>
        <w:jc w:val="both"/>
        <w:rPr>
          <w:rFonts w:cs="Arial"/>
          <w:szCs w:val="20"/>
          <w:lang w:eastAsia="sl-SI"/>
        </w:rPr>
      </w:pPr>
      <w:r w:rsidRPr="006C2AC4">
        <w:rPr>
          <w:rFonts w:cs="Arial"/>
          <w:szCs w:val="20"/>
          <w:lang w:eastAsia="sl-SI"/>
        </w:rPr>
        <w:lastRenderedPageBreak/>
        <w:t>Vir: Ministrstvo za infrastrukturo</w:t>
      </w:r>
    </w:p>
    <w:p w14:paraId="4EBCA919" w14:textId="77777777" w:rsidR="00923E78" w:rsidRPr="006C2AC4" w:rsidRDefault="00923E78" w:rsidP="00923E78">
      <w:pPr>
        <w:jc w:val="both"/>
        <w:rPr>
          <w:rFonts w:cs="Arial"/>
          <w:szCs w:val="20"/>
          <w:lang w:eastAsia="sl-SI"/>
        </w:rPr>
      </w:pPr>
    </w:p>
    <w:p w14:paraId="21F02C0D" w14:textId="513B3BBD" w:rsidR="00FF6CDC" w:rsidRPr="00FF6CDC" w:rsidRDefault="00FF6CDC" w:rsidP="00FF6CDC">
      <w:pPr>
        <w:jc w:val="both"/>
        <w:rPr>
          <w:rFonts w:cs="Arial"/>
          <w:b/>
          <w:bCs/>
          <w:szCs w:val="20"/>
          <w:lang w:eastAsia="sl-SI"/>
        </w:rPr>
      </w:pPr>
      <w:r w:rsidRPr="00FF6CDC">
        <w:rPr>
          <w:rFonts w:cs="Arial"/>
          <w:b/>
          <w:bCs/>
          <w:szCs w:val="20"/>
          <w:lang w:eastAsia="sl-SI"/>
        </w:rPr>
        <w:t>Vlada Republike Slovenije je sprejela Letni načrt razpolaganja z lipicanci za leto 2022</w:t>
      </w:r>
    </w:p>
    <w:p w14:paraId="15D6A0ED" w14:textId="77777777" w:rsidR="00FF6CDC" w:rsidRPr="00FF6CDC" w:rsidRDefault="00FF6CDC" w:rsidP="00FF6CDC">
      <w:pPr>
        <w:jc w:val="both"/>
        <w:rPr>
          <w:rFonts w:cs="Arial"/>
          <w:b/>
          <w:bCs/>
          <w:szCs w:val="20"/>
          <w:lang w:eastAsia="sl-SI"/>
        </w:rPr>
      </w:pPr>
    </w:p>
    <w:p w14:paraId="65E87265" w14:textId="251F8B88" w:rsidR="00FF6CDC" w:rsidRPr="00FF6CDC" w:rsidRDefault="00FF6CDC" w:rsidP="00FF6CDC">
      <w:pPr>
        <w:jc w:val="both"/>
        <w:rPr>
          <w:rFonts w:cs="Arial"/>
          <w:szCs w:val="20"/>
          <w:lang w:eastAsia="sl-SI"/>
        </w:rPr>
      </w:pPr>
      <w:r w:rsidRPr="00FF6CDC">
        <w:rPr>
          <w:rFonts w:cs="Arial"/>
          <w:szCs w:val="20"/>
          <w:lang w:eastAsia="sl-SI"/>
        </w:rPr>
        <w:t xml:space="preserve">Kobilarna Lipica </w:t>
      </w:r>
      <w:proofErr w:type="spellStart"/>
      <w:r w:rsidRPr="00FF6CDC">
        <w:rPr>
          <w:rFonts w:cs="Arial"/>
          <w:szCs w:val="20"/>
          <w:lang w:eastAsia="sl-SI"/>
        </w:rPr>
        <w:t>d.o.o</w:t>
      </w:r>
      <w:proofErr w:type="spellEnd"/>
      <w:r w:rsidRPr="00FF6CDC">
        <w:rPr>
          <w:rFonts w:cs="Arial"/>
          <w:szCs w:val="20"/>
          <w:lang w:eastAsia="sl-SI"/>
        </w:rPr>
        <w:t xml:space="preserve">. je v skladu z Zakonom o Kobilarni Lipica pripravila Letni načrt razpolaganja z lipicanskimi konji za leto 2022, iz katerega izhaja, da je v lasti Republike Slovenije 376 konj iz Kobilarne Lipica, od katerih koncesionar – to je kobilarna – skrbi za neposredno 369 konj. Ti konji se delijo v kategorije plemenskih žrebcev, plemenskih kobil, konj naraščaja do 4. leta starosti, žrebet letnika 2021 in drugih konj. </w:t>
      </w:r>
    </w:p>
    <w:p w14:paraId="217985C7" w14:textId="77777777" w:rsidR="00FF6CDC" w:rsidRPr="00FF6CDC" w:rsidRDefault="00FF6CDC" w:rsidP="00FF6CDC">
      <w:pPr>
        <w:jc w:val="both"/>
        <w:rPr>
          <w:rFonts w:cs="Arial"/>
          <w:szCs w:val="20"/>
          <w:lang w:eastAsia="sl-SI"/>
        </w:rPr>
      </w:pPr>
    </w:p>
    <w:p w14:paraId="4E0DEB26" w14:textId="77777777" w:rsidR="00FF6CDC" w:rsidRPr="00FF6CDC" w:rsidRDefault="00FF6CDC" w:rsidP="00FF6CDC">
      <w:pPr>
        <w:jc w:val="both"/>
        <w:rPr>
          <w:rFonts w:cs="Arial"/>
          <w:szCs w:val="20"/>
          <w:lang w:eastAsia="sl-SI"/>
        </w:rPr>
      </w:pPr>
      <w:r w:rsidRPr="00FF6CDC">
        <w:rPr>
          <w:rFonts w:cs="Arial"/>
          <w:szCs w:val="20"/>
          <w:lang w:eastAsia="sl-SI"/>
        </w:rPr>
        <w:t>V letu 2022 koncesionar predvideva izvedbo prenosa lastninske pravice iz Republike Slovenije na drugo pravno osebo za 62 konj, ki so razdeljeni v dve skupini. V prvi skupini so konji, ki zaradi starosti, poškodb ali trajnih bolezenskih stanj niso več primerni za delo ali plemensko rabo ter so izločeni iz uporabe, zato je njihova prodajna vrednost nižja, v višini 250 evrov. Teh konjev je 19.</w:t>
      </w:r>
    </w:p>
    <w:p w14:paraId="0702F211" w14:textId="77777777" w:rsidR="00FF6CDC" w:rsidRPr="00FF6CDC" w:rsidRDefault="00FF6CDC" w:rsidP="00FF6CDC">
      <w:pPr>
        <w:jc w:val="both"/>
        <w:rPr>
          <w:rFonts w:cs="Arial"/>
          <w:szCs w:val="20"/>
          <w:lang w:eastAsia="sl-SI"/>
        </w:rPr>
      </w:pPr>
    </w:p>
    <w:p w14:paraId="170D20D0" w14:textId="77777777" w:rsidR="00FF6CDC" w:rsidRPr="00FF6CDC" w:rsidRDefault="00FF6CDC" w:rsidP="00FF6CDC">
      <w:pPr>
        <w:jc w:val="both"/>
        <w:rPr>
          <w:rFonts w:cs="Arial"/>
          <w:szCs w:val="20"/>
          <w:lang w:eastAsia="sl-SI"/>
        </w:rPr>
      </w:pPr>
      <w:r w:rsidRPr="00FF6CDC">
        <w:rPr>
          <w:rFonts w:cs="Arial"/>
          <w:szCs w:val="20"/>
          <w:lang w:eastAsia="sl-SI"/>
        </w:rPr>
        <w:t xml:space="preserve">V drugi skupini pa so konji, namenjeni prodaji. Ti konji so primerni bodisi za delovno ali plemensko rabo, pa jih Kobilarna Lipica ne potrebuje za izvajanje rejskega programa in ne za programe jahalne šole oziroma za vprege. Teh konjev pa je 43. Vrednotenje konj, namenjenih prodaji, je opravila strokovna komisija, ki jo sestavljajo Ladislav </w:t>
      </w:r>
      <w:proofErr w:type="spellStart"/>
      <w:r w:rsidRPr="00FF6CDC">
        <w:rPr>
          <w:rFonts w:cs="Arial"/>
          <w:szCs w:val="20"/>
          <w:lang w:eastAsia="sl-SI"/>
        </w:rPr>
        <w:t>Fabris</w:t>
      </w:r>
      <w:proofErr w:type="spellEnd"/>
      <w:r w:rsidRPr="00FF6CDC">
        <w:rPr>
          <w:rFonts w:cs="Arial"/>
          <w:szCs w:val="20"/>
          <w:lang w:eastAsia="sl-SI"/>
        </w:rPr>
        <w:t>, Franc Slavič in Irena Drobnič, pri določanju prodajne vrednosti pa je ta upoštevala različne kriterije, kot so starost konja, konstitucija in lastnosti zunanjosti, njegovo zdravstveno stanje, nivo znanja, delovna sposobnost in uporabnost ter rejski plemenski potencial.</w:t>
      </w:r>
    </w:p>
    <w:p w14:paraId="6DB08C99" w14:textId="77777777" w:rsidR="00FF6CDC" w:rsidRPr="00FF6CDC" w:rsidRDefault="00FF6CDC" w:rsidP="00FF6CDC">
      <w:pPr>
        <w:jc w:val="both"/>
        <w:rPr>
          <w:rFonts w:cs="Arial"/>
          <w:szCs w:val="20"/>
          <w:lang w:eastAsia="sl-SI"/>
        </w:rPr>
      </w:pPr>
    </w:p>
    <w:p w14:paraId="290EBCE6" w14:textId="77777777" w:rsidR="00FF6CDC" w:rsidRPr="00FF6CDC" w:rsidRDefault="00FF6CDC" w:rsidP="00FF6CDC">
      <w:pPr>
        <w:jc w:val="both"/>
        <w:rPr>
          <w:rFonts w:cs="Arial"/>
          <w:szCs w:val="20"/>
          <w:lang w:eastAsia="sl-SI"/>
        </w:rPr>
      </w:pPr>
      <w:r w:rsidRPr="00FF6CDC">
        <w:rPr>
          <w:rFonts w:cs="Arial"/>
          <w:szCs w:val="20"/>
          <w:lang w:eastAsia="sl-SI"/>
        </w:rPr>
        <w:t xml:space="preserve">Predvideno odtujitev oziroma prodajo izvede koncesionar v imenu in za račun Republike Slovenije, pri čemer predstavljajo prihodki iz tega naslova prihodke lastnika. </w:t>
      </w:r>
    </w:p>
    <w:p w14:paraId="35718C03" w14:textId="77777777" w:rsidR="00FF6CDC" w:rsidRPr="00FF6CDC" w:rsidRDefault="00FF6CDC" w:rsidP="00FF6CDC">
      <w:pPr>
        <w:jc w:val="both"/>
        <w:rPr>
          <w:rFonts w:cs="Arial"/>
          <w:szCs w:val="20"/>
          <w:lang w:eastAsia="sl-SI"/>
        </w:rPr>
      </w:pPr>
    </w:p>
    <w:p w14:paraId="36B00604" w14:textId="60151B5D" w:rsidR="00923E78" w:rsidRPr="00FF6CDC" w:rsidRDefault="00FF6CDC" w:rsidP="00FF6CDC">
      <w:pPr>
        <w:jc w:val="both"/>
        <w:rPr>
          <w:rFonts w:cs="Arial"/>
          <w:szCs w:val="20"/>
          <w:lang w:eastAsia="sl-SI"/>
        </w:rPr>
      </w:pPr>
      <w:r w:rsidRPr="00FF6CDC">
        <w:rPr>
          <w:rFonts w:cs="Arial"/>
          <w:szCs w:val="20"/>
          <w:lang w:eastAsia="sl-SI"/>
        </w:rPr>
        <w:t>Vir: Ministrstvo za gospodarski razvoj in tehnologijo</w:t>
      </w:r>
    </w:p>
    <w:p w14:paraId="19E38A71" w14:textId="77777777" w:rsidR="00923E78" w:rsidRPr="00FF6CDC" w:rsidRDefault="00923E78" w:rsidP="00923E78">
      <w:pPr>
        <w:jc w:val="both"/>
        <w:rPr>
          <w:rFonts w:cs="Arial"/>
          <w:szCs w:val="20"/>
          <w:lang w:eastAsia="sl-SI"/>
        </w:rPr>
      </w:pPr>
    </w:p>
    <w:p w14:paraId="0BF9E1DD" w14:textId="2D6DFCBB" w:rsidR="004C4068" w:rsidRPr="004C4068" w:rsidRDefault="004C4068" w:rsidP="004C4068">
      <w:pPr>
        <w:jc w:val="both"/>
        <w:rPr>
          <w:rFonts w:cs="Arial"/>
          <w:b/>
          <w:bCs/>
          <w:szCs w:val="20"/>
          <w:lang w:eastAsia="sl-SI"/>
        </w:rPr>
      </w:pPr>
      <w:r w:rsidRPr="004C4068">
        <w:rPr>
          <w:rFonts w:cs="Arial"/>
          <w:b/>
          <w:bCs/>
          <w:szCs w:val="20"/>
          <w:lang w:eastAsia="sl-SI"/>
        </w:rPr>
        <w:t>Vlada potrdila program sofinanciranja</w:t>
      </w:r>
      <w:r>
        <w:rPr>
          <w:rFonts w:cs="Arial"/>
          <w:b/>
          <w:bCs/>
          <w:szCs w:val="20"/>
          <w:lang w:eastAsia="sl-SI"/>
        </w:rPr>
        <w:t xml:space="preserve"> </w:t>
      </w:r>
      <w:r w:rsidRPr="004C4068">
        <w:rPr>
          <w:rFonts w:cs="Arial"/>
          <w:b/>
          <w:bCs/>
          <w:szCs w:val="20"/>
          <w:lang w:eastAsia="sl-SI"/>
        </w:rPr>
        <w:t>lokalne javne infrastrukture v Pivki in Postojni</w:t>
      </w:r>
    </w:p>
    <w:p w14:paraId="0C5A9848" w14:textId="77777777" w:rsidR="004C4068" w:rsidRPr="004C4068" w:rsidRDefault="004C4068" w:rsidP="004C4068">
      <w:pPr>
        <w:jc w:val="both"/>
        <w:rPr>
          <w:rFonts w:cs="Arial"/>
          <w:b/>
          <w:bCs/>
          <w:szCs w:val="20"/>
          <w:lang w:eastAsia="sl-SI"/>
        </w:rPr>
      </w:pPr>
    </w:p>
    <w:p w14:paraId="0A90B017" w14:textId="77777777" w:rsidR="004C4068" w:rsidRPr="004C4068" w:rsidRDefault="004C4068" w:rsidP="004C4068">
      <w:pPr>
        <w:jc w:val="both"/>
        <w:rPr>
          <w:rFonts w:cs="Arial"/>
          <w:szCs w:val="20"/>
          <w:lang w:eastAsia="sl-SI"/>
        </w:rPr>
      </w:pPr>
      <w:r w:rsidRPr="004C4068">
        <w:rPr>
          <w:rFonts w:cs="Arial"/>
          <w:szCs w:val="20"/>
          <w:lang w:eastAsia="sl-SI"/>
        </w:rPr>
        <w:t>Vlada je danes potrdila Program sofinanciranja Ministrstva za obrambo investicij v lokalno javno infrastrukturo v letih 2022 in 2023 v občinah Pivka in Postojna, zaradi obremenitev, ki jih povzroča delovanje Slovenske vojske. Sofinanciranje investicij za letos, ki ne bodo izvedene v predvidenem obsegu, se lahko prenese v leto 2023, pri čemer mora ministrstvo v finančnem načrtu za leto 2023 zagotoviti ustrezen obseg pravic porabe finančnih sredstev.</w:t>
      </w:r>
    </w:p>
    <w:p w14:paraId="6BC02317" w14:textId="77777777" w:rsidR="004C4068" w:rsidRPr="004C4068" w:rsidRDefault="004C4068" w:rsidP="004C4068">
      <w:pPr>
        <w:jc w:val="both"/>
        <w:rPr>
          <w:rFonts w:cs="Arial"/>
          <w:szCs w:val="20"/>
          <w:lang w:eastAsia="sl-SI"/>
        </w:rPr>
      </w:pPr>
    </w:p>
    <w:p w14:paraId="450F2729" w14:textId="77777777" w:rsidR="004C4068" w:rsidRPr="004C4068" w:rsidRDefault="004C4068" w:rsidP="004C4068">
      <w:pPr>
        <w:jc w:val="both"/>
        <w:rPr>
          <w:rFonts w:cs="Arial"/>
          <w:szCs w:val="20"/>
          <w:lang w:eastAsia="sl-SI"/>
        </w:rPr>
      </w:pPr>
      <w:r w:rsidRPr="004C4068">
        <w:rPr>
          <w:rFonts w:cs="Arial"/>
          <w:szCs w:val="20"/>
          <w:lang w:eastAsia="sl-SI"/>
        </w:rPr>
        <w:t xml:space="preserve">Slovenska vojska v povezavi s koriščenjem večjih vojaških infrastrukturnih objektov, kot so Osrednje vadišče Slovenske vojske Postojna (vadišče </w:t>
      </w:r>
      <w:proofErr w:type="spellStart"/>
      <w:r w:rsidRPr="004C4068">
        <w:rPr>
          <w:rFonts w:cs="Arial"/>
          <w:szCs w:val="20"/>
          <w:lang w:eastAsia="sl-SI"/>
        </w:rPr>
        <w:t>Poček</w:t>
      </w:r>
      <w:proofErr w:type="spellEnd"/>
      <w:r w:rsidRPr="004C4068">
        <w:rPr>
          <w:rFonts w:cs="Arial"/>
          <w:szCs w:val="20"/>
          <w:lang w:eastAsia="sl-SI"/>
        </w:rPr>
        <w:t xml:space="preserve"> in strelišče Bač), vojašnica barona Andreja Čehovina, objekti in položaji Poljane ter vadišče </w:t>
      </w:r>
      <w:proofErr w:type="spellStart"/>
      <w:r w:rsidRPr="004C4068">
        <w:rPr>
          <w:rFonts w:cs="Arial"/>
          <w:szCs w:val="20"/>
          <w:lang w:eastAsia="sl-SI"/>
        </w:rPr>
        <w:t>Čukovica</w:t>
      </w:r>
      <w:proofErr w:type="spellEnd"/>
      <w:r w:rsidRPr="004C4068">
        <w:rPr>
          <w:rFonts w:cs="Arial"/>
          <w:szCs w:val="20"/>
          <w:lang w:eastAsia="sl-SI"/>
        </w:rPr>
        <w:t xml:space="preserve">, vojaško skladišče Mačkovec in vojašnica Stanislava Požarja uporablja v večjem obsegu lokalno javno infrastrukturo na teh območjih. Z občinami na teh območjih ima Ministrstvo za obrambo sklenjene posebne dogovore, ki med drugim predvidevajo sofinanciranje posodabljanja lokalne javne infrastrukture, ki jo v povezavi z vojaškimi objekti souporablja Slovenska vojska. </w:t>
      </w:r>
    </w:p>
    <w:p w14:paraId="715E28D5" w14:textId="77777777" w:rsidR="004C4068" w:rsidRPr="004C4068" w:rsidRDefault="004C4068" w:rsidP="004C4068">
      <w:pPr>
        <w:jc w:val="both"/>
        <w:rPr>
          <w:rFonts w:cs="Arial"/>
          <w:szCs w:val="20"/>
          <w:lang w:eastAsia="sl-SI"/>
        </w:rPr>
      </w:pPr>
    </w:p>
    <w:p w14:paraId="44516485" w14:textId="6BC1DBB9" w:rsidR="004C4068" w:rsidRPr="004C4068" w:rsidRDefault="004C4068" w:rsidP="004C4068">
      <w:pPr>
        <w:jc w:val="both"/>
        <w:rPr>
          <w:rFonts w:cs="Arial"/>
          <w:szCs w:val="20"/>
          <w:lang w:eastAsia="sl-SI"/>
        </w:rPr>
      </w:pPr>
      <w:r w:rsidRPr="004C4068">
        <w:rPr>
          <w:rFonts w:cs="Arial"/>
          <w:szCs w:val="20"/>
          <w:lang w:eastAsia="sl-SI"/>
        </w:rPr>
        <w:t xml:space="preserve">Predviden obseg sofinanciranja, glede na sklenjen dogovor iz junija 2008 z Občino Pivka do 100.000 </w:t>
      </w:r>
      <w:r w:rsidR="009C5116">
        <w:rPr>
          <w:rFonts w:cs="Arial"/>
          <w:szCs w:val="20"/>
          <w:lang w:eastAsia="sl-SI"/>
        </w:rPr>
        <w:t>evrov</w:t>
      </w:r>
      <w:r w:rsidRPr="004C4068">
        <w:rPr>
          <w:rFonts w:cs="Arial"/>
          <w:szCs w:val="20"/>
          <w:lang w:eastAsia="sl-SI"/>
        </w:rPr>
        <w:t xml:space="preserve"> letno, znaša 500.000 </w:t>
      </w:r>
      <w:r w:rsidR="009C5116">
        <w:rPr>
          <w:rFonts w:cs="Arial"/>
          <w:szCs w:val="20"/>
          <w:lang w:eastAsia="sl-SI"/>
        </w:rPr>
        <w:t>evrov</w:t>
      </w:r>
      <w:r w:rsidRPr="004C4068">
        <w:rPr>
          <w:rFonts w:cs="Arial"/>
          <w:szCs w:val="20"/>
          <w:lang w:eastAsia="sl-SI"/>
        </w:rPr>
        <w:t xml:space="preserve"> za zapiranje obveznosti sofinanciranja za leta 2020, 2021, 2022, 2023 in 2024, kar pomeni 100.000 </w:t>
      </w:r>
      <w:r w:rsidR="009C5116">
        <w:rPr>
          <w:rFonts w:cs="Arial"/>
          <w:szCs w:val="20"/>
          <w:lang w:eastAsia="sl-SI"/>
        </w:rPr>
        <w:t>evrov</w:t>
      </w:r>
      <w:r w:rsidRPr="004C4068">
        <w:rPr>
          <w:rFonts w:cs="Arial"/>
          <w:szCs w:val="20"/>
          <w:lang w:eastAsia="sl-SI"/>
        </w:rPr>
        <w:t xml:space="preserve"> na letni ravni v petletnem obdobju. V letu 2021 so bile izvedene investicije v višini  248.299,60 </w:t>
      </w:r>
      <w:r w:rsidR="009C5116">
        <w:rPr>
          <w:rFonts w:cs="Arial"/>
          <w:szCs w:val="20"/>
          <w:lang w:eastAsia="sl-SI"/>
        </w:rPr>
        <w:t>evrov</w:t>
      </w:r>
      <w:r w:rsidRPr="004C4068">
        <w:rPr>
          <w:rFonts w:cs="Arial"/>
          <w:szCs w:val="20"/>
          <w:lang w:eastAsia="sl-SI"/>
        </w:rPr>
        <w:t xml:space="preserve">, 200.000 </w:t>
      </w:r>
      <w:r w:rsidR="009C5116">
        <w:rPr>
          <w:rFonts w:cs="Arial"/>
          <w:szCs w:val="20"/>
          <w:lang w:eastAsia="sl-SI"/>
        </w:rPr>
        <w:t>evrov</w:t>
      </w:r>
      <w:r w:rsidRPr="004C4068">
        <w:rPr>
          <w:rFonts w:cs="Arial"/>
          <w:szCs w:val="20"/>
          <w:lang w:eastAsia="sl-SI"/>
        </w:rPr>
        <w:t xml:space="preserve"> je na razpolago v letu 2022 ter 50.000 </w:t>
      </w:r>
      <w:r w:rsidR="009C5116">
        <w:rPr>
          <w:rFonts w:cs="Arial"/>
          <w:szCs w:val="20"/>
          <w:lang w:eastAsia="sl-SI"/>
        </w:rPr>
        <w:t>evrov</w:t>
      </w:r>
      <w:r w:rsidRPr="004C4068">
        <w:rPr>
          <w:rFonts w:cs="Arial"/>
          <w:szCs w:val="20"/>
          <w:lang w:eastAsia="sl-SI"/>
        </w:rPr>
        <w:t xml:space="preserve"> v letu 2023. Višina že izvedenega sofinanciranja se všteva v ta Program.    </w:t>
      </w:r>
    </w:p>
    <w:p w14:paraId="018A26F3" w14:textId="77777777" w:rsidR="004C4068" w:rsidRPr="004C4068" w:rsidRDefault="004C4068" w:rsidP="004C4068">
      <w:pPr>
        <w:jc w:val="both"/>
        <w:rPr>
          <w:rFonts w:cs="Arial"/>
          <w:szCs w:val="20"/>
          <w:lang w:eastAsia="sl-SI"/>
        </w:rPr>
      </w:pPr>
    </w:p>
    <w:p w14:paraId="2C04E995" w14:textId="6D866CEF" w:rsidR="004C4068" w:rsidRPr="004C4068" w:rsidRDefault="004C4068" w:rsidP="004C4068">
      <w:pPr>
        <w:jc w:val="both"/>
        <w:rPr>
          <w:rFonts w:cs="Arial"/>
          <w:szCs w:val="20"/>
          <w:lang w:eastAsia="sl-SI"/>
        </w:rPr>
      </w:pPr>
      <w:r w:rsidRPr="004C4068">
        <w:rPr>
          <w:rFonts w:cs="Arial"/>
          <w:szCs w:val="20"/>
          <w:lang w:eastAsia="sl-SI"/>
        </w:rPr>
        <w:t xml:space="preserve">Predviden obseg sofinanciranja, glede na sklenjen dogovor iz marca letos z Občino Postojna, je do 146.930,97 </w:t>
      </w:r>
      <w:r w:rsidR="009C5116">
        <w:rPr>
          <w:rFonts w:cs="Arial"/>
          <w:szCs w:val="20"/>
          <w:lang w:eastAsia="sl-SI"/>
        </w:rPr>
        <w:t>evrov</w:t>
      </w:r>
      <w:r w:rsidRPr="004C4068">
        <w:rPr>
          <w:rFonts w:cs="Arial"/>
          <w:szCs w:val="20"/>
          <w:lang w:eastAsia="sl-SI"/>
        </w:rPr>
        <w:t xml:space="preserve"> za zapiranje obveznosti sofinanciranja za leto 2021.</w:t>
      </w:r>
    </w:p>
    <w:p w14:paraId="5381C089" w14:textId="77777777" w:rsidR="004C4068" w:rsidRPr="004C4068" w:rsidRDefault="004C4068" w:rsidP="004C4068">
      <w:pPr>
        <w:jc w:val="both"/>
        <w:rPr>
          <w:rFonts w:cs="Arial"/>
          <w:szCs w:val="20"/>
          <w:lang w:eastAsia="sl-SI"/>
        </w:rPr>
      </w:pPr>
    </w:p>
    <w:p w14:paraId="33C43115" w14:textId="566D07B6" w:rsidR="004C4068" w:rsidRPr="004C4068" w:rsidRDefault="004C4068" w:rsidP="004C4068">
      <w:pPr>
        <w:jc w:val="both"/>
        <w:rPr>
          <w:rFonts w:cs="Arial"/>
          <w:szCs w:val="20"/>
          <w:lang w:eastAsia="sl-SI"/>
        </w:rPr>
      </w:pPr>
      <w:r w:rsidRPr="004C4068">
        <w:rPr>
          <w:rFonts w:cs="Arial"/>
          <w:szCs w:val="20"/>
          <w:lang w:eastAsia="sl-SI"/>
        </w:rPr>
        <w:lastRenderedPageBreak/>
        <w:t xml:space="preserve">V občini Pivka je letos predvideno sofinanciranje prenove ceste Parje – </w:t>
      </w:r>
      <w:proofErr w:type="spellStart"/>
      <w:r w:rsidRPr="004C4068">
        <w:rPr>
          <w:rFonts w:cs="Arial"/>
          <w:szCs w:val="20"/>
          <w:lang w:eastAsia="sl-SI"/>
        </w:rPr>
        <w:t>Juršče</w:t>
      </w:r>
      <w:proofErr w:type="spellEnd"/>
      <w:r w:rsidRPr="004C4068">
        <w:rPr>
          <w:rFonts w:cs="Arial"/>
          <w:szCs w:val="20"/>
          <w:lang w:eastAsia="sl-SI"/>
        </w:rPr>
        <w:t xml:space="preserve">. Skladno s sporazumno določenimi kriteriji za ugotavljanje deleža vlaganj finančnih sredstev za financiranje infrastrukturnega objekta je delež Ministrstva za obrambo 80 odstotkov skupne investicije, oziroma največ 500.000 </w:t>
      </w:r>
      <w:r w:rsidR="009C5116">
        <w:rPr>
          <w:rFonts w:cs="Arial"/>
          <w:szCs w:val="20"/>
          <w:lang w:eastAsia="sl-SI"/>
        </w:rPr>
        <w:t>evrov</w:t>
      </w:r>
      <w:r w:rsidRPr="004C4068">
        <w:rPr>
          <w:rFonts w:cs="Arial"/>
          <w:szCs w:val="20"/>
          <w:lang w:eastAsia="sl-SI"/>
        </w:rPr>
        <w:t xml:space="preserve">, in sicer 250.000 </w:t>
      </w:r>
      <w:r w:rsidR="009C5116">
        <w:rPr>
          <w:rFonts w:cs="Arial"/>
          <w:szCs w:val="20"/>
          <w:lang w:eastAsia="sl-SI"/>
        </w:rPr>
        <w:t>evrov</w:t>
      </w:r>
      <w:r w:rsidRPr="004C4068">
        <w:rPr>
          <w:rFonts w:cs="Arial"/>
          <w:szCs w:val="20"/>
          <w:lang w:eastAsia="sl-SI"/>
        </w:rPr>
        <w:t xml:space="preserve"> v letu 2021, od tega je skupna vrednost že izvedenih del 248.299,60 </w:t>
      </w:r>
      <w:r w:rsidR="009C5116">
        <w:rPr>
          <w:rFonts w:cs="Arial"/>
          <w:szCs w:val="20"/>
          <w:lang w:eastAsia="sl-SI"/>
        </w:rPr>
        <w:t>evrov</w:t>
      </w:r>
      <w:r w:rsidRPr="004C4068">
        <w:rPr>
          <w:rFonts w:cs="Arial"/>
          <w:szCs w:val="20"/>
          <w:lang w:eastAsia="sl-SI"/>
        </w:rPr>
        <w:t xml:space="preserve">, in 250.000 </w:t>
      </w:r>
      <w:r w:rsidR="009C5116">
        <w:rPr>
          <w:rFonts w:cs="Arial"/>
          <w:szCs w:val="20"/>
          <w:lang w:eastAsia="sl-SI"/>
        </w:rPr>
        <w:t>evrov</w:t>
      </w:r>
      <w:r w:rsidRPr="004C4068">
        <w:rPr>
          <w:rFonts w:cs="Arial"/>
          <w:szCs w:val="20"/>
          <w:lang w:eastAsia="sl-SI"/>
        </w:rPr>
        <w:t xml:space="preserve"> v letošnjem letu.  Če delež ministrstva za sofinanciranje navedenega projekta ne bo dosegla vrednosti 500.000,00 </w:t>
      </w:r>
      <w:r w:rsidR="009C5116">
        <w:rPr>
          <w:rFonts w:cs="Arial"/>
          <w:szCs w:val="20"/>
          <w:lang w:eastAsia="sl-SI"/>
        </w:rPr>
        <w:t>evrov</w:t>
      </w:r>
      <w:r w:rsidRPr="004C4068">
        <w:rPr>
          <w:rFonts w:cs="Arial"/>
          <w:szCs w:val="20"/>
          <w:lang w:eastAsia="sl-SI"/>
        </w:rPr>
        <w:t xml:space="preserve">, je v občini Pivka v letih 2022 in 2023 predvideno sofinanciranje rekonstrukcije dela cestnega odseka Pivka-Ilirska Bistrica skozi naselje Parje. </w:t>
      </w:r>
    </w:p>
    <w:p w14:paraId="089BC49B" w14:textId="77777777" w:rsidR="004C4068" w:rsidRPr="004C4068" w:rsidRDefault="004C4068" w:rsidP="004C4068">
      <w:pPr>
        <w:jc w:val="both"/>
        <w:rPr>
          <w:rFonts w:cs="Arial"/>
          <w:szCs w:val="20"/>
          <w:lang w:eastAsia="sl-SI"/>
        </w:rPr>
      </w:pPr>
    </w:p>
    <w:p w14:paraId="5AD216D8" w14:textId="77777777" w:rsidR="004C4068" w:rsidRPr="004C4068" w:rsidRDefault="004C4068" w:rsidP="004C4068">
      <w:pPr>
        <w:jc w:val="both"/>
        <w:rPr>
          <w:rFonts w:cs="Arial"/>
          <w:szCs w:val="20"/>
          <w:lang w:eastAsia="sl-SI"/>
        </w:rPr>
      </w:pPr>
      <w:r w:rsidRPr="004C4068">
        <w:rPr>
          <w:rFonts w:cs="Arial"/>
          <w:szCs w:val="20"/>
          <w:lang w:eastAsia="sl-SI"/>
        </w:rPr>
        <w:t xml:space="preserve">V občini Postojna je letos predvideno sofinanciranje dela lokalnih cest Planina-Studeno- Erazem, Hruševje-Orehek-Prestranek, Vrhe-Landol, Matenja vas-Štivan-Prestranek ter dela javne poti </w:t>
      </w:r>
      <w:proofErr w:type="spellStart"/>
      <w:r w:rsidRPr="004C4068">
        <w:rPr>
          <w:rFonts w:cs="Arial"/>
          <w:szCs w:val="20"/>
          <w:lang w:eastAsia="sl-SI"/>
        </w:rPr>
        <w:t>Čukovca</w:t>
      </w:r>
      <w:proofErr w:type="spellEnd"/>
      <w:r w:rsidRPr="004C4068">
        <w:rPr>
          <w:rFonts w:cs="Arial"/>
          <w:szCs w:val="20"/>
          <w:lang w:eastAsia="sl-SI"/>
        </w:rPr>
        <w:t>.</w:t>
      </w:r>
    </w:p>
    <w:p w14:paraId="48C34093" w14:textId="77777777" w:rsidR="004C4068" w:rsidRPr="004C4068" w:rsidRDefault="004C4068" w:rsidP="004C4068">
      <w:pPr>
        <w:jc w:val="both"/>
        <w:rPr>
          <w:rFonts w:cs="Arial"/>
          <w:szCs w:val="20"/>
          <w:lang w:eastAsia="sl-SI"/>
        </w:rPr>
      </w:pPr>
    </w:p>
    <w:p w14:paraId="4942D35D" w14:textId="059114A8" w:rsidR="00923E78" w:rsidRPr="004C4068" w:rsidRDefault="004C4068" w:rsidP="004C4068">
      <w:pPr>
        <w:jc w:val="both"/>
        <w:rPr>
          <w:rFonts w:cs="Arial"/>
          <w:szCs w:val="20"/>
          <w:lang w:eastAsia="sl-SI"/>
        </w:rPr>
      </w:pPr>
      <w:r w:rsidRPr="004C4068">
        <w:rPr>
          <w:rFonts w:cs="Arial"/>
          <w:szCs w:val="20"/>
          <w:lang w:eastAsia="sl-SI"/>
        </w:rPr>
        <w:t>Vir: Ministrstvo za obrambo</w:t>
      </w:r>
    </w:p>
    <w:p w14:paraId="2053ED9A" w14:textId="77777777" w:rsidR="00EE4175" w:rsidRDefault="00EE4175" w:rsidP="004A4F63">
      <w:pPr>
        <w:jc w:val="both"/>
        <w:rPr>
          <w:rFonts w:cs="Arial"/>
          <w:b/>
          <w:bCs/>
          <w:szCs w:val="20"/>
          <w:lang w:eastAsia="sl-SI"/>
        </w:rPr>
      </w:pPr>
    </w:p>
    <w:p w14:paraId="114BF62C" w14:textId="1300CA0C" w:rsidR="004A4F63" w:rsidRPr="004A4F63" w:rsidRDefault="004A4F63" w:rsidP="004A4F63">
      <w:pPr>
        <w:jc w:val="both"/>
        <w:rPr>
          <w:rFonts w:cs="Arial"/>
          <w:b/>
          <w:bCs/>
          <w:szCs w:val="20"/>
          <w:lang w:eastAsia="sl-SI"/>
        </w:rPr>
      </w:pPr>
      <w:r w:rsidRPr="004A4F63">
        <w:rPr>
          <w:rFonts w:cs="Arial"/>
          <w:b/>
          <w:bCs/>
          <w:szCs w:val="20"/>
          <w:lang w:eastAsia="sl-SI"/>
        </w:rPr>
        <w:t>Vlada sprejela Spremembe in dopolnitve Programa razvoja pristanišča za mednarodni promet v Kopru za obdobje 2021-2025</w:t>
      </w:r>
    </w:p>
    <w:p w14:paraId="2A2FC20A" w14:textId="77777777" w:rsidR="004A4F63" w:rsidRPr="004A4F63" w:rsidRDefault="004A4F63" w:rsidP="004A4F63">
      <w:pPr>
        <w:jc w:val="both"/>
        <w:rPr>
          <w:rFonts w:cs="Arial"/>
          <w:b/>
          <w:bCs/>
          <w:szCs w:val="20"/>
          <w:lang w:eastAsia="sl-SI"/>
        </w:rPr>
      </w:pPr>
    </w:p>
    <w:p w14:paraId="0533BB20" w14:textId="77777777" w:rsidR="004A4F63" w:rsidRPr="004A4F63" w:rsidRDefault="004A4F63" w:rsidP="004A4F63">
      <w:pPr>
        <w:jc w:val="both"/>
        <w:rPr>
          <w:rFonts w:cs="Arial"/>
          <w:szCs w:val="20"/>
          <w:lang w:eastAsia="sl-SI"/>
        </w:rPr>
      </w:pPr>
      <w:r w:rsidRPr="004A4F63">
        <w:rPr>
          <w:rFonts w:cs="Arial"/>
          <w:szCs w:val="20"/>
          <w:lang w:eastAsia="sl-SI"/>
        </w:rPr>
        <w:t>Vlada je sprejela Spremembe in dopolnitve Programa razvoja pristanišča za mednarodni promet v Kopru za obdobje 2021-2025, sprejetega s sklepom Vlade Republike Slovenije z dne 24. 2. 2021 ter spremenjenega in dopolnjenega s sklepom Vlade Republike Slovenije št z dne 16. 2. 2022.</w:t>
      </w:r>
    </w:p>
    <w:p w14:paraId="2C9E64A9" w14:textId="77777777" w:rsidR="004A4F63" w:rsidRPr="004A4F63" w:rsidRDefault="004A4F63" w:rsidP="004A4F63">
      <w:pPr>
        <w:jc w:val="both"/>
        <w:rPr>
          <w:rFonts w:cs="Arial"/>
          <w:szCs w:val="20"/>
          <w:lang w:eastAsia="sl-SI"/>
        </w:rPr>
      </w:pPr>
    </w:p>
    <w:p w14:paraId="53887D69" w14:textId="77777777" w:rsidR="004A4F63" w:rsidRPr="004A4F63" w:rsidRDefault="004A4F63" w:rsidP="004A4F63">
      <w:pPr>
        <w:jc w:val="both"/>
        <w:rPr>
          <w:rFonts w:cs="Arial"/>
          <w:szCs w:val="20"/>
          <w:lang w:eastAsia="sl-SI"/>
        </w:rPr>
      </w:pPr>
      <w:r w:rsidRPr="004A4F63">
        <w:rPr>
          <w:rFonts w:cs="Arial"/>
          <w:szCs w:val="20"/>
          <w:lang w:eastAsia="sl-SI"/>
        </w:rPr>
        <w:t xml:space="preserve">Skladno z Uredbo o upravljanju koprskega tovornega pristanišča, opravljanju pristaniške dejavnosti, podelitvi koncesije za upravljanje, vodenje, razvoj in redno vzdrževanje pristaniške infrastrukture v tem pristanišču in Koncesijsko pogodbo za opravljanje pristaniških dejavnosti, vodenje, razvoj in redno vzdrževanje pristaniške infrastrukture na območju koprskega tovornega pristanišča z dne 8. 9. 2008 program razvoja pristanišča sprejme za obdobje vsakih pet let Vlada Republike Slovenije. Vlada Republike Slovenije je s sklepom z dne 24. 2. 2021 sprejela Program razvoja pristanišča za mednarodni promet v Kopru za obdobje 2021-2025 in s sklepom z dne 16. 2. 2022 Spremembe in dopolnitve PRP 2021-2025. Skladno z uredbo in koncesijsko pogodbo se program razvoja pristanišča lahko letno spreminja in dopolnjuje. </w:t>
      </w:r>
    </w:p>
    <w:p w14:paraId="36401311" w14:textId="77777777" w:rsidR="004A4F63" w:rsidRPr="004A4F63" w:rsidRDefault="004A4F63" w:rsidP="004A4F63">
      <w:pPr>
        <w:jc w:val="both"/>
        <w:rPr>
          <w:rFonts w:cs="Arial"/>
          <w:szCs w:val="20"/>
          <w:lang w:eastAsia="sl-SI"/>
        </w:rPr>
      </w:pPr>
    </w:p>
    <w:p w14:paraId="5328388F" w14:textId="77777777" w:rsidR="004A4F63" w:rsidRPr="004A4F63" w:rsidRDefault="004A4F63" w:rsidP="004A4F63">
      <w:pPr>
        <w:jc w:val="both"/>
        <w:rPr>
          <w:rFonts w:cs="Arial"/>
          <w:szCs w:val="20"/>
          <w:lang w:eastAsia="sl-SI"/>
        </w:rPr>
      </w:pPr>
      <w:r w:rsidRPr="004A4F63">
        <w:rPr>
          <w:rFonts w:cs="Arial"/>
          <w:szCs w:val="20"/>
          <w:lang w:eastAsia="sl-SI"/>
        </w:rPr>
        <w:t>Strokovne podlage za predmetno dopolnitev in spremembo PRP 2021-2025 je pripravil koncesionar tj. Luka Koper d. d. in jih uskladil z Upravo Republike Slovenije za pomorstvo, tako kot je to določeno v uredbi in koncesijski pogodbi. S predmetnim vladnim gradivom se spremeni in dopolni PRP 2021-2025 s povečanjem ocenjenih vrednosti naložb iz razloga višjih cen v gradbeništvu in rasti cen življenjskih potrebščin, kar se je izkazalo ob izvedbi javnega naročila za ureditev območja kasete 5A, posledično se povečata ocenjeni vrednosti za ureditev skladiščnih površin na območju kasete 6A in kasete 7A, kjer se predvideva primerljive ureditve. Štiri investicije se premeščajo iz razdelka investicij izven koncesijskega območja med investicije znotraj koncesijskega območja iz razloga širitve koncesije na predmetno območje. Razlogi za spremembe in dopolnitve PRP 2021-2025 ter spremembe in dopolnitve posameznih naložb vključenih v PRP 2021-2025 so razvidne iz obrazložitve predmetnega gradiva ter iz čistopisa priloženega PRP 2021-2025.</w:t>
      </w:r>
    </w:p>
    <w:p w14:paraId="490EA76E" w14:textId="77777777" w:rsidR="004A4F63" w:rsidRPr="004A4F63" w:rsidRDefault="004A4F63" w:rsidP="004A4F63">
      <w:pPr>
        <w:jc w:val="both"/>
        <w:rPr>
          <w:rFonts w:cs="Arial"/>
          <w:szCs w:val="20"/>
          <w:lang w:eastAsia="sl-SI"/>
        </w:rPr>
      </w:pPr>
    </w:p>
    <w:p w14:paraId="523A0CDD" w14:textId="77777777" w:rsidR="004A4F63" w:rsidRPr="004A4F63" w:rsidRDefault="004A4F63" w:rsidP="004A4F63">
      <w:pPr>
        <w:jc w:val="both"/>
        <w:rPr>
          <w:rFonts w:cs="Arial"/>
          <w:szCs w:val="20"/>
          <w:lang w:eastAsia="sl-SI"/>
        </w:rPr>
      </w:pPr>
      <w:r w:rsidRPr="004A4F63">
        <w:rPr>
          <w:rFonts w:cs="Arial"/>
          <w:szCs w:val="20"/>
          <w:lang w:eastAsia="sl-SI"/>
        </w:rPr>
        <w:t>Vir: Ministrstvo za infrastrukturo</w:t>
      </w:r>
    </w:p>
    <w:p w14:paraId="4A4F9262" w14:textId="77777777" w:rsidR="00923E78" w:rsidRPr="00923E78" w:rsidRDefault="00923E78" w:rsidP="00923E78">
      <w:pPr>
        <w:jc w:val="both"/>
        <w:rPr>
          <w:rFonts w:cs="Arial"/>
          <w:b/>
          <w:bCs/>
          <w:szCs w:val="20"/>
          <w:lang w:eastAsia="sl-SI"/>
        </w:rPr>
      </w:pPr>
    </w:p>
    <w:p w14:paraId="5AB0742E" w14:textId="0B10DD6B" w:rsidR="001C1261" w:rsidRPr="001C1261" w:rsidRDefault="001C1261" w:rsidP="001C1261">
      <w:pPr>
        <w:jc w:val="both"/>
        <w:rPr>
          <w:rFonts w:cs="Arial"/>
          <w:b/>
          <w:bCs/>
          <w:szCs w:val="20"/>
          <w:lang w:eastAsia="sl-SI"/>
        </w:rPr>
      </w:pPr>
      <w:r w:rsidRPr="001C1261">
        <w:rPr>
          <w:rFonts w:cs="Arial"/>
          <w:b/>
          <w:bCs/>
          <w:szCs w:val="20"/>
          <w:lang w:eastAsia="sl-SI"/>
        </w:rPr>
        <w:t>Vlada podala soglasje Luki Koper k programu vlaganj</w:t>
      </w:r>
      <w:r>
        <w:rPr>
          <w:rFonts w:cs="Arial"/>
          <w:b/>
          <w:bCs/>
          <w:szCs w:val="20"/>
          <w:lang w:eastAsia="sl-SI"/>
        </w:rPr>
        <w:t>a</w:t>
      </w:r>
      <w:r w:rsidRPr="001C1261">
        <w:rPr>
          <w:rFonts w:cs="Arial"/>
          <w:b/>
          <w:bCs/>
          <w:szCs w:val="20"/>
          <w:lang w:eastAsia="sl-SI"/>
        </w:rPr>
        <w:t xml:space="preserve"> v projekt Zunanji kamionski terminal</w:t>
      </w:r>
    </w:p>
    <w:p w14:paraId="3E65DE6E" w14:textId="77777777" w:rsidR="001C1261" w:rsidRPr="001C1261" w:rsidRDefault="001C1261" w:rsidP="001C1261">
      <w:pPr>
        <w:jc w:val="both"/>
        <w:rPr>
          <w:rFonts w:cs="Arial"/>
          <w:b/>
          <w:bCs/>
          <w:szCs w:val="20"/>
          <w:lang w:eastAsia="sl-SI"/>
        </w:rPr>
      </w:pPr>
    </w:p>
    <w:p w14:paraId="6512F401" w14:textId="77777777" w:rsidR="001C1261" w:rsidRPr="001C1261" w:rsidRDefault="001C1261" w:rsidP="001C1261">
      <w:pPr>
        <w:jc w:val="both"/>
        <w:rPr>
          <w:rFonts w:cs="Arial"/>
          <w:szCs w:val="20"/>
          <w:lang w:eastAsia="sl-SI"/>
        </w:rPr>
      </w:pPr>
      <w:r w:rsidRPr="001C1261">
        <w:rPr>
          <w:rFonts w:cs="Arial"/>
          <w:szCs w:val="20"/>
          <w:lang w:eastAsia="sl-SI"/>
        </w:rPr>
        <w:lastRenderedPageBreak/>
        <w:t xml:space="preserve">Vlada kot </w:t>
      </w:r>
      <w:proofErr w:type="spellStart"/>
      <w:r w:rsidRPr="001C1261">
        <w:rPr>
          <w:rFonts w:cs="Arial"/>
          <w:szCs w:val="20"/>
          <w:lang w:eastAsia="sl-SI"/>
        </w:rPr>
        <w:t>koncedent</w:t>
      </w:r>
      <w:proofErr w:type="spellEnd"/>
      <w:r w:rsidRPr="001C1261">
        <w:rPr>
          <w:rFonts w:cs="Arial"/>
          <w:szCs w:val="20"/>
          <w:lang w:eastAsia="sl-SI"/>
        </w:rPr>
        <w:t xml:space="preserve"> daje Luki Koper d. d. kot koncesionarju soglasje k programu izvedbe infrastrukturne ureditve za investicijsko vlaganje SPDPN 6 »Zunanji kamionski terminal – 1. faza« - faza 1A, z ocenjeno vrednostjo v višini do 10.950.000 evrov brez DDV.</w:t>
      </w:r>
    </w:p>
    <w:p w14:paraId="2327C699" w14:textId="77777777" w:rsidR="001C1261" w:rsidRPr="001C1261" w:rsidRDefault="001C1261" w:rsidP="001C1261">
      <w:pPr>
        <w:jc w:val="both"/>
        <w:rPr>
          <w:rFonts w:cs="Arial"/>
          <w:szCs w:val="20"/>
          <w:lang w:eastAsia="sl-SI"/>
        </w:rPr>
      </w:pPr>
    </w:p>
    <w:p w14:paraId="47FA9534" w14:textId="77777777" w:rsidR="001C1261" w:rsidRPr="001C1261" w:rsidRDefault="001C1261" w:rsidP="001C1261">
      <w:pPr>
        <w:jc w:val="both"/>
        <w:rPr>
          <w:rFonts w:cs="Arial"/>
          <w:szCs w:val="20"/>
          <w:lang w:eastAsia="sl-SI"/>
        </w:rPr>
      </w:pPr>
      <w:r w:rsidRPr="001C1261">
        <w:rPr>
          <w:rFonts w:cs="Arial"/>
          <w:szCs w:val="20"/>
          <w:lang w:eastAsia="sl-SI"/>
        </w:rPr>
        <w:t xml:space="preserve">V skladu s Koncesijsko pogodbo za opravljanje pristaniških dejavnosti, vodenje, razvoj in redno vzdrževanje pristaniške infrastrukture na območju koprskega tovornega pristanišča mora koncesionar pred začetkom izvajanja programa izvedbe infrastrukturne ureditve pridobiti nanj soglasje </w:t>
      </w:r>
      <w:proofErr w:type="spellStart"/>
      <w:r w:rsidRPr="001C1261">
        <w:rPr>
          <w:rFonts w:cs="Arial"/>
          <w:szCs w:val="20"/>
          <w:lang w:eastAsia="sl-SI"/>
        </w:rPr>
        <w:t>koncedenta</w:t>
      </w:r>
      <w:proofErr w:type="spellEnd"/>
      <w:r w:rsidRPr="001C1261">
        <w:rPr>
          <w:rFonts w:cs="Arial"/>
          <w:szCs w:val="20"/>
          <w:lang w:eastAsia="sl-SI"/>
        </w:rPr>
        <w:t xml:space="preserve">. </w:t>
      </w:r>
    </w:p>
    <w:p w14:paraId="733AB983" w14:textId="77777777" w:rsidR="001C1261" w:rsidRPr="001C1261" w:rsidRDefault="001C1261" w:rsidP="001C1261">
      <w:pPr>
        <w:jc w:val="both"/>
        <w:rPr>
          <w:rFonts w:cs="Arial"/>
          <w:szCs w:val="20"/>
          <w:lang w:eastAsia="sl-SI"/>
        </w:rPr>
      </w:pPr>
    </w:p>
    <w:p w14:paraId="2EEBDDB0" w14:textId="77777777" w:rsidR="001C1261" w:rsidRPr="001C1261" w:rsidRDefault="001C1261" w:rsidP="001C1261">
      <w:pPr>
        <w:jc w:val="both"/>
        <w:rPr>
          <w:rFonts w:cs="Arial"/>
          <w:szCs w:val="20"/>
          <w:lang w:eastAsia="sl-SI"/>
        </w:rPr>
      </w:pPr>
      <w:r w:rsidRPr="001C1261">
        <w:rPr>
          <w:rFonts w:cs="Arial"/>
          <w:szCs w:val="20"/>
          <w:lang w:eastAsia="sl-SI"/>
        </w:rPr>
        <w:t xml:space="preserve">V Spremembe in dopolnitve programa razvoja pristanišča za mednarodni promet v Kopru za obdobje od 2021 do 2025 je med investicije v pristaniško infrastrukturo, ki se nahajajo  izven območja koncesije, ki je predvideno za širitev koncesijskega območja, vključena investicija SPDPN 6 »Zunanji kamionski terminal – 1. faza« v skupni ocenjeni vrednosti investicije 29.000.000 evrov brez DDV. Investicija je razdeljena na fazo 1A in fazo 1B. Predmet vladnega gradiva je izdaja soglasja Vlade RS k 1A fazi investicije, katere ocenjena vrednost znaša 10.950.000 evrov brez DDV. </w:t>
      </w:r>
    </w:p>
    <w:p w14:paraId="29A46F99" w14:textId="77777777" w:rsidR="001C1261" w:rsidRPr="001C1261" w:rsidRDefault="001C1261" w:rsidP="001C1261">
      <w:pPr>
        <w:jc w:val="both"/>
        <w:rPr>
          <w:rFonts w:cs="Arial"/>
          <w:szCs w:val="20"/>
          <w:lang w:eastAsia="sl-SI"/>
        </w:rPr>
      </w:pPr>
    </w:p>
    <w:p w14:paraId="69AFA4F9" w14:textId="2459FF13" w:rsidR="00923E78" w:rsidRPr="001C1261" w:rsidRDefault="001C1261" w:rsidP="001C1261">
      <w:pPr>
        <w:jc w:val="both"/>
        <w:rPr>
          <w:rFonts w:cs="Arial"/>
          <w:szCs w:val="20"/>
          <w:lang w:eastAsia="sl-SI"/>
        </w:rPr>
      </w:pPr>
      <w:r w:rsidRPr="001C1261">
        <w:rPr>
          <w:rFonts w:cs="Arial"/>
          <w:szCs w:val="20"/>
          <w:lang w:eastAsia="sl-SI"/>
        </w:rPr>
        <w:t>Vir: Ministrstvo za infrastrukturo</w:t>
      </w:r>
    </w:p>
    <w:p w14:paraId="1258C977" w14:textId="77777777" w:rsidR="00923E78" w:rsidRPr="00923E78" w:rsidRDefault="00923E78" w:rsidP="00923E78">
      <w:pPr>
        <w:jc w:val="both"/>
        <w:rPr>
          <w:rFonts w:cs="Arial"/>
          <w:b/>
          <w:bCs/>
          <w:szCs w:val="20"/>
          <w:lang w:eastAsia="sl-SI"/>
        </w:rPr>
      </w:pPr>
    </w:p>
    <w:p w14:paraId="15EA82E5" w14:textId="6E5821A3" w:rsidR="00E251B4" w:rsidRPr="00E251B4" w:rsidRDefault="00E251B4" w:rsidP="00E251B4">
      <w:pPr>
        <w:jc w:val="both"/>
        <w:rPr>
          <w:rFonts w:cs="Arial"/>
          <w:b/>
          <w:bCs/>
          <w:szCs w:val="20"/>
          <w:lang w:eastAsia="sl-SI"/>
        </w:rPr>
      </w:pPr>
      <w:r w:rsidRPr="00E251B4">
        <w:rPr>
          <w:rFonts w:cs="Arial"/>
          <w:b/>
          <w:bCs/>
          <w:szCs w:val="20"/>
          <w:lang w:eastAsia="sl-SI"/>
        </w:rPr>
        <w:t>Spremembe posebnega vladnega projekta za nagrajevanje timov ambulant družinske medicine oziroma otroškega in šolskega dispanzerja</w:t>
      </w:r>
    </w:p>
    <w:p w14:paraId="60AC385F" w14:textId="77777777" w:rsidR="00E251B4" w:rsidRPr="00E251B4" w:rsidRDefault="00E251B4" w:rsidP="00E251B4">
      <w:pPr>
        <w:jc w:val="both"/>
        <w:rPr>
          <w:rFonts w:cs="Arial"/>
          <w:szCs w:val="20"/>
          <w:lang w:eastAsia="sl-SI"/>
        </w:rPr>
      </w:pPr>
    </w:p>
    <w:p w14:paraId="49FB82A8" w14:textId="77777777" w:rsidR="00E251B4" w:rsidRPr="00E251B4" w:rsidRDefault="00E251B4" w:rsidP="00E251B4">
      <w:pPr>
        <w:jc w:val="both"/>
        <w:rPr>
          <w:rFonts w:cs="Arial"/>
          <w:szCs w:val="20"/>
          <w:lang w:eastAsia="sl-SI"/>
        </w:rPr>
      </w:pPr>
      <w:r w:rsidRPr="00E251B4">
        <w:rPr>
          <w:rFonts w:cs="Arial"/>
          <w:szCs w:val="20"/>
          <w:lang w:eastAsia="sl-SI"/>
        </w:rPr>
        <w:t>Vlada je sprejela Sklep o spremembah in dopolnitvah Posebnega vladnega projekta za nagrajevanje timov ambulant družinske medicine oziroma otroškega in šolskega dispanzerja.</w:t>
      </w:r>
    </w:p>
    <w:p w14:paraId="50D04152" w14:textId="77777777" w:rsidR="00E251B4" w:rsidRPr="00E251B4" w:rsidRDefault="00E251B4" w:rsidP="00E251B4">
      <w:pPr>
        <w:jc w:val="both"/>
        <w:rPr>
          <w:rFonts w:cs="Arial"/>
          <w:szCs w:val="20"/>
          <w:lang w:eastAsia="sl-SI"/>
        </w:rPr>
      </w:pPr>
    </w:p>
    <w:p w14:paraId="6066BBE8" w14:textId="77777777" w:rsidR="00E251B4" w:rsidRPr="00E251B4" w:rsidRDefault="00E251B4" w:rsidP="00E251B4">
      <w:pPr>
        <w:jc w:val="both"/>
        <w:rPr>
          <w:rFonts w:cs="Arial"/>
          <w:szCs w:val="20"/>
          <w:lang w:eastAsia="sl-SI"/>
        </w:rPr>
      </w:pPr>
      <w:r w:rsidRPr="00E251B4">
        <w:rPr>
          <w:rFonts w:cs="Arial"/>
          <w:szCs w:val="20"/>
          <w:lang w:eastAsia="sl-SI"/>
        </w:rPr>
        <w:t>Sklep narekuje spremembe in dopolnitve Posebnega vladnega projekta za nagrajevanje timov ambulant družinske medicine oziroma otroškega in šolskega dispanzerja (PVP). Poleg manjših vsebinskih sprememb pri točkah dve in pet, spremembe vključujejo nov, peti odstavek v sedmi točki priloge, ki se nanaša na izplačilo delovne uspešnosti zdravnikom, ki so javni uslužbenci, in so nosilci tima. Ti so bili do sedaj nagrajeni tudi v primeru odsotnosti, sprememba pa določa obračun delovne uspešnosti sorazmerno z dejansko prisotnostjo zaposlenega, izplačilo delovne uspešnosti pa se lahko zmanjša izključno zaradi njegove odsotnosti. V 7. točki Priloge so torej natančneje opredeljena merila glede višine izplačila delovne uspešnosti iz naslova povečanega obsega dela.</w:t>
      </w:r>
    </w:p>
    <w:p w14:paraId="60439A4E" w14:textId="77777777" w:rsidR="00E251B4" w:rsidRPr="00E251B4" w:rsidRDefault="00E251B4" w:rsidP="00E251B4">
      <w:pPr>
        <w:jc w:val="both"/>
        <w:rPr>
          <w:rFonts w:cs="Arial"/>
          <w:szCs w:val="20"/>
          <w:lang w:eastAsia="sl-SI"/>
        </w:rPr>
      </w:pPr>
    </w:p>
    <w:p w14:paraId="1C83992D" w14:textId="77777777" w:rsidR="00E251B4" w:rsidRPr="00E251B4" w:rsidRDefault="00E251B4" w:rsidP="00E251B4">
      <w:pPr>
        <w:jc w:val="both"/>
        <w:rPr>
          <w:rFonts w:cs="Arial"/>
          <w:szCs w:val="20"/>
          <w:lang w:eastAsia="sl-SI"/>
        </w:rPr>
      </w:pPr>
      <w:r w:rsidRPr="00E251B4">
        <w:rPr>
          <w:rFonts w:cs="Arial"/>
          <w:szCs w:val="20"/>
          <w:lang w:eastAsia="sl-SI"/>
        </w:rPr>
        <w:t>Vir: Ministrstvo za zdravje</w:t>
      </w:r>
    </w:p>
    <w:p w14:paraId="05C77DAD" w14:textId="77777777" w:rsidR="003D4095" w:rsidRDefault="003D4095" w:rsidP="00374DF8">
      <w:pPr>
        <w:jc w:val="both"/>
        <w:rPr>
          <w:rFonts w:cs="Arial"/>
          <w:b/>
          <w:bCs/>
          <w:szCs w:val="20"/>
          <w:lang w:eastAsia="sl-SI"/>
        </w:rPr>
      </w:pPr>
    </w:p>
    <w:p w14:paraId="707FF4C8" w14:textId="127BFA41" w:rsidR="00374DF8" w:rsidRPr="00374DF8" w:rsidRDefault="00374DF8" w:rsidP="00374DF8">
      <w:pPr>
        <w:jc w:val="both"/>
        <w:rPr>
          <w:rFonts w:cs="Arial"/>
          <w:b/>
          <w:bCs/>
          <w:szCs w:val="20"/>
          <w:lang w:eastAsia="sl-SI"/>
        </w:rPr>
      </w:pPr>
      <w:r w:rsidRPr="00374DF8">
        <w:rPr>
          <w:rFonts w:cs="Arial"/>
          <w:b/>
          <w:bCs/>
          <w:szCs w:val="20"/>
          <w:lang w:eastAsia="sl-SI"/>
        </w:rPr>
        <w:t xml:space="preserve">Sklep o izvedbi državnega prostorskega načrtovanja za </w:t>
      </w:r>
      <w:proofErr w:type="spellStart"/>
      <w:r w:rsidRPr="00374DF8">
        <w:rPr>
          <w:rFonts w:cs="Arial"/>
          <w:b/>
          <w:bCs/>
          <w:szCs w:val="20"/>
          <w:lang w:eastAsia="sl-SI"/>
        </w:rPr>
        <w:t>ekodukt</w:t>
      </w:r>
      <w:proofErr w:type="spellEnd"/>
      <w:r w:rsidRPr="00374DF8">
        <w:rPr>
          <w:rFonts w:cs="Arial"/>
          <w:b/>
          <w:bCs/>
          <w:szCs w:val="20"/>
          <w:lang w:eastAsia="sl-SI"/>
        </w:rPr>
        <w:t xml:space="preserve"> na odseku avtoceste Unec–Postojna</w:t>
      </w:r>
    </w:p>
    <w:p w14:paraId="77DEA2A0" w14:textId="77777777" w:rsidR="00374DF8" w:rsidRPr="00374DF8" w:rsidRDefault="00374DF8" w:rsidP="00374DF8">
      <w:pPr>
        <w:jc w:val="both"/>
        <w:rPr>
          <w:rFonts w:cs="Arial"/>
          <w:b/>
          <w:bCs/>
          <w:szCs w:val="20"/>
          <w:lang w:eastAsia="sl-SI"/>
        </w:rPr>
      </w:pPr>
    </w:p>
    <w:p w14:paraId="3311CBA3" w14:textId="77777777" w:rsidR="00374DF8" w:rsidRPr="00374DF8" w:rsidRDefault="00374DF8" w:rsidP="00374DF8">
      <w:pPr>
        <w:jc w:val="both"/>
        <w:rPr>
          <w:rFonts w:cs="Arial"/>
          <w:szCs w:val="20"/>
          <w:lang w:eastAsia="sl-SI"/>
        </w:rPr>
      </w:pPr>
      <w:r w:rsidRPr="00374DF8">
        <w:rPr>
          <w:rFonts w:cs="Arial"/>
          <w:szCs w:val="20"/>
          <w:lang w:eastAsia="sl-SI"/>
        </w:rPr>
        <w:t xml:space="preserve">Vlada je sprejela Sklep o izvedbi državnega prostorskega načrtovanja za </w:t>
      </w:r>
      <w:proofErr w:type="spellStart"/>
      <w:r w:rsidRPr="00374DF8">
        <w:rPr>
          <w:rFonts w:cs="Arial"/>
          <w:szCs w:val="20"/>
          <w:lang w:eastAsia="sl-SI"/>
        </w:rPr>
        <w:t>ekodukt</w:t>
      </w:r>
      <w:proofErr w:type="spellEnd"/>
      <w:r w:rsidRPr="00374DF8">
        <w:rPr>
          <w:rFonts w:cs="Arial"/>
          <w:szCs w:val="20"/>
          <w:lang w:eastAsia="sl-SI"/>
        </w:rPr>
        <w:t xml:space="preserve"> na odseku avtoceste Unec–Postojna. Cilj prostorske ureditve je zagotovitev migracijskih koridorjev prostoživečim živalim, zmanjšanje </w:t>
      </w:r>
      <w:proofErr w:type="spellStart"/>
      <w:r w:rsidRPr="00374DF8">
        <w:rPr>
          <w:rFonts w:cs="Arial"/>
          <w:szCs w:val="20"/>
          <w:lang w:eastAsia="sl-SI"/>
        </w:rPr>
        <w:t>fragmentiranosti</w:t>
      </w:r>
      <w:proofErr w:type="spellEnd"/>
      <w:r w:rsidRPr="00374DF8">
        <w:rPr>
          <w:rFonts w:cs="Arial"/>
          <w:szCs w:val="20"/>
          <w:lang w:eastAsia="sl-SI"/>
        </w:rPr>
        <w:t xml:space="preserve"> migracijskih habitatov (predvsem za vrste iz skupin sesalci) in zagotavljanje varnosti voznikov pred trki s prostoživečimi živalmi.</w:t>
      </w:r>
    </w:p>
    <w:p w14:paraId="4CBDFB44" w14:textId="77777777" w:rsidR="00374DF8" w:rsidRPr="00374DF8" w:rsidRDefault="00374DF8" w:rsidP="00374DF8">
      <w:pPr>
        <w:jc w:val="both"/>
        <w:rPr>
          <w:rFonts w:cs="Arial"/>
          <w:szCs w:val="20"/>
          <w:lang w:eastAsia="sl-SI"/>
        </w:rPr>
      </w:pPr>
    </w:p>
    <w:p w14:paraId="2F5D2B62" w14:textId="77777777" w:rsidR="00374DF8" w:rsidRPr="00374DF8" w:rsidRDefault="00374DF8" w:rsidP="00374DF8">
      <w:pPr>
        <w:jc w:val="both"/>
        <w:rPr>
          <w:rFonts w:cs="Arial"/>
          <w:szCs w:val="20"/>
          <w:lang w:eastAsia="sl-SI"/>
        </w:rPr>
      </w:pPr>
      <w:r w:rsidRPr="00374DF8">
        <w:rPr>
          <w:rFonts w:cs="Arial"/>
          <w:szCs w:val="20"/>
          <w:lang w:eastAsia="sl-SI"/>
        </w:rPr>
        <w:t xml:space="preserve">Predmet izdelave državnega prostorskega načrta je umestitev </w:t>
      </w:r>
      <w:proofErr w:type="spellStart"/>
      <w:r w:rsidRPr="00374DF8">
        <w:rPr>
          <w:rFonts w:cs="Arial"/>
          <w:szCs w:val="20"/>
          <w:lang w:eastAsia="sl-SI"/>
        </w:rPr>
        <w:t>ekodukta</w:t>
      </w:r>
      <w:proofErr w:type="spellEnd"/>
      <w:r w:rsidRPr="00374DF8">
        <w:rPr>
          <w:rFonts w:cs="Arial"/>
          <w:szCs w:val="20"/>
          <w:lang w:eastAsia="sl-SI"/>
        </w:rPr>
        <w:t xml:space="preserve"> preko ograjene avtoceste, železnice in regionalne ceste za potrebe varnega prehajanja prostoživečih živali in za povečanje prometne varnosti voznikov. Velikost območja načrtovanja je okoli 4,2 hektara in zajema gozdno območje na meji občin Cerknica in Postojna.</w:t>
      </w:r>
    </w:p>
    <w:p w14:paraId="2456139D" w14:textId="77777777" w:rsidR="00374DF8" w:rsidRPr="00374DF8" w:rsidRDefault="00374DF8" w:rsidP="00374DF8">
      <w:pPr>
        <w:jc w:val="both"/>
        <w:rPr>
          <w:rFonts w:cs="Arial"/>
          <w:szCs w:val="20"/>
          <w:lang w:eastAsia="sl-SI"/>
        </w:rPr>
      </w:pPr>
    </w:p>
    <w:p w14:paraId="5AA30172" w14:textId="153B2CAE" w:rsidR="00923E78" w:rsidRPr="00374DF8" w:rsidRDefault="00374DF8" w:rsidP="00374DF8">
      <w:pPr>
        <w:jc w:val="both"/>
        <w:rPr>
          <w:rFonts w:cs="Arial"/>
          <w:szCs w:val="20"/>
          <w:lang w:eastAsia="sl-SI"/>
        </w:rPr>
      </w:pPr>
      <w:r w:rsidRPr="00374DF8">
        <w:rPr>
          <w:rFonts w:cs="Arial"/>
          <w:szCs w:val="20"/>
          <w:lang w:eastAsia="sl-SI"/>
        </w:rPr>
        <w:t>Vir: Ministrstvo za okolje in prostor</w:t>
      </w:r>
    </w:p>
    <w:p w14:paraId="3A7B5878" w14:textId="77777777" w:rsidR="00923E78" w:rsidRPr="00923E78" w:rsidRDefault="00923E78" w:rsidP="00923E78">
      <w:pPr>
        <w:jc w:val="both"/>
        <w:rPr>
          <w:rFonts w:cs="Arial"/>
          <w:b/>
          <w:bCs/>
          <w:szCs w:val="20"/>
          <w:lang w:eastAsia="sl-SI"/>
        </w:rPr>
      </w:pPr>
    </w:p>
    <w:p w14:paraId="4BE598FD" w14:textId="5BFD417B" w:rsidR="00282AD7" w:rsidRPr="00282AD7" w:rsidRDefault="00282AD7" w:rsidP="00282AD7">
      <w:pPr>
        <w:jc w:val="both"/>
        <w:rPr>
          <w:rFonts w:cs="Arial"/>
          <w:b/>
          <w:bCs/>
          <w:szCs w:val="20"/>
          <w:lang w:eastAsia="sl-SI"/>
        </w:rPr>
      </w:pPr>
      <w:r w:rsidRPr="00282AD7">
        <w:rPr>
          <w:rFonts w:cs="Arial"/>
          <w:b/>
          <w:bCs/>
          <w:szCs w:val="20"/>
          <w:lang w:eastAsia="sl-SI"/>
        </w:rPr>
        <w:t xml:space="preserve">Vpis Agencije za radioaktivne odpadke v sodni register Slovenije </w:t>
      </w:r>
    </w:p>
    <w:p w14:paraId="422B033E" w14:textId="77777777" w:rsidR="00282AD7" w:rsidRPr="00282AD7" w:rsidRDefault="00282AD7" w:rsidP="00282AD7">
      <w:pPr>
        <w:jc w:val="both"/>
        <w:rPr>
          <w:rFonts w:cs="Arial"/>
          <w:b/>
          <w:bCs/>
          <w:szCs w:val="20"/>
          <w:lang w:eastAsia="sl-SI"/>
        </w:rPr>
      </w:pPr>
    </w:p>
    <w:p w14:paraId="0728397E" w14:textId="49710329" w:rsidR="00282AD7" w:rsidRPr="008635DD" w:rsidRDefault="00282AD7" w:rsidP="00282AD7">
      <w:pPr>
        <w:jc w:val="both"/>
        <w:rPr>
          <w:rFonts w:cs="Arial"/>
          <w:szCs w:val="20"/>
          <w:lang w:eastAsia="sl-SI"/>
        </w:rPr>
      </w:pPr>
      <w:r w:rsidRPr="008635DD">
        <w:rPr>
          <w:rFonts w:cs="Arial"/>
          <w:szCs w:val="20"/>
          <w:lang w:eastAsia="sl-SI"/>
        </w:rPr>
        <w:t xml:space="preserve">Vlada je izdala ugotovitveni sklep zaradi postopka registracije subjekta v sodni register. Na podlagi 3. člena Odloka o ustanovitvi javnega gospodarskega zavoda ARAO – Agencija za radioaktivne odpadke je bila firma javnega gospodarskega zavoda  »ARAO - Agencija za radioaktivne odpadke, Ljubljana Prevod firme: ARAO - </w:t>
      </w:r>
      <w:proofErr w:type="spellStart"/>
      <w:r w:rsidRPr="008635DD">
        <w:rPr>
          <w:rFonts w:cs="Arial"/>
          <w:szCs w:val="20"/>
          <w:lang w:eastAsia="sl-SI"/>
        </w:rPr>
        <w:t>Agency</w:t>
      </w:r>
      <w:proofErr w:type="spellEnd"/>
      <w:r w:rsidRPr="008635DD">
        <w:rPr>
          <w:rFonts w:cs="Arial"/>
          <w:szCs w:val="20"/>
          <w:lang w:eastAsia="sl-SI"/>
        </w:rPr>
        <w:t xml:space="preserve"> </w:t>
      </w:r>
      <w:proofErr w:type="spellStart"/>
      <w:r w:rsidRPr="008635DD">
        <w:rPr>
          <w:rFonts w:cs="Arial"/>
          <w:szCs w:val="20"/>
          <w:lang w:eastAsia="sl-SI"/>
        </w:rPr>
        <w:t>for</w:t>
      </w:r>
      <w:proofErr w:type="spellEnd"/>
      <w:r w:rsidRPr="008635DD">
        <w:rPr>
          <w:rFonts w:cs="Arial"/>
          <w:szCs w:val="20"/>
          <w:lang w:eastAsia="sl-SI"/>
        </w:rPr>
        <w:t xml:space="preserve"> </w:t>
      </w:r>
      <w:proofErr w:type="spellStart"/>
      <w:r w:rsidRPr="008635DD">
        <w:rPr>
          <w:rFonts w:cs="Arial"/>
          <w:szCs w:val="20"/>
          <w:lang w:eastAsia="sl-SI"/>
        </w:rPr>
        <w:t>Radwaste</w:t>
      </w:r>
      <w:proofErr w:type="spellEnd"/>
      <w:r w:rsidRPr="008635DD">
        <w:rPr>
          <w:rFonts w:cs="Arial"/>
          <w:szCs w:val="20"/>
          <w:lang w:eastAsia="sl-SI"/>
        </w:rPr>
        <w:t xml:space="preserve"> Management, Ljubljana« spremenjena v »ARAO – Agencija za radioaktivne odpadke«. Pravnoorganizacijska oblika ostaja nespremenjena, in sicer – javni gospodarski zavod (skrajšano JGZ).  </w:t>
      </w:r>
    </w:p>
    <w:p w14:paraId="2D3253B1" w14:textId="77777777" w:rsidR="00282AD7" w:rsidRPr="008635DD" w:rsidRDefault="00282AD7" w:rsidP="00282AD7">
      <w:pPr>
        <w:jc w:val="both"/>
        <w:rPr>
          <w:rFonts w:cs="Arial"/>
          <w:szCs w:val="20"/>
          <w:lang w:eastAsia="sl-SI"/>
        </w:rPr>
      </w:pPr>
    </w:p>
    <w:p w14:paraId="28FDB635" w14:textId="7EC17AA0" w:rsidR="00923E78" w:rsidRPr="008635DD" w:rsidRDefault="00282AD7" w:rsidP="00282AD7">
      <w:pPr>
        <w:jc w:val="both"/>
        <w:rPr>
          <w:rFonts w:cs="Arial"/>
          <w:szCs w:val="20"/>
          <w:lang w:eastAsia="sl-SI"/>
        </w:rPr>
      </w:pPr>
      <w:r w:rsidRPr="008635DD">
        <w:rPr>
          <w:rFonts w:cs="Arial"/>
          <w:szCs w:val="20"/>
          <w:lang w:eastAsia="sl-SI"/>
        </w:rPr>
        <w:t>Vir: Ministrstvo za okolje in prostor</w:t>
      </w:r>
    </w:p>
    <w:p w14:paraId="2843D517" w14:textId="77777777" w:rsidR="00923E78" w:rsidRPr="00923E78" w:rsidRDefault="00923E78" w:rsidP="00923E78">
      <w:pPr>
        <w:jc w:val="both"/>
        <w:rPr>
          <w:rFonts w:cs="Arial"/>
          <w:b/>
          <w:bCs/>
          <w:szCs w:val="20"/>
          <w:lang w:eastAsia="sl-SI"/>
        </w:rPr>
      </w:pPr>
    </w:p>
    <w:p w14:paraId="334AE572" w14:textId="1514721B" w:rsidR="00200D4F" w:rsidRPr="00200D4F" w:rsidRDefault="00200D4F" w:rsidP="00200D4F">
      <w:pPr>
        <w:jc w:val="both"/>
        <w:rPr>
          <w:rFonts w:cs="Arial"/>
          <w:b/>
          <w:bCs/>
          <w:szCs w:val="20"/>
          <w:lang w:eastAsia="sl-SI"/>
        </w:rPr>
      </w:pPr>
      <w:r w:rsidRPr="00200D4F">
        <w:rPr>
          <w:rFonts w:cs="Arial"/>
          <w:b/>
          <w:bCs/>
          <w:szCs w:val="20"/>
          <w:lang w:eastAsia="sl-SI"/>
        </w:rPr>
        <w:t>Omejitve vpisa v dodiplomske in enovite magistrske študijske programe</w:t>
      </w:r>
    </w:p>
    <w:p w14:paraId="5B51211D" w14:textId="77777777" w:rsidR="00200D4F" w:rsidRPr="00200D4F" w:rsidRDefault="00200D4F" w:rsidP="00200D4F">
      <w:pPr>
        <w:jc w:val="both"/>
        <w:rPr>
          <w:rFonts w:cs="Arial"/>
          <w:b/>
          <w:bCs/>
          <w:szCs w:val="20"/>
          <w:lang w:eastAsia="sl-SI"/>
        </w:rPr>
      </w:pPr>
    </w:p>
    <w:p w14:paraId="52703DCC" w14:textId="77777777" w:rsidR="00200D4F" w:rsidRPr="00200D4F" w:rsidRDefault="00200D4F" w:rsidP="00200D4F">
      <w:pPr>
        <w:jc w:val="both"/>
        <w:rPr>
          <w:rFonts w:cs="Arial"/>
          <w:szCs w:val="20"/>
          <w:lang w:eastAsia="sl-SI"/>
        </w:rPr>
      </w:pPr>
      <w:r w:rsidRPr="00200D4F">
        <w:rPr>
          <w:rFonts w:cs="Arial"/>
          <w:szCs w:val="20"/>
          <w:lang w:eastAsia="sl-SI"/>
        </w:rPr>
        <w:t xml:space="preserve">Vlada Republike Slovenije je na dopisni seji sprejela sklep o soglasju k omejitvam vpisa v dodiplomske in enovite magistrske študijske programe na javnih in koncesioniranih visokošolskih zavodih v študijskem letu 2022/2023. Pristojni organi visokošolskih zavodov so sprejeli sklepe o omejitvi vpisa za skupaj 89 študijskih programov oziroma smeri. </w:t>
      </w:r>
    </w:p>
    <w:p w14:paraId="36FF9E9D" w14:textId="77777777" w:rsidR="00200D4F" w:rsidRPr="00200D4F" w:rsidRDefault="00200D4F" w:rsidP="00200D4F">
      <w:pPr>
        <w:jc w:val="both"/>
        <w:rPr>
          <w:rFonts w:cs="Arial"/>
          <w:szCs w:val="20"/>
          <w:lang w:eastAsia="sl-SI"/>
        </w:rPr>
      </w:pPr>
    </w:p>
    <w:p w14:paraId="0774CF45" w14:textId="77777777" w:rsidR="00200D4F" w:rsidRPr="00200D4F" w:rsidRDefault="00200D4F" w:rsidP="00200D4F">
      <w:pPr>
        <w:jc w:val="both"/>
        <w:rPr>
          <w:rFonts w:cs="Arial"/>
          <w:szCs w:val="20"/>
          <w:lang w:eastAsia="sl-SI"/>
        </w:rPr>
      </w:pPr>
      <w:r w:rsidRPr="00200D4F">
        <w:rPr>
          <w:rFonts w:cs="Arial"/>
          <w:szCs w:val="20"/>
          <w:lang w:eastAsia="sl-SI"/>
        </w:rPr>
        <w:t>Univerza v Ljubljani je za tri študijske programa z omejitvijo vpisa predlagala povečanje vpisnih mest, in sicer na:</w:t>
      </w:r>
    </w:p>
    <w:p w14:paraId="27404290" w14:textId="67224191" w:rsidR="00200D4F" w:rsidRPr="00011FC6" w:rsidRDefault="00200D4F" w:rsidP="00011FC6">
      <w:pPr>
        <w:pStyle w:val="Odstavekseznama"/>
        <w:numPr>
          <w:ilvl w:val="0"/>
          <w:numId w:val="10"/>
        </w:numPr>
        <w:jc w:val="both"/>
        <w:rPr>
          <w:rFonts w:cs="Arial"/>
          <w:szCs w:val="20"/>
          <w:lang w:eastAsia="sl-SI"/>
        </w:rPr>
      </w:pPr>
      <w:r w:rsidRPr="00011FC6">
        <w:rPr>
          <w:rFonts w:cs="Arial"/>
          <w:szCs w:val="20"/>
          <w:lang w:eastAsia="sl-SI"/>
        </w:rPr>
        <w:t xml:space="preserve">univerzitetnem študijskem programu prve stopnje Biokemija na Fakulteti za kemijo in kemijsko tehnologijo iz 45 na 50 rednih mest, </w:t>
      </w:r>
    </w:p>
    <w:p w14:paraId="67466680" w14:textId="6C60E033" w:rsidR="00200D4F" w:rsidRPr="00011FC6" w:rsidRDefault="00200D4F" w:rsidP="00011FC6">
      <w:pPr>
        <w:pStyle w:val="Odstavekseznama"/>
        <w:numPr>
          <w:ilvl w:val="0"/>
          <w:numId w:val="10"/>
        </w:numPr>
        <w:jc w:val="both"/>
        <w:rPr>
          <w:rFonts w:cs="Arial"/>
          <w:szCs w:val="20"/>
          <w:lang w:eastAsia="sl-SI"/>
        </w:rPr>
      </w:pPr>
      <w:r w:rsidRPr="00011FC6">
        <w:rPr>
          <w:rFonts w:cs="Arial"/>
          <w:szCs w:val="20"/>
          <w:lang w:eastAsia="sl-SI"/>
        </w:rPr>
        <w:t xml:space="preserve">univerzitetnem študijskem programu prve stopnje Oblikovanje tekstilij in oblačil na Naravoslovnotehniški fakulteti iz 30 na 33 rednih mest in </w:t>
      </w:r>
    </w:p>
    <w:p w14:paraId="12D734B0" w14:textId="1B0F526F" w:rsidR="00200D4F" w:rsidRPr="00011FC6" w:rsidRDefault="00200D4F" w:rsidP="00011FC6">
      <w:pPr>
        <w:pStyle w:val="Odstavekseznama"/>
        <w:numPr>
          <w:ilvl w:val="0"/>
          <w:numId w:val="10"/>
        </w:numPr>
        <w:jc w:val="both"/>
        <w:rPr>
          <w:rFonts w:cs="Arial"/>
          <w:szCs w:val="20"/>
          <w:lang w:eastAsia="sl-SI"/>
        </w:rPr>
      </w:pPr>
      <w:r w:rsidRPr="00011FC6">
        <w:rPr>
          <w:rFonts w:cs="Arial"/>
          <w:szCs w:val="20"/>
          <w:lang w:eastAsia="sl-SI"/>
        </w:rPr>
        <w:t>visokošolskem strokovnem študijskem programu prve stopnje Operativno gradbeništvo na Fakulteti za   gradbeništvo in geodezijo iz 60 na 79 rednih mest.</w:t>
      </w:r>
    </w:p>
    <w:p w14:paraId="650D04E6" w14:textId="77777777" w:rsidR="00200D4F" w:rsidRPr="00200D4F" w:rsidRDefault="00200D4F" w:rsidP="00200D4F">
      <w:pPr>
        <w:jc w:val="both"/>
        <w:rPr>
          <w:rFonts w:cs="Arial"/>
          <w:szCs w:val="20"/>
          <w:lang w:eastAsia="sl-SI"/>
        </w:rPr>
      </w:pPr>
    </w:p>
    <w:p w14:paraId="7BCBE2ED" w14:textId="3F81D7E7" w:rsidR="00923E78" w:rsidRPr="00200D4F" w:rsidRDefault="00200D4F" w:rsidP="00200D4F">
      <w:pPr>
        <w:jc w:val="both"/>
        <w:rPr>
          <w:rFonts w:cs="Arial"/>
          <w:szCs w:val="20"/>
          <w:lang w:eastAsia="sl-SI"/>
        </w:rPr>
      </w:pPr>
      <w:r w:rsidRPr="00200D4F">
        <w:rPr>
          <w:rFonts w:cs="Arial"/>
          <w:szCs w:val="20"/>
          <w:lang w:eastAsia="sl-SI"/>
        </w:rPr>
        <w:t>Vir: Ministrstvo za izobraževanje, znanost in šport</w:t>
      </w:r>
    </w:p>
    <w:p w14:paraId="57CDA3D8" w14:textId="77777777" w:rsidR="00923E78" w:rsidRPr="00923E78" w:rsidRDefault="00923E78" w:rsidP="00923E78">
      <w:pPr>
        <w:jc w:val="both"/>
        <w:rPr>
          <w:rFonts w:cs="Arial"/>
          <w:b/>
          <w:bCs/>
          <w:szCs w:val="20"/>
          <w:lang w:eastAsia="sl-SI"/>
        </w:rPr>
      </w:pPr>
    </w:p>
    <w:p w14:paraId="11A50419" w14:textId="3FB05AE9" w:rsidR="00A162B9" w:rsidRPr="00A162B9" w:rsidRDefault="00A162B9" w:rsidP="00A162B9">
      <w:pPr>
        <w:jc w:val="both"/>
        <w:rPr>
          <w:rFonts w:cs="Arial"/>
          <w:b/>
          <w:bCs/>
          <w:szCs w:val="20"/>
          <w:lang w:eastAsia="sl-SI"/>
        </w:rPr>
      </w:pPr>
      <w:r w:rsidRPr="00A162B9">
        <w:rPr>
          <w:rFonts w:cs="Arial"/>
          <w:b/>
          <w:bCs/>
          <w:szCs w:val="20"/>
          <w:lang w:eastAsia="sl-SI"/>
        </w:rPr>
        <w:t>Vlada prerazporedila sredstva državnega proračuna</w:t>
      </w:r>
    </w:p>
    <w:p w14:paraId="029AE37D" w14:textId="77777777" w:rsidR="00A162B9" w:rsidRPr="00BC0A55" w:rsidRDefault="00A162B9" w:rsidP="00A162B9">
      <w:pPr>
        <w:jc w:val="both"/>
        <w:rPr>
          <w:rFonts w:cs="Arial"/>
          <w:szCs w:val="20"/>
          <w:lang w:eastAsia="sl-SI"/>
        </w:rPr>
      </w:pPr>
    </w:p>
    <w:p w14:paraId="0B15F2ED" w14:textId="77777777" w:rsidR="00A162B9" w:rsidRPr="00BC0A55" w:rsidRDefault="00A162B9" w:rsidP="00A162B9">
      <w:pPr>
        <w:jc w:val="both"/>
        <w:rPr>
          <w:rFonts w:cs="Arial"/>
          <w:szCs w:val="20"/>
          <w:lang w:eastAsia="sl-SI"/>
        </w:rPr>
      </w:pPr>
      <w:r w:rsidRPr="00BC0A55">
        <w:rPr>
          <w:rFonts w:cs="Arial"/>
          <w:szCs w:val="20"/>
          <w:lang w:eastAsia="sl-SI"/>
        </w:rPr>
        <w:t>Vlada je prerazporedila sredstva državnega proračuna. Med drugim je Finančni upravi Republike Slovenije razporedila devet milijonov evrov za pokritje covid-19 obveznosti. Finančna uprava Republike Slovenije bo ponudnikom storitev izplačala sredstva v višini unovčenih bonov za plačilo storitev s področja gostinstva, turizma, športa in kulture.</w:t>
      </w:r>
    </w:p>
    <w:p w14:paraId="641530A2" w14:textId="77777777" w:rsidR="00A162B9" w:rsidRPr="00BC0A55" w:rsidRDefault="00A162B9" w:rsidP="00A162B9">
      <w:pPr>
        <w:jc w:val="both"/>
        <w:rPr>
          <w:rFonts w:cs="Arial"/>
          <w:szCs w:val="20"/>
          <w:lang w:eastAsia="sl-SI"/>
        </w:rPr>
      </w:pPr>
    </w:p>
    <w:p w14:paraId="1BF7B313" w14:textId="77777777" w:rsidR="00A162B9" w:rsidRPr="00BC0A55" w:rsidRDefault="00A162B9" w:rsidP="00A162B9">
      <w:pPr>
        <w:jc w:val="both"/>
        <w:rPr>
          <w:rFonts w:cs="Arial"/>
          <w:szCs w:val="20"/>
          <w:lang w:eastAsia="sl-SI"/>
        </w:rPr>
      </w:pPr>
      <w:r w:rsidRPr="00BC0A55">
        <w:rPr>
          <w:rFonts w:cs="Arial"/>
          <w:szCs w:val="20"/>
          <w:lang w:eastAsia="sl-SI"/>
        </w:rPr>
        <w:t>V okviru finančnega načrta Ministrstva za zdravje je vlada prerazporedila 5,9 milijona evrov. Sredstva bodo prerazporejen na postavke namenjene pokrivanju covid-19 izdatkov.</w:t>
      </w:r>
    </w:p>
    <w:p w14:paraId="089DB09B" w14:textId="77777777" w:rsidR="00A162B9" w:rsidRPr="00BC0A55" w:rsidRDefault="00A162B9" w:rsidP="00A162B9">
      <w:pPr>
        <w:jc w:val="both"/>
        <w:rPr>
          <w:rFonts w:cs="Arial"/>
          <w:szCs w:val="20"/>
          <w:lang w:eastAsia="sl-SI"/>
        </w:rPr>
      </w:pPr>
    </w:p>
    <w:p w14:paraId="248CCF7A" w14:textId="77777777" w:rsidR="00A162B9" w:rsidRPr="00BC0A55" w:rsidRDefault="00A162B9" w:rsidP="00A162B9">
      <w:pPr>
        <w:jc w:val="both"/>
        <w:rPr>
          <w:rFonts w:cs="Arial"/>
          <w:szCs w:val="20"/>
          <w:lang w:eastAsia="sl-SI"/>
        </w:rPr>
      </w:pPr>
      <w:r w:rsidRPr="00BC0A55">
        <w:rPr>
          <w:rFonts w:cs="Arial"/>
          <w:szCs w:val="20"/>
          <w:lang w:eastAsia="sl-SI"/>
        </w:rPr>
        <w:t xml:space="preserve">Znotraj finančnega načrta Ministrstva za delo, družino, socialne zadeve in enake možnosti je vlada prerazporedila dobre štiri milijone evrov. Sredstva bodo namenjena za financiranje javnih pooblastil Skupnosti socialnih zavodov Slovenije, in sicer za vodenje centralne zbirke podatkov s področja dejavnosti skupnosti in upravljanja centralne zbirke osebnih podatkov na tem področju ter za izvedbo izobraževanj za delavce, ki niso strokovni delavci ali sodelavci po Zakonu o socialnem varstvu, ter za izplačilo delnega plačila za izgubljeni dohodek družinskim pomočnikom in za refundacijo občinam, ki krijejo stroške financiranja družinskega pomočnika v breme države. </w:t>
      </w:r>
    </w:p>
    <w:p w14:paraId="49003264" w14:textId="77777777" w:rsidR="00A162B9" w:rsidRPr="00BC0A55" w:rsidRDefault="00A162B9" w:rsidP="00A162B9">
      <w:pPr>
        <w:jc w:val="both"/>
        <w:rPr>
          <w:rFonts w:cs="Arial"/>
          <w:szCs w:val="20"/>
          <w:lang w:eastAsia="sl-SI"/>
        </w:rPr>
      </w:pPr>
    </w:p>
    <w:p w14:paraId="279A1393" w14:textId="77777777" w:rsidR="00A162B9" w:rsidRPr="00BC0A55" w:rsidRDefault="00A162B9" w:rsidP="00A162B9">
      <w:pPr>
        <w:jc w:val="both"/>
        <w:rPr>
          <w:rFonts w:cs="Arial"/>
          <w:szCs w:val="20"/>
          <w:lang w:eastAsia="sl-SI"/>
        </w:rPr>
      </w:pPr>
      <w:r w:rsidRPr="00BC0A55">
        <w:rPr>
          <w:rFonts w:cs="Arial"/>
          <w:szCs w:val="20"/>
          <w:lang w:eastAsia="sl-SI"/>
        </w:rPr>
        <w:t>Vlada je v okviru finančnega načrta Ministrstva za delo, družino, socialne zadeve in enake možnosti prerazporedila skoraj 195 tisoč evrov za izplačila po interventnih ukrepih, in sicer povračila nadomestila plače za karanteno, višjo silo, skrajšani polni delovni čas in začasno čakanje na delo.</w:t>
      </w:r>
    </w:p>
    <w:p w14:paraId="5CEDC1CC" w14:textId="77777777" w:rsidR="00A162B9" w:rsidRPr="00BC0A55" w:rsidRDefault="00A162B9" w:rsidP="00A162B9">
      <w:pPr>
        <w:jc w:val="both"/>
        <w:rPr>
          <w:rFonts w:cs="Arial"/>
          <w:szCs w:val="20"/>
          <w:lang w:eastAsia="sl-SI"/>
        </w:rPr>
      </w:pPr>
    </w:p>
    <w:p w14:paraId="07137827" w14:textId="28308F52" w:rsidR="00923E78" w:rsidRPr="00BC0A55" w:rsidRDefault="00A162B9" w:rsidP="00A162B9">
      <w:pPr>
        <w:jc w:val="both"/>
        <w:rPr>
          <w:rFonts w:cs="Arial"/>
          <w:szCs w:val="20"/>
          <w:lang w:eastAsia="sl-SI"/>
        </w:rPr>
      </w:pPr>
      <w:r w:rsidRPr="00BC0A55">
        <w:rPr>
          <w:rFonts w:cs="Arial"/>
          <w:szCs w:val="20"/>
          <w:lang w:eastAsia="sl-SI"/>
        </w:rPr>
        <w:t>Vir: Ministrstvo za finance</w:t>
      </w:r>
    </w:p>
    <w:p w14:paraId="10F52C1D" w14:textId="77777777" w:rsidR="00923E78" w:rsidRPr="00923E78" w:rsidRDefault="00923E78" w:rsidP="00923E78">
      <w:pPr>
        <w:jc w:val="both"/>
        <w:rPr>
          <w:rFonts w:cs="Arial"/>
          <w:b/>
          <w:bCs/>
          <w:szCs w:val="20"/>
          <w:lang w:eastAsia="sl-SI"/>
        </w:rPr>
      </w:pPr>
    </w:p>
    <w:p w14:paraId="3DB75C3F" w14:textId="49E8163C" w:rsidR="003A74B4" w:rsidRPr="003A74B4" w:rsidRDefault="003A74B4" w:rsidP="003A74B4">
      <w:pPr>
        <w:jc w:val="both"/>
        <w:rPr>
          <w:rFonts w:cs="Arial"/>
          <w:b/>
          <w:bCs/>
          <w:szCs w:val="20"/>
          <w:lang w:eastAsia="sl-SI"/>
        </w:rPr>
      </w:pPr>
      <w:r>
        <w:rPr>
          <w:rFonts w:cs="Arial"/>
          <w:b/>
          <w:bCs/>
          <w:szCs w:val="20"/>
          <w:lang w:eastAsia="sl-SI"/>
        </w:rPr>
        <w:lastRenderedPageBreak/>
        <w:t>P</w:t>
      </w:r>
      <w:r w:rsidRPr="003A74B4">
        <w:rPr>
          <w:rFonts w:cs="Arial"/>
          <w:b/>
          <w:bCs/>
          <w:szCs w:val="20"/>
          <w:lang w:eastAsia="sl-SI"/>
        </w:rPr>
        <w:t>omoč civilne zaščite pri oskrbi bolnikov s covidom-19 ni več potrebna</w:t>
      </w:r>
    </w:p>
    <w:p w14:paraId="3E5AB4C7" w14:textId="77777777" w:rsidR="003A74B4" w:rsidRPr="003A74B4" w:rsidRDefault="003A74B4" w:rsidP="003A74B4">
      <w:pPr>
        <w:jc w:val="both"/>
        <w:rPr>
          <w:rFonts w:cs="Arial"/>
          <w:b/>
          <w:bCs/>
          <w:szCs w:val="20"/>
          <w:lang w:eastAsia="sl-SI"/>
        </w:rPr>
      </w:pPr>
    </w:p>
    <w:p w14:paraId="38D6129B" w14:textId="77777777" w:rsidR="003A74B4" w:rsidRPr="003A74B4" w:rsidRDefault="003A74B4" w:rsidP="003A74B4">
      <w:pPr>
        <w:jc w:val="both"/>
        <w:rPr>
          <w:rFonts w:cs="Arial"/>
          <w:szCs w:val="20"/>
          <w:lang w:eastAsia="sl-SI"/>
        </w:rPr>
      </w:pPr>
      <w:r w:rsidRPr="003A74B4">
        <w:rPr>
          <w:rFonts w:cs="Arial"/>
          <w:szCs w:val="20"/>
          <w:lang w:eastAsia="sl-SI"/>
        </w:rPr>
        <w:t xml:space="preserve">Vlada Republike Slovenije je sprejela sklep o prenehanju veljavnosti sklepa Vlade Republike Slovenije, sprejetega 11. november 2021 o uporabi kadrovskih zmogljivosti Civilne zaščite Republike Slovenije za potrebe izvajanja pomoči pri oskrbi bolnikov v zdravstvenih ali socialno-varstvenih ustanovah za uspešno spopadanje s covidom-19. Sklep je bil novembra 2021 sprejet zaradi kadrovske preobremenjenosti v zdravstvenih in socialno-varstvenih ustanovah, tudi z namenom preprečevanja zloma zdravstvenega sistema ter s ciljem, da se ohrani primerna oskrba bolnikov na nacionalnem nivoju. </w:t>
      </w:r>
    </w:p>
    <w:p w14:paraId="079495C2" w14:textId="77777777" w:rsidR="003A74B4" w:rsidRPr="003A74B4" w:rsidRDefault="003A74B4" w:rsidP="003A74B4">
      <w:pPr>
        <w:jc w:val="both"/>
        <w:rPr>
          <w:rFonts w:cs="Arial"/>
          <w:szCs w:val="20"/>
          <w:lang w:eastAsia="sl-SI"/>
        </w:rPr>
      </w:pPr>
    </w:p>
    <w:p w14:paraId="6A41F7F5" w14:textId="77777777" w:rsidR="003A74B4" w:rsidRPr="003A74B4" w:rsidRDefault="003A74B4" w:rsidP="003A74B4">
      <w:pPr>
        <w:jc w:val="both"/>
        <w:rPr>
          <w:rFonts w:cs="Arial"/>
          <w:szCs w:val="20"/>
          <w:lang w:eastAsia="sl-SI"/>
        </w:rPr>
      </w:pPr>
      <w:r w:rsidRPr="003A74B4">
        <w:rPr>
          <w:rFonts w:cs="Arial"/>
          <w:szCs w:val="20"/>
          <w:lang w:eastAsia="sl-SI"/>
        </w:rPr>
        <w:t>Zaradi izboljšanja epidemioloških razmer v Republiki Sloveniji ni več potreb po izvajanju pomoči pri oskrbi bolnikov v zdravstvu in socialno-varstvenih ustanovah z uporabo kadrovskih zmogljivosti Civilne zaščite Republike Slovenije, zato je Vlada Republike Slovenije sprejela sklep o prenehanju veljavnosti omenjenega sklepa.</w:t>
      </w:r>
    </w:p>
    <w:p w14:paraId="7FD272F4" w14:textId="77777777" w:rsidR="003A74B4" w:rsidRPr="003A74B4" w:rsidRDefault="003A74B4" w:rsidP="003A74B4">
      <w:pPr>
        <w:jc w:val="both"/>
        <w:rPr>
          <w:rFonts w:cs="Arial"/>
          <w:szCs w:val="20"/>
          <w:lang w:eastAsia="sl-SI"/>
        </w:rPr>
      </w:pPr>
    </w:p>
    <w:p w14:paraId="28AA1400" w14:textId="4790EBA2" w:rsidR="00923E78" w:rsidRPr="003A74B4" w:rsidRDefault="003A74B4" w:rsidP="003A74B4">
      <w:pPr>
        <w:jc w:val="both"/>
        <w:rPr>
          <w:rFonts w:cs="Arial"/>
          <w:szCs w:val="20"/>
          <w:lang w:eastAsia="sl-SI"/>
        </w:rPr>
      </w:pPr>
      <w:r w:rsidRPr="003A74B4">
        <w:rPr>
          <w:rFonts w:cs="Arial"/>
          <w:szCs w:val="20"/>
          <w:lang w:eastAsia="sl-SI"/>
        </w:rPr>
        <w:t>Vir: Ministrstvo za obrambo</w:t>
      </w:r>
    </w:p>
    <w:p w14:paraId="1FCE1812" w14:textId="77777777" w:rsidR="00923E78" w:rsidRPr="00923E78" w:rsidRDefault="00923E78" w:rsidP="00923E78">
      <w:pPr>
        <w:jc w:val="both"/>
        <w:rPr>
          <w:rFonts w:cs="Arial"/>
          <w:b/>
          <w:bCs/>
          <w:szCs w:val="20"/>
          <w:lang w:eastAsia="sl-SI"/>
        </w:rPr>
      </w:pPr>
    </w:p>
    <w:p w14:paraId="396E3428" w14:textId="4006C71A" w:rsidR="00451C41" w:rsidRPr="00451C41" w:rsidRDefault="00451C41" w:rsidP="00451C41">
      <w:pPr>
        <w:jc w:val="both"/>
        <w:rPr>
          <w:rFonts w:cs="Arial"/>
          <w:b/>
          <w:bCs/>
          <w:szCs w:val="20"/>
          <w:lang w:eastAsia="sl-SI"/>
        </w:rPr>
      </w:pPr>
      <w:r w:rsidRPr="00451C41">
        <w:rPr>
          <w:rFonts w:cs="Arial"/>
          <w:b/>
          <w:bCs/>
          <w:szCs w:val="20"/>
          <w:lang w:eastAsia="sl-SI"/>
        </w:rPr>
        <w:t>Vlada o sklenitvi pogodbe o ureditvi razmerij pri izvajanju poroštvene sheme</w:t>
      </w:r>
    </w:p>
    <w:p w14:paraId="53D3C2BD" w14:textId="77777777" w:rsidR="00451C41" w:rsidRPr="00451C41" w:rsidRDefault="00451C41" w:rsidP="00451C41">
      <w:pPr>
        <w:jc w:val="both"/>
        <w:rPr>
          <w:rFonts w:cs="Arial"/>
          <w:b/>
          <w:bCs/>
          <w:szCs w:val="20"/>
          <w:lang w:eastAsia="sl-SI"/>
        </w:rPr>
      </w:pPr>
    </w:p>
    <w:p w14:paraId="7DE2AF30" w14:textId="77777777" w:rsidR="00451C41" w:rsidRPr="00451C41" w:rsidRDefault="00451C41" w:rsidP="00451C41">
      <w:pPr>
        <w:jc w:val="both"/>
        <w:rPr>
          <w:rFonts w:cs="Arial"/>
          <w:szCs w:val="20"/>
          <w:lang w:eastAsia="sl-SI"/>
        </w:rPr>
      </w:pPr>
      <w:r w:rsidRPr="00451C41">
        <w:rPr>
          <w:rFonts w:cs="Arial"/>
          <w:szCs w:val="20"/>
          <w:lang w:eastAsia="sl-SI"/>
        </w:rPr>
        <w:t>Vlada je sprejela sklep o sklenitvi pogodbe o ureditvi razmerij pri izvajanju predpisov o poroštveni shemi po 65. členu Zakona o interventnih ukrepih za zajezitev epidemije COVID-19 in omilitev njenih posledic za državljane in gospodarstvo ter pri izvajanju predpisov o poroštveni shemi po Zakonu o zagotovitvi dodatne likvidnosti gospodarstvu za omilitev posledic epidemije COVID-19.</w:t>
      </w:r>
    </w:p>
    <w:p w14:paraId="7C67BF2B" w14:textId="77777777" w:rsidR="00451C41" w:rsidRPr="00451C41" w:rsidRDefault="00451C41" w:rsidP="00451C41">
      <w:pPr>
        <w:jc w:val="both"/>
        <w:rPr>
          <w:rFonts w:cs="Arial"/>
          <w:szCs w:val="20"/>
          <w:lang w:eastAsia="sl-SI"/>
        </w:rPr>
      </w:pPr>
    </w:p>
    <w:p w14:paraId="331DC2D7" w14:textId="77777777" w:rsidR="00451C41" w:rsidRPr="00451C41" w:rsidRDefault="00451C41" w:rsidP="00451C41">
      <w:pPr>
        <w:jc w:val="both"/>
        <w:rPr>
          <w:rFonts w:cs="Arial"/>
          <w:szCs w:val="20"/>
          <w:lang w:eastAsia="sl-SI"/>
        </w:rPr>
      </w:pPr>
      <w:r w:rsidRPr="00451C41">
        <w:rPr>
          <w:rFonts w:cs="Arial"/>
          <w:szCs w:val="20"/>
          <w:lang w:eastAsia="sl-SI"/>
        </w:rPr>
        <w:t xml:space="preserve">S Pogodbo o ureditvi razmerij pri izvajanju predpisov o poroštveni shemi po 65. členu Zakona o interventnih ukrepih za zajezitev epidemije COVID-19 in omilitev njenih posledic za državljane in gospodarstvo ter pri izvajanju predpisov o poroštveni shemi po Zakonu o zagotovitvi dodatne likvidnosti gospodarstvu za omilitev posledic epidemije COVID-19, se podrobneje ureja storitve in postopke, ki jih opravlja Slovenska izvozna in razvojna banka. </w:t>
      </w:r>
    </w:p>
    <w:p w14:paraId="17C89371" w14:textId="77777777" w:rsidR="00451C41" w:rsidRPr="00451C41" w:rsidRDefault="00451C41" w:rsidP="00451C41">
      <w:pPr>
        <w:jc w:val="both"/>
        <w:rPr>
          <w:rFonts w:cs="Arial"/>
          <w:szCs w:val="20"/>
          <w:lang w:eastAsia="sl-SI"/>
        </w:rPr>
      </w:pPr>
    </w:p>
    <w:p w14:paraId="407E3CBC" w14:textId="04CD07A8" w:rsidR="00923E78" w:rsidRPr="00451C41" w:rsidRDefault="00451C41" w:rsidP="00451C41">
      <w:pPr>
        <w:jc w:val="both"/>
        <w:rPr>
          <w:rFonts w:cs="Arial"/>
          <w:szCs w:val="20"/>
          <w:lang w:eastAsia="sl-SI"/>
        </w:rPr>
      </w:pPr>
      <w:r w:rsidRPr="00451C41">
        <w:rPr>
          <w:rFonts w:cs="Arial"/>
          <w:szCs w:val="20"/>
          <w:lang w:eastAsia="sl-SI"/>
        </w:rPr>
        <w:t>Vir: Ministrstvo za finance</w:t>
      </w:r>
    </w:p>
    <w:p w14:paraId="45ECDC1A" w14:textId="77777777" w:rsidR="00923E78" w:rsidRPr="00923E78" w:rsidRDefault="00923E78" w:rsidP="00923E78">
      <w:pPr>
        <w:jc w:val="both"/>
        <w:rPr>
          <w:rFonts w:cs="Arial"/>
          <w:b/>
          <w:bCs/>
          <w:szCs w:val="20"/>
          <w:lang w:eastAsia="sl-SI"/>
        </w:rPr>
      </w:pPr>
    </w:p>
    <w:p w14:paraId="63565EF8" w14:textId="6856AEEF" w:rsidR="00A9605B" w:rsidRPr="00A9605B" w:rsidRDefault="00A9605B" w:rsidP="00A9605B">
      <w:pPr>
        <w:jc w:val="both"/>
        <w:rPr>
          <w:rFonts w:cs="Arial"/>
          <w:b/>
          <w:bCs/>
          <w:szCs w:val="20"/>
          <w:lang w:eastAsia="sl-SI"/>
        </w:rPr>
      </w:pPr>
      <w:r w:rsidRPr="00A9605B">
        <w:rPr>
          <w:rFonts w:cs="Arial"/>
          <w:b/>
          <w:bCs/>
          <w:szCs w:val="20"/>
          <w:lang w:eastAsia="sl-SI"/>
        </w:rPr>
        <w:t>Pet</w:t>
      </w:r>
      <w:r>
        <w:rPr>
          <w:rFonts w:cs="Arial"/>
          <w:b/>
          <w:bCs/>
          <w:szCs w:val="20"/>
          <w:lang w:eastAsia="sl-SI"/>
        </w:rPr>
        <w:t>o</w:t>
      </w:r>
      <w:r w:rsidRPr="00A9605B">
        <w:rPr>
          <w:rFonts w:cs="Arial"/>
          <w:b/>
          <w:bCs/>
          <w:szCs w:val="20"/>
          <w:lang w:eastAsia="sl-SI"/>
        </w:rPr>
        <w:t xml:space="preserve"> poročilo Projektnega sveta za civilni nadzor nad izvajanjem projekta izgradnje drugega tira železniške proge Divača–Koper</w:t>
      </w:r>
    </w:p>
    <w:p w14:paraId="03862A29" w14:textId="77777777" w:rsidR="00A9605B" w:rsidRPr="00A9605B" w:rsidRDefault="00A9605B" w:rsidP="00A9605B">
      <w:pPr>
        <w:jc w:val="both"/>
        <w:rPr>
          <w:rFonts w:cs="Arial"/>
          <w:b/>
          <w:bCs/>
          <w:szCs w:val="20"/>
          <w:lang w:eastAsia="sl-SI"/>
        </w:rPr>
      </w:pPr>
    </w:p>
    <w:p w14:paraId="4D0C271C" w14:textId="64D72EAE" w:rsidR="00A9605B" w:rsidRPr="004D5058" w:rsidRDefault="00A9605B" w:rsidP="00A9605B">
      <w:pPr>
        <w:jc w:val="both"/>
        <w:rPr>
          <w:rFonts w:cs="Arial"/>
          <w:szCs w:val="20"/>
          <w:lang w:eastAsia="sl-SI"/>
        </w:rPr>
      </w:pPr>
      <w:r w:rsidRPr="004D5058">
        <w:rPr>
          <w:rFonts w:cs="Arial"/>
          <w:szCs w:val="20"/>
          <w:lang w:eastAsia="sl-SI"/>
        </w:rPr>
        <w:t xml:space="preserve">Vlada se je seznanila s Petim poročilom Projektnega sveta za civilni nadzor nad izvajanjem projekta izgradnje drugega tira železniške proge Divača–Koper (PSCN) za časovno obdobje od 1. januarja do 28. februarja 2022 in odzivnim poročilom 2TDK </w:t>
      </w:r>
      <w:proofErr w:type="spellStart"/>
      <w:r w:rsidRPr="004D5058">
        <w:rPr>
          <w:rFonts w:cs="Arial"/>
          <w:szCs w:val="20"/>
          <w:lang w:eastAsia="sl-SI"/>
        </w:rPr>
        <w:t>d.o.o</w:t>
      </w:r>
      <w:proofErr w:type="spellEnd"/>
      <w:r w:rsidRPr="004D5058">
        <w:rPr>
          <w:rFonts w:cs="Arial"/>
          <w:szCs w:val="20"/>
          <w:lang w:eastAsia="sl-SI"/>
        </w:rPr>
        <w:t>. na to poročilo. Vlada podaja tudi svoje stališče k Četrtemu poročilu, v katerem se opredeljuje do ugotovitev in predlogov PSCN.</w:t>
      </w:r>
    </w:p>
    <w:p w14:paraId="66452A32" w14:textId="77777777" w:rsidR="00A9605B" w:rsidRPr="004D5058" w:rsidRDefault="00A9605B" w:rsidP="00A9605B">
      <w:pPr>
        <w:jc w:val="both"/>
        <w:rPr>
          <w:rFonts w:cs="Arial"/>
          <w:szCs w:val="20"/>
          <w:lang w:eastAsia="sl-SI"/>
        </w:rPr>
      </w:pPr>
    </w:p>
    <w:p w14:paraId="0670B5E1" w14:textId="2E26BF86" w:rsidR="00A9605B" w:rsidRPr="004D5058" w:rsidRDefault="00A9605B" w:rsidP="00A9605B">
      <w:pPr>
        <w:jc w:val="both"/>
        <w:rPr>
          <w:rFonts w:cs="Arial"/>
          <w:szCs w:val="20"/>
          <w:lang w:eastAsia="sl-SI"/>
        </w:rPr>
      </w:pPr>
      <w:r w:rsidRPr="004D5058">
        <w:rPr>
          <w:rFonts w:cs="Arial"/>
          <w:szCs w:val="20"/>
          <w:lang w:eastAsia="sl-SI"/>
        </w:rPr>
        <w:t xml:space="preserve">PSCN je predstavil podrobno poročilo, v katerem pojasnjuje namen ustanovitve in delovanja PSCN ter povzema svoje ugotovitve iz predhodnih poročil. Ugotoviti je mogoče, da je PSCN sistematično pristopil k nalogi civilnega nadzora in izpostavil pomembna vprašanja, povezana z izvajanjem projekta. Tako je opozoril na odprta vprašanja glede priprave investicijskega programa, ki po mnenju PSCN potrebuje revizijo. PSCN prav tako opozarja na vidik ocene vrednosti projekta t. i. višino stroškov projekta, ki v investicijskem programu po mnenju PSCN niso zadovoljivo opredeljeni. V povezavi s stroški PSCN izpostavlja tudi na učinkovitost gospodarjenja z izkopnim materialom in problemi vrednotenja razpisnih cen na javnih razpisih. PSCN tudi navaja, da se od ustanovitve dalje srečuje z omejitvami pri informiranju zainteresirane in strokovne javnosti, ki nimajo preproste poti  do objavljenih dokumentov in informacij. </w:t>
      </w:r>
    </w:p>
    <w:p w14:paraId="2CFE39ED" w14:textId="77777777" w:rsidR="00A9605B" w:rsidRPr="004D5058" w:rsidRDefault="00A9605B" w:rsidP="00A9605B">
      <w:pPr>
        <w:jc w:val="both"/>
        <w:rPr>
          <w:rFonts w:cs="Arial"/>
          <w:szCs w:val="20"/>
          <w:lang w:eastAsia="sl-SI"/>
        </w:rPr>
      </w:pPr>
    </w:p>
    <w:p w14:paraId="300113FD" w14:textId="77777777" w:rsidR="00A9605B" w:rsidRPr="004D5058" w:rsidRDefault="00A9605B" w:rsidP="00A9605B">
      <w:pPr>
        <w:jc w:val="both"/>
        <w:rPr>
          <w:rFonts w:cs="Arial"/>
          <w:szCs w:val="20"/>
          <w:lang w:eastAsia="sl-SI"/>
        </w:rPr>
      </w:pPr>
      <w:r w:rsidRPr="004D5058">
        <w:rPr>
          <w:rFonts w:cs="Arial"/>
          <w:szCs w:val="20"/>
          <w:lang w:eastAsia="sl-SI"/>
        </w:rPr>
        <w:lastRenderedPageBreak/>
        <w:t>V petem poročilu PSCN ugotavlja, da je veliko predlogov PSCN iz preteklih poročil ostalo nerealiziranih. PSCN kot ključne točke izpostavlja problem nadgradnje v polno dvotirnost, problem električnega napajanja ter problem neučinkovitosti in nesodelovanja med državnimi organi, ki bi jih bilo potrebno po njegovem mnenju rešiti brez odlašanja. Poseben poudarek je namenjen reševanju problema dvotirnosti nove proge, kjer po njegovem mnenju umeščanje poteka nerazumno prepočasi. PSCN je ostal pri oceni dosedanjih poročil, da projekt ne poteka optimalno, in da posamezne odločitve niso sprejete transparentno in optimalno.</w:t>
      </w:r>
    </w:p>
    <w:p w14:paraId="3468910D" w14:textId="77777777" w:rsidR="00A9605B" w:rsidRPr="004D5058" w:rsidRDefault="00A9605B" w:rsidP="00A9605B">
      <w:pPr>
        <w:jc w:val="both"/>
        <w:rPr>
          <w:rFonts w:cs="Arial"/>
          <w:szCs w:val="20"/>
          <w:lang w:eastAsia="sl-SI"/>
        </w:rPr>
      </w:pPr>
    </w:p>
    <w:p w14:paraId="2A9165C8" w14:textId="77777777" w:rsidR="00A9605B" w:rsidRPr="004D5058" w:rsidRDefault="00A9605B" w:rsidP="00A9605B">
      <w:pPr>
        <w:jc w:val="both"/>
        <w:rPr>
          <w:rFonts w:cs="Arial"/>
          <w:szCs w:val="20"/>
          <w:lang w:eastAsia="sl-SI"/>
        </w:rPr>
      </w:pPr>
      <w:r w:rsidRPr="004D5058">
        <w:rPr>
          <w:rFonts w:cs="Arial"/>
          <w:szCs w:val="20"/>
          <w:lang w:eastAsia="sl-SI"/>
        </w:rPr>
        <w:t xml:space="preserve">Za povečanje zaupanja javnosti v projekt in njegovo izvajanje PSCN predlaga, da 2TDK </w:t>
      </w:r>
      <w:proofErr w:type="spellStart"/>
      <w:r w:rsidRPr="004D5058">
        <w:rPr>
          <w:rFonts w:cs="Arial"/>
          <w:szCs w:val="20"/>
          <w:lang w:eastAsia="sl-SI"/>
        </w:rPr>
        <w:t>d.o.o</w:t>
      </w:r>
      <w:proofErr w:type="spellEnd"/>
      <w:r w:rsidRPr="004D5058">
        <w:rPr>
          <w:rFonts w:cs="Arial"/>
          <w:szCs w:val="20"/>
          <w:lang w:eastAsia="sl-SI"/>
        </w:rPr>
        <w:t>. in Ministrstvo za infrastrukturo pripravita in javnosti predstavita celovit pregled vseh vprašanj in načrtov za dvotirnost železniške povezave. Pri tem utemeljeno opozarja tudi na potrebo po upoštevanju mnenj in pomislekov neposredno prizadetih prebivalcev na območju nove gradnje.</w:t>
      </w:r>
    </w:p>
    <w:p w14:paraId="26FA7D21" w14:textId="77777777" w:rsidR="00A9605B" w:rsidRPr="004D5058" w:rsidRDefault="00A9605B" w:rsidP="00A9605B">
      <w:pPr>
        <w:jc w:val="both"/>
        <w:rPr>
          <w:rFonts w:cs="Arial"/>
          <w:szCs w:val="20"/>
          <w:lang w:eastAsia="sl-SI"/>
        </w:rPr>
      </w:pPr>
    </w:p>
    <w:p w14:paraId="729F1BCC" w14:textId="77777777" w:rsidR="00A9605B" w:rsidRPr="004D5058" w:rsidRDefault="00A9605B" w:rsidP="00A9605B">
      <w:pPr>
        <w:jc w:val="both"/>
        <w:rPr>
          <w:rFonts w:cs="Arial"/>
          <w:szCs w:val="20"/>
          <w:lang w:eastAsia="sl-SI"/>
        </w:rPr>
      </w:pPr>
      <w:r w:rsidRPr="004D5058">
        <w:rPr>
          <w:rFonts w:cs="Arial"/>
          <w:szCs w:val="20"/>
          <w:lang w:eastAsia="sl-SI"/>
        </w:rPr>
        <w:t xml:space="preserve">Vlada ugotavlja, da je namen ustanovitve in delovanja PSCN zagotoviti seznanitev strokovne in druge zainteresirane javnosti s potekom projekta ter okrepiti zaupanje javnosti v zakonito, ekonomično in transparentno izvedbo projekta. V okviru civilnega nadzora se člani seznanjajo s potekom projekta ter podajajo </w:t>
      </w:r>
      <w:proofErr w:type="spellStart"/>
      <w:r w:rsidRPr="004D5058">
        <w:rPr>
          <w:rFonts w:cs="Arial"/>
          <w:szCs w:val="20"/>
          <w:lang w:eastAsia="sl-SI"/>
        </w:rPr>
        <w:t>nezavezujoča</w:t>
      </w:r>
      <w:proofErr w:type="spellEnd"/>
      <w:r w:rsidRPr="004D5058">
        <w:rPr>
          <w:rFonts w:cs="Arial"/>
          <w:szCs w:val="20"/>
          <w:lang w:eastAsia="sl-SI"/>
        </w:rPr>
        <w:t xml:space="preserve"> mnenja in priporočila. Svet oblikuje mnenja in stališča, s katerimi redno seznanja vlado.  Civilni nadzor je zato pomemben instrument javnosti in tudi vlade pri spremljanju projekta in z njim povezanimi odprtimi vprašanji, kar je še posebej pomembno pri projektih z visoko investicijsko vrednostjo.</w:t>
      </w:r>
    </w:p>
    <w:p w14:paraId="5CFA65E2" w14:textId="77777777" w:rsidR="00A9605B" w:rsidRPr="004D5058" w:rsidRDefault="00A9605B" w:rsidP="00A9605B">
      <w:pPr>
        <w:jc w:val="both"/>
        <w:rPr>
          <w:rFonts w:cs="Arial"/>
          <w:szCs w:val="20"/>
          <w:lang w:eastAsia="sl-SI"/>
        </w:rPr>
      </w:pPr>
    </w:p>
    <w:p w14:paraId="0D2363D9" w14:textId="77777777" w:rsidR="00A9605B" w:rsidRPr="004D5058" w:rsidRDefault="00A9605B" w:rsidP="00A9605B">
      <w:pPr>
        <w:jc w:val="both"/>
        <w:rPr>
          <w:rFonts w:cs="Arial"/>
          <w:szCs w:val="20"/>
          <w:lang w:eastAsia="sl-SI"/>
        </w:rPr>
      </w:pPr>
      <w:r w:rsidRPr="004D5058">
        <w:rPr>
          <w:rFonts w:cs="Arial"/>
          <w:szCs w:val="20"/>
          <w:lang w:eastAsia="sl-SI"/>
        </w:rPr>
        <w:t xml:space="preserve">Glede vprašanj, ki se nanašajo na izvajanje projekta s strani investitorja projektnega podjetja 2TDK </w:t>
      </w:r>
      <w:proofErr w:type="spellStart"/>
      <w:r w:rsidRPr="004D5058">
        <w:rPr>
          <w:rFonts w:cs="Arial"/>
          <w:szCs w:val="20"/>
          <w:lang w:eastAsia="sl-SI"/>
        </w:rPr>
        <w:t>d.o.o</w:t>
      </w:r>
      <w:proofErr w:type="spellEnd"/>
      <w:r w:rsidRPr="004D5058">
        <w:rPr>
          <w:rFonts w:cs="Arial"/>
          <w:szCs w:val="20"/>
          <w:lang w:eastAsia="sl-SI"/>
        </w:rPr>
        <w:t>., je investitor pripravil svoje odzivno poročilo, ki je v prilogi in v katerem podaja pojasnila k posameznim izpostavljenim vidikom. Vlada predlaga, da poročilo PSCN obravnavajo tudi pristojni nadzorni organi (nadzorni svet družbe ter projektno-finančni svet) in v okviru svojih pristojnosti sprejmejo ustrezne ukrepe oziroma priporočila glede vprašanj, ki so po njihovem mnenju kritična in predstavljajo tveganje za projekt.</w:t>
      </w:r>
    </w:p>
    <w:p w14:paraId="21BA4005" w14:textId="77777777" w:rsidR="00A9605B" w:rsidRPr="004D5058" w:rsidRDefault="00A9605B" w:rsidP="00A9605B">
      <w:pPr>
        <w:jc w:val="both"/>
        <w:rPr>
          <w:rFonts w:cs="Arial"/>
          <w:szCs w:val="20"/>
          <w:lang w:eastAsia="sl-SI"/>
        </w:rPr>
      </w:pPr>
    </w:p>
    <w:p w14:paraId="0136BE89" w14:textId="77777777" w:rsidR="00A9605B" w:rsidRPr="004D5058" w:rsidRDefault="00A9605B" w:rsidP="00A9605B">
      <w:pPr>
        <w:jc w:val="both"/>
        <w:rPr>
          <w:rFonts w:cs="Arial"/>
          <w:szCs w:val="20"/>
          <w:lang w:eastAsia="sl-SI"/>
        </w:rPr>
      </w:pPr>
      <w:r w:rsidRPr="004D5058">
        <w:rPr>
          <w:rFonts w:cs="Arial"/>
          <w:szCs w:val="20"/>
          <w:lang w:eastAsia="sl-SI"/>
        </w:rPr>
        <w:t xml:space="preserve">Vlada poudarja pomen sodelovanja s PSCN in zagotavljanja ustreznih pogojev za njegovo delo. Pri tem je pomembno, da Ministrstvo za infrastrukturo in 2TDK </w:t>
      </w:r>
      <w:proofErr w:type="spellStart"/>
      <w:r w:rsidRPr="004D5058">
        <w:rPr>
          <w:rFonts w:cs="Arial"/>
          <w:szCs w:val="20"/>
          <w:lang w:eastAsia="sl-SI"/>
        </w:rPr>
        <w:t>d.o.o</w:t>
      </w:r>
      <w:proofErr w:type="spellEnd"/>
      <w:r w:rsidRPr="004D5058">
        <w:rPr>
          <w:rFonts w:cs="Arial"/>
          <w:szCs w:val="20"/>
          <w:lang w:eastAsia="sl-SI"/>
        </w:rPr>
        <w:t>. upoštevata veljavno zakonodajo, da bo PSCN lahko še naprej nemoteno in učinkovito opravljal delo civilnega nadzora, kot je opredeljeno s sklepom, ki  ustanavlja  PSCN in določa njegove pristojnosti.</w:t>
      </w:r>
    </w:p>
    <w:p w14:paraId="2C384285" w14:textId="77777777" w:rsidR="00A9605B" w:rsidRPr="004D5058" w:rsidRDefault="00A9605B" w:rsidP="00A9605B">
      <w:pPr>
        <w:jc w:val="both"/>
        <w:rPr>
          <w:rFonts w:cs="Arial"/>
          <w:szCs w:val="20"/>
          <w:lang w:eastAsia="sl-SI"/>
        </w:rPr>
      </w:pPr>
    </w:p>
    <w:p w14:paraId="055CBD5D" w14:textId="77777777" w:rsidR="00A9605B" w:rsidRPr="004D5058" w:rsidRDefault="00A9605B" w:rsidP="00A9605B">
      <w:pPr>
        <w:jc w:val="both"/>
        <w:rPr>
          <w:rFonts w:cs="Arial"/>
          <w:szCs w:val="20"/>
          <w:lang w:eastAsia="sl-SI"/>
        </w:rPr>
      </w:pPr>
      <w:r w:rsidRPr="004D5058">
        <w:rPr>
          <w:rFonts w:cs="Arial"/>
          <w:szCs w:val="20"/>
          <w:lang w:eastAsia="sl-SI"/>
        </w:rPr>
        <w:t xml:space="preserve">Vlada je mnenja, da je treba čimprej zagotoviti pogoje za izvedbo dvotirnosti nove proge. Ministrstvo za infrastrukturo in Ministrstvo za okolje in prostor v tem okviru pospešeno izvajata aktivnosti in proučujeta možnosti za pospešitev postopka umeščanja v prostor. </w:t>
      </w:r>
    </w:p>
    <w:p w14:paraId="51D95DFB" w14:textId="77777777" w:rsidR="00A9605B" w:rsidRPr="004D5058" w:rsidRDefault="00A9605B" w:rsidP="00A9605B">
      <w:pPr>
        <w:jc w:val="both"/>
        <w:rPr>
          <w:rFonts w:cs="Arial"/>
          <w:szCs w:val="20"/>
          <w:lang w:eastAsia="sl-SI"/>
        </w:rPr>
      </w:pPr>
    </w:p>
    <w:p w14:paraId="1AF7496E" w14:textId="77777777" w:rsidR="00A9605B" w:rsidRPr="004D5058" w:rsidRDefault="00A9605B" w:rsidP="00A9605B">
      <w:pPr>
        <w:jc w:val="both"/>
        <w:rPr>
          <w:rFonts w:cs="Arial"/>
          <w:szCs w:val="20"/>
          <w:lang w:eastAsia="sl-SI"/>
        </w:rPr>
      </w:pPr>
      <w:r w:rsidRPr="004D5058">
        <w:rPr>
          <w:rFonts w:cs="Arial"/>
          <w:szCs w:val="20"/>
          <w:lang w:eastAsia="sl-SI"/>
        </w:rPr>
        <w:t xml:space="preserve">Vlada je mnenja, da je treba čimprej zagotoviti pogoje za izvedbo dvotirnosti nove proge. Ministrstvo za infrastrukturo in Ministrstvo za okolje in prostor v tem okviru pospešeno izvajata aktivnosti in proučujeta možnosti za pospešitev postopka umeščanja v prostor. </w:t>
      </w:r>
    </w:p>
    <w:p w14:paraId="1BC8B7A9" w14:textId="77777777" w:rsidR="00A9605B" w:rsidRPr="004D5058" w:rsidRDefault="00A9605B" w:rsidP="00A9605B">
      <w:pPr>
        <w:jc w:val="both"/>
        <w:rPr>
          <w:rFonts w:cs="Arial"/>
          <w:szCs w:val="20"/>
          <w:lang w:eastAsia="sl-SI"/>
        </w:rPr>
      </w:pPr>
    </w:p>
    <w:p w14:paraId="7E3A98CB" w14:textId="77777777" w:rsidR="00A9605B" w:rsidRPr="004D5058" w:rsidRDefault="00A9605B" w:rsidP="00A9605B">
      <w:pPr>
        <w:jc w:val="both"/>
        <w:rPr>
          <w:rFonts w:cs="Arial"/>
          <w:szCs w:val="20"/>
          <w:lang w:eastAsia="sl-SI"/>
        </w:rPr>
      </w:pPr>
      <w:r w:rsidRPr="004D5058">
        <w:rPr>
          <w:rFonts w:cs="Arial"/>
          <w:szCs w:val="20"/>
          <w:lang w:eastAsia="sl-SI"/>
        </w:rPr>
        <w:t>Vlada podpira predlog PSCN za podrobnejšo javno predstavitev izvajanja projekta, v okviru katere se naslovi vprašanja, zlasti tista, ki so pomembna za prebivalce na območju gradnje, kakor hitro bodo epidemiološke razmere to dopuščale in omogočale. V vsakem primeru pa mora investitor še naprej zagotavljati ustrezno sodelovanje z lokalnim prebivalstvom in hitro reševanje odprtih vprašanj.</w:t>
      </w:r>
    </w:p>
    <w:p w14:paraId="2904B21D" w14:textId="77777777" w:rsidR="00A9605B" w:rsidRPr="004D5058" w:rsidRDefault="00A9605B" w:rsidP="00A9605B">
      <w:pPr>
        <w:jc w:val="both"/>
        <w:rPr>
          <w:rFonts w:cs="Arial"/>
          <w:szCs w:val="20"/>
          <w:lang w:eastAsia="sl-SI"/>
        </w:rPr>
      </w:pPr>
    </w:p>
    <w:p w14:paraId="2AC4A930" w14:textId="3431BA82" w:rsidR="00923E78" w:rsidRPr="004D5058" w:rsidRDefault="00A9605B" w:rsidP="00A9605B">
      <w:pPr>
        <w:jc w:val="both"/>
        <w:rPr>
          <w:rFonts w:cs="Arial"/>
          <w:szCs w:val="20"/>
          <w:lang w:eastAsia="sl-SI"/>
        </w:rPr>
      </w:pPr>
      <w:r w:rsidRPr="004D5058">
        <w:rPr>
          <w:rFonts w:cs="Arial"/>
          <w:szCs w:val="20"/>
          <w:lang w:eastAsia="sl-SI"/>
        </w:rPr>
        <w:t>Vir: Ministrstvo za infrastrukturo</w:t>
      </w:r>
    </w:p>
    <w:p w14:paraId="559B64D0" w14:textId="77777777" w:rsidR="00923E78" w:rsidRPr="00923E78" w:rsidRDefault="00923E78" w:rsidP="00923E78">
      <w:pPr>
        <w:jc w:val="both"/>
        <w:rPr>
          <w:rFonts w:cs="Arial"/>
          <w:b/>
          <w:bCs/>
          <w:szCs w:val="20"/>
          <w:lang w:eastAsia="sl-SI"/>
        </w:rPr>
      </w:pPr>
    </w:p>
    <w:p w14:paraId="24A24C95" w14:textId="30B234AD" w:rsidR="000F4B45" w:rsidRPr="000F4B45" w:rsidRDefault="000F4B45" w:rsidP="000F4B45">
      <w:pPr>
        <w:jc w:val="both"/>
        <w:rPr>
          <w:rFonts w:cs="Arial"/>
          <w:b/>
          <w:bCs/>
          <w:szCs w:val="20"/>
          <w:lang w:eastAsia="sl-SI"/>
        </w:rPr>
      </w:pPr>
      <w:r w:rsidRPr="000F4B45">
        <w:rPr>
          <w:rFonts w:cs="Arial"/>
          <w:b/>
          <w:bCs/>
          <w:szCs w:val="20"/>
          <w:lang w:eastAsia="sl-SI"/>
        </w:rPr>
        <w:t xml:space="preserve">Obnova oddelka za demenco in pritličja DSO Tezno v letošnjem letu </w:t>
      </w:r>
    </w:p>
    <w:p w14:paraId="0160C507" w14:textId="77777777" w:rsidR="000F4B45" w:rsidRPr="000F4B45" w:rsidRDefault="000F4B45" w:rsidP="000F4B45">
      <w:pPr>
        <w:jc w:val="both"/>
        <w:rPr>
          <w:rFonts w:cs="Arial"/>
          <w:b/>
          <w:bCs/>
          <w:szCs w:val="20"/>
          <w:lang w:eastAsia="sl-SI"/>
        </w:rPr>
      </w:pPr>
    </w:p>
    <w:p w14:paraId="7873494C" w14:textId="77777777" w:rsidR="000F4B45" w:rsidRPr="000F4B45" w:rsidRDefault="000F4B45" w:rsidP="000F4B45">
      <w:pPr>
        <w:jc w:val="both"/>
        <w:rPr>
          <w:rFonts w:cs="Arial"/>
          <w:szCs w:val="20"/>
          <w:lang w:eastAsia="sl-SI"/>
        </w:rPr>
      </w:pPr>
      <w:r w:rsidRPr="000F4B45">
        <w:rPr>
          <w:rFonts w:cs="Arial"/>
          <w:szCs w:val="20"/>
          <w:lang w:eastAsia="sl-SI"/>
        </w:rPr>
        <w:lastRenderedPageBreak/>
        <w:t xml:space="preserve">V veljavni Načrt razvojnih programov 2022–2025 je Vlada uvrstila obnovo oddelka za demenco in pritličja Dom starejših občanov Tezno (DSO Tezno). Ocenjena vrednost investicije znaša 2.266.511,68  evrov z DDV, izvajala pa se bo v letu 2022. </w:t>
      </w:r>
    </w:p>
    <w:p w14:paraId="79CFEBCF" w14:textId="77777777" w:rsidR="000F4B45" w:rsidRPr="000F4B45" w:rsidRDefault="000F4B45" w:rsidP="000F4B45">
      <w:pPr>
        <w:jc w:val="both"/>
        <w:rPr>
          <w:rFonts w:cs="Arial"/>
          <w:szCs w:val="20"/>
          <w:lang w:eastAsia="sl-SI"/>
        </w:rPr>
      </w:pPr>
    </w:p>
    <w:p w14:paraId="38964BAD" w14:textId="77777777" w:rsidR="000F4B45" w:rsidRPr="000F4B45" w:rsidRDefault="000F4B45" w:rsidP="000F4B45">
      <w:pPr>
        <w:jc w:val="both"/>
        <w:rPr>
          <w:rFonts w:cs="Arial"/>
          <w:szCs w:val="20"/>
          <w:lang w:eastAsia="sl-SI"/>
        </w:rPr>
      </w:pPr>
      <w:r w:rsidRPr="000F4B45">
        <w:rPr>
          <w:rFonts w:cs="Arial"/>
          <w:szCs w:val="20"/>
          <w:lang w:eastAsia="sl-SI"/>
        </w:rPr>
        <w:t>Investicija predvideva obnovo pritlične etaže DSO Tezno v skupni kvadraturi 1.300 m2 in ureditev treh ločenih stanovanjskih skupnosti. V vsaki stanovanjski skupnosti je predvidena tudi ureditev dnevnega prostora, kuhinje, jedilnice in negovalne kopalnice. Z obnovo se ukinja triposteljne sobe in ureja 14 enoposteljnih ter 11 dvoposteljnih sob z lastnimi kopalnicami za 36 stanovalcev. Zamenjana bodo okna v vseh sobah.</w:t>
      </w:r>
    </w:p>
    <w:p w14:paraId="78E1FFD7" w14:textId="77777777" w:rsidR="000F4B45" w:rsidRPr="000F4B45" w:rsidRDefault="000F4B45" w:rsidP="000F4B45">
      <w:pPr>
        <w:jc w:val="both"/>
        <w:rPr>
          <w:rFonts w:cs="Arial"/>
          <w:szCs w:val="20"/>
          <w:lang w:eastAsia="sl-SI"/>
        </w:rPr>
      </w:pPr>
    </w:p>
    <w:p w14:paraId="1120CCB3" w14:textId="77777777" w:rsidR="000F4B45" w:rsidRPr="000F4B45" w:rsidRDefault="000F4B45" w:rsidP="000F4B45">
      <w:pPr>
        <w:jc w:val="both"/>
        <w:rPr>
          <w:rFonts w:cs="Arial"/>
          <w:szCs w:val="20"/>
          <w:lang w:eastAsia="sl-SI"/>
        </w:rPr>
      </w:pPr>
      <w:r w:rsidRPr="000F4B45">
        <w:rPr>
          <w:rFonts w:cs="Arial"/>
          <w:szCs w:val="20"/>
          <w:lang w:eastAsia="sl-SI"/>
        </w:rPr>
        <w:t>Z izvedbo investicije se bo izboljšal bivalni standard stanovalcev, zagotovilo se bo varnejše bivalno okolje za stanovalce in delovno okolje za zaposlene, zagotovljena bo ločenost čistih in nečistih poti za preprečevanje širjenja morebitnih okužb ter možnost vzpostavitve sive in rdeče cone. Sredstva za investicijo bo zagotovilo ministrstvo.</w:t>
      </w:r>
    </w:p>
    <w:p w14:paraId="3259B097" w14:textId="77777777" w:rsidR="000F4B45" w:rsidRPr="000F4B45" w:rsidRDefault="000F4B45" w:rsidP="000F4B45">
      <w:pPr>
        <w:jc w:val="both"/>
        <w:rPr>
          <w:rFonts w:cs="Arial"/>
          <w:szCs w:val="20"/>
          <w:lang w:eastAsia="sl-SI"/>
        </w:rPr>
      </w:pPr>
    </w:p>
    <w:p w14:paraId="45775940" w14:textId="35D86839" w:rsidR="00923E78" w:rsidRPr="000F4B45" w:rsidRDefault="000F4B45" w:rsidP="000F4B45">
      <w:pPr>
        <w:jc w:val="both"/>
        <w:rPr>
          <w:rFonts w:cs="Arial"/>
          <w:szCs w:val="20"/>
          <w:lang w:eastAsia="sl-SI"/>
        </w:rPr>
      </w:pPr>
      <w:r w:rsidRPr="000F4B45">
        <w:rPr>
          <w:rFonts w:cs="Arial"/>
          <w:szCs w:val="20"/>
          <w:lang w:eastAsia="sl-SI"/>
        </w:rPr>
        <w:t>Vir: Ministrstvo za delo, družino, socialne zadeve in enake možnosti</w:t>
      </w:r>
    </w:p>
    <w:p w14:paraId="0EA7D65A" w14:textId="77777777" w:rsidR="00923E78" w:rsidRPr="00923E78" w:rsidRDefault="00923E78" w:rsidP="00923E78">
      <w:pPr>
        <w:jc w:val="both"/>
        <w:rPr>
          <w:rFonts w:cs="Arial"/>
          <w:b/>
          <w:bCs/>
          <w:szCs w:val="20"/>
          <w:lang w:eastAsia="sl-SI"/>
        </w:rPr>
      </w:pPr>
    </w:p>
    <w:p w14:paraId="27A8A411" w14:textId="279022C6" w:rsidR="004E1548" w:rsidRPr="004E1548" w:rsidRDefault="004E1548" w:rsidP="004E1548">
      <w:pPr>
        <w:jc w:val="both"/>
        <w:rPr>
          <w:rFonts w:cs="Arial"/>
          <w:b/>
          <w:bCs/>
          <w:szCs w:val="20"/>
          <w:lang w:eastAsia="sl-SI"/>
        </w:rPr>
      </w:pPr>
      <w:r w:rsidRPr="004E1548">
        <w:rPr>
          <w:rFonts w:cs="Arial"/>
          <w:b/>
          <w:bCs/>
          <w:szCs w:val="20"/>
          <w:lang w:eastAsia="sl-SI"/>
        </w:rPr>
        <w:t>Uvrstitev novega projekta DIGIBON22-ZDSV v veljavni Načrt razvojnih programov 2022-2025</w:t>
      </w:r>
    </w:p>
    <w:p w14:paraId="0BAAF4D9" w14:textId="77777777" w:rsidR="004E1548" w:rsidRPr="004E1548" w:rsidRDefault="004E1548" w:rsidP="004E1548">
      <w:pPr>
        <w:jc w:val="both"/>
        <w:rPr>
          <w:rFonts w:cs="Arial"/>
          <w:szCs w:val="20"/>
          <w:lang w:eastAsia="sl-SI"/>
        </w:rPr>
      </w:pPr>
    </w:p>
    <w:p w14:paraId="387FE60D" w14:textId="4596FBBC" w:rsidR="004E1548" w:rsidRPr="004E1548" w:rsidRDefault="004E1548" w:rsidP="004E1548">
      <w:pPr>
        <w:jc w:val="both"/>
        <w:rPr>
          <w:rFonts w:cs="Arial"/>
          <w:szCs w:val="20"/>
          <w:lang w:eastAsia="sl-SI"/>
        </w:rPr>
      </w:pPr>
      <w:r w:rsidRPr="004E1548">
        <w:rPr>
          <w:rFonts w:cs="Arial"/>
          <w:szCs w:val="20"/>
          <w:lang w:eastAsia="sl-SI"/>
        </w:rPr>
        <w:t>Vlada</w:t>
      </w:r>
      <w:r>
        <w:rPr>
          <w:rFonts w:cs="Arial"/>
          <w:szCs w:val="20"/>
          <w:lang w:eastAsia="sl-SI"/>
        </w:rPr>
        <w:t xml:space="preserve"> se</w:t>
      </w:r>
      <w:r w:rsidRPr="004E1548">
        <w:rPr>
          <w:rFonts w:cs="Arial"/>
          <w:szCs w:val="20"/>
          <w:lang w:eastAsia="sl-SI"/>
        </w:rPr>
        <w:t xml:space="preserve"> je seznan</w:t>
      </w:r>
      <w:r>
        <w:rPr>
          <w:rFonts w:cs="Arial"/>
          <w:szCs w:val="20"/>
          <w:lang w:eastAsia="sl-SI"/>
        </w:rPr>
        <w:t>ila z</w:t>
      </w:r>
      <w:r w:rsidRPr="004E1548">
        <w:rPr>
          <w:rFonts w:cs="Arial"/>
          <w:szCs w:val="20"/>
          <w:lang w:eastAsia="sl-SI"/>
        </w:rPr>
        <w:t xml:space="preserve"> uvrstitvi</w:t>
      </w:r>
      <w:r>
        <w:rPr>
          <w:rFonts w:cs="Arial"/>
          <w:szCs w:val="20"/>
          <w:lang w:eastAsia="sl-SI"/>
        </w:rPr>
        <w:t xml:space="preserve">jo </w:t>
      </w:r>
      <w:r w:rsidRPr="004E1548">
        <w:rPr>
          <w:rFonts w:cs="Arial"/>
          <w:szCs w:val="20"/>
          <w:lang w:eastAsia="sl-SI"/>
        </w:rPr>
        <w:t>novega projekta z nazivom »DIGIBON22 – ZSDV« - dolgi naziv »Spodbujanje digitalne vključenosti prebivalstva Republike Slovenije« v veljavni Načrt razvojnih programov 2022-2025.</w:t>
      </w:r>
    </w:p>
    <w:p w14:paraId="1DA94390" w14:textId="77777777" w:rsidR="004E1548" w:rsidRPr="004E1548" w:rsidRDefault="004E1548" w:rsidP="004E1548">
      <w:pPr>
        <w:jc w:val="both"/>
        <w:rPr>
          <w:rFonts w:cs="Arial"/>
          <w:szCs w:val="20"/>
          <w:lang w:eastAsia="sl-SI"/>
        </w:rPr>
      </w:pPr>
      <w:r w:rsidRPr="004E1548">
        <w:rPr>
          <w:rFonts w:cs="Arial"/>
          <w:szCs w:val="20"/>
          <w:lang w:eastAsia="sl-SI"/>
        </w:rPr>
        <w:t xml:space="preserve"> </w:t>
      </w:r>
    </w:p>
    <w:p w14:paraId="01919FB1" w14:textId="77777777" w:rsidR="004E1548" w:rsidRPr="004E1548" w:rsidRDefault="004E1548" w:rsidP="004E1548">
      <w:pPr>
        <w:jc w:val="both"/>
        <w:rPr>
          <w:rFonts w:cs="Arial"/>
          <w:szCs w:val="20"/>
          <w:lang w:eastAsia="sl-SI"/>
        </w:rPr>
      </w:pPr>
      <w:r w:rsidRPr="004E1548">
        <w:rPr>
          <w:rFonts w:cs="Arial"/>
          <w:szCs w:val="20"/>
          <w:lang w:eastAsia="sl-SI"/>
        </w:rPr>
        <w:t>Cilj projekta je, poleg uvrstitve Slovenije med pet najbolj digitaliziranih držav Evrope do konca tega desetletja, krepitev zavesti o prednostih uporabe digitalnih orodij za življenje posameznika in družbo kot celoto ter krepitev zaupanja v digitalne tehnologije, spodbujanje zanimanja za naravoslovno in tehniško znanje, še posebej na področju digitalnih tehnologij (računalniško programiranje, robotika, umetna inteligenca in podobno). Prav tako je poglavitna krepitev razumevanja digitalnih tehnologij ter njihove odgovorne in varne uporabe, dvig usposobljenosti za uporabo digitalnih kompetenc, povečanje števila zaposlenih z digitalnimi kompetencami, povečanje zanimanja za srednješolske, višješolske in visokošolske programe, ki vključujejo strokovne digitalne kompetence, ter zmanjševanje razlik med spoloma na tem področju ter dvig kompetenc podjetnosti v povezavi z digitalnimi tehnologijami in razvoj podjetništva temelječega na digitalnih kompetencah.</w:t>
      </w:r>
    </w:p>
    <w:p w14:paraId="4AA7FB81" w14:textId="77777777" w:rsidR="004E1548" w:rsidRPr="004E1548" w:rsidRDefault="004E1548" w:rsidP="004E1548">
      <w:pPr>
        <w:jc w:val="both"/>
        <w:rPr>
          <w:rFonts w:cs="Arial"/>
          <w:szCs w:val="20"/>
          <w:lang w:eastAsia="sl-SI"/>
        </w:rPr>
      </w:pPr>
    </w:p>
    <w:p w14:paraId="2968522B" w14:textId="77777777" w:rsidR="004E1548" w:rsidRPr="004E1548" w:rsidRDefault="004E1548" w:rsidP="004E1548">
      <w:pPr>
        <w:jc w:val="both"/>
        <w:rPr>
          <w:rFonts w:cs="Arial"/>
          <w:szCs w:val="20"/>
          <w:lang w:eastAsia="sl-SI"/>
        </w:rPr>
      </w:pPr>
      <w:r w:rsidRPr="004E1548">
        <w:rPr>
          <w:rFonts w:cs="Arial"/>
          <w:szCs w:val="20"/>
          <w:lang w:eastAsia="sl-SI"/>
        </w:rPr>
        <w:t>S projektom se izvajajo določbe Zakona o spodbujanju digitalne vključenosti in uresničuje povečanje digitalne vključenosti prebivalstva Republike Slovenije ter primerjalni napredek digitalne razvitosti gospodarstva in družbe Republike Slovenije.</w:t>
      </w:r>
    </w:p>
    <w:p w14:paraId="2224F372" w14:textId="77777777" w:rsidR="004E1548" w:rsidRPr="004E1548" w:rsidRDefault="004E1548" w:rsidP="004E1548">
      <w:pPr>
        <w:jc w:val="both"/>
        <w:rPr>
          <w:rFonts w:cs="Arial"/>
          <w:szCs w:val="20"/>
          <w:lang w:eastAsia="sl-SI"/>
        </w:rPr>
      </w:pPr>
    </w:p>
    <w:p w14:paraId="7E9C1C40" w14:textId="77777777" w:rsidR="004E1548" w:rsidRPr="004E1548" w:rsidRDefault="004E1548" w:rsidP="004E1548">
      <w:pPr>
        <w:jc w:val="both"/>
        <w:rPr>
          <w:rFonts w:cs="Arial"/>
          <w:szCs w:val="20"/>
          <w:lang w:eastAsia="sl-SI"/>
        </w:rPr>
      </w:pPr>
      <w:r w:rsidRPr="004E1548">
        <w:rPr>
          <w:rFonts w:cs="Arial"/>
          <w:szCs w:val="20"/>
          <w:lang w:eastAsia="sl-SI"/>
        </w:rPr>
        <w:t>Investicijske aktivnosti bodo omogočile zasledovanje ukrepov za moderno in digitalno Slovenijo ter prispevale tudi k doseganju ciljev Digitalnega kompasa, ki določa vizijo Evropske Unije glede digitalne preobrazbe do leta 2030.</w:t>
      </w:r>
    </w:p>
    <w:p w14:paraId="45F4BA29" w14:textId="77777777" w:rsidR="004E1548" w:rsidRPr="004E1548" w:rsidRDefault="004E1548" w:rsidP="004E1548">
      <w:pPr>
        <w:jc w:val="both"/>
        <w:rPr>
          <w:rFonts w:cs="Arial"/>
          <w:szCs w:val="20"/>
          <w:lang w:eastAsia="sl-SI"/>
        </w:rPr>
      </w:pPr>
    </w:p>
    <w:p w14:paraId="57D6F5F6" w14:textId="58969AEC" w:rsidR="00923E78" w:rsidRPr="004E1548" w:rsidRDefault="004E1548" w:rsidP="004E1548">
      <w:pPr>
        <w:jc w:val="both"/>
        <w:rPr>
          <w:rFonts w:cs="Arial"/>
          <w:szCs w:val="20"/>
          <w:lang w:eastAsia="sl-SI"/>
        </w:rPr>
      </w:pPr>
      <w:r w:rsidRPr="004E1548">
        <w:rPr>
          <w:rFonts w:cs="Arial"/>
          <w:szCs w:val="20"/>
          <w:lang w:eastAsia="sl-SI"/>
        </w:rPr>
        <w:t>Vir: Služba vlade za digitalno preobrazbo</w:t>
      </w:r>
    </w:p>
    <w:p w14:paraId="6CA6D234" w14:textId="77777777" w:rsidR="00923E78" w:rsidRPr="00923E78" w:rsidRDefault="00923E78" w:rsidP="00923E78">
      <w:pPr>
        <w:jc w:val="both"/>
        <w:rPr>
          <w:rFonts w:cs="Arial"/>
          <w:b/>
          <w:bCs/>
          <w:szCs w:val="20"/>
          <w:lang w:eastAsia="sl-SI"/>
        </w:rPr>
      </w:pPr>
    </w:p>
    <w:p w14:paraId="2E1FD973" w14:textId="75BEC186" w:rsidR="00E63BD7" w:rsidRPr="00E63BD7" w:rsidRDefault="00E63BD7" w:rsidP="00E63BD7">
      <w:pPr>
        <w:jc w:val="both"/>
        <w:rPr>
          <w:rFonts w:cs="Arial"/>
          <w:b/>
          <w:bCs/>
          <w:szCs w:val="20"/>
          <w:lang w:eastAsia="sl-SI"/>
        </w:rPr>
      </w:pPr>
      <w:r w:rsidRPr="00E63BD7">
        <w:rPr>
          <w:rFonts w:cs="Arial"/>
          <w:b/>
          <w:bCs/>
          <w:szCs w:val="20"/>
          <w:lang w:eastAsia="sl-SI"/>
        </w:rPr>
        <w:t>Nov proizvodni obrat Bosch bo vlada podprla z dobrimi 829.000 evri</w:t>
      </w:r>
    </w:p>
    <w:p w14:paraId="16E5DE42" w14:textId="77777777" w:rsidR="00E63BD7" w:rsidRPr="00E63BD7" w:rsidRDefault="00E63BD7" w:rsidP="00E63BD7">
      <w:pPr>
        <w:jc w:val="both"/>
        <w:rPr>
          <w:rFonts w:cs="Arial"/>
          <w:b/>
          <w:bCs/>
          <w:szCs w:val="20"/>
          <w:lang w:eastAsia="sl-SI"/>
        </w:rPr>
      </w:pPr>
    </w:p>
    <w:p w14:paraId="0B8C366A" w14:textId="77777777" w:rsidR="00E63BD7" w:rsidRPr="00E63BD7" w:rsidRDefault="00E63BD7" w:rsidP="00E63BD7">
      <w:pPr>
        <w:jc w:val="both"/>
        <w:rPr>
          <w:rFonts w:cs="Arial"/>
          <w:szCs w:val="20"/>
          <w:lang w:eastAsia="sl-SI"/>
        </w:rPr>
      </w:pPr>
      <w:r w:rsidRPr="00E63BD7">
        <w:rPr>
          <w:rFonts w:cs="Arial"/>
          <w:szCs w:val="20"/>
          <w:lang w:eastAsia="sl-SI"/>
        </w:rPr>
        <w:t>Vlada Republike Slovenije je v veljavni Načrt razvojnih programov 2022–2025 na podlagi Zakona o spodbujanju investicij uvrstila nov projekt, in sicer Nov proizvodni obrat Bosch, za katerega bo namenila največ 829.308,68 evrov.</w:t>
      </w:r>
    </w:p>
    <w:p w14:paraId="1D1028F9" w14:textId="77777777" w:rsidR="00E63BD7" w:rsidRPr="00E63BD7" w:rsidRDefault="00E63BD7" w:rsidP="00E63BD7">
      <w:pPr>
        <w:jc w:val="both"/>
        <w:rPr>
          <w:rFonts w:cs="Arial"/>
          <w:szCs w:val="20"/>
          <w:lang w:eastAsia="sl-SI"/>
        </w:rPr>
      </w:pPr>
    </w:p>
    <w:p w14:paraId="10008F3C" w14:textId="77777777" w:rsidR="00E63BD7" w:rsidRPr="00E63BD7" w:rsidRDefault="00E63BD7" w:rsidP="00E63BD7">
      <w:pPr>
        <w:jc w:val="both"/>
        <w:rPr>
          <w:rFonts w:cs="Arial"/>
          <w:szCs w:val="20"/>
          <w:lang w:eastAsia="sl-SI"/>
        </w:rPr>
      </w:pPr>
      <w:r w:rsidRPr="00E63BD7">
        <w:rPr>
          <w:rFonts w:cs="Arial"/>
          <w:szCs w:val="20"/>
          <w:lang w:eastAsia="sl-SI"/>
        </w:rPr>
        <w:lastRenderedPageBreak/>
        <w:t xml:space="preserve">Prejemnik spodbude Bosch </w:t>
      </w:r>
      <w:proofErr w:type="spellStart"/>
      <w:r w:rsidRPr="00E63BD7">
        <w:rPr>
          <w:rFonts w:cs="Arial"/>
          <w:szCs w:val="20"/>
          <w:lang w:eastAsia="sl-SI"/>
        </w:rPr>
        <w:t>Rexroth</w:t>
      </w:r>
      <w:proofErr w:type="spellEnd"/>
      <w:r w:rsidRPr="00E63BD7">
        <w:rPr>
          <w:rFonts w:cs="Arial"/>
          <w:szCs w:val="20"/>
          <w:lang w:eastAsia="sl-SI"/>
        </w:rPr>
        <w:t xml:space="preserve"> bo izvedel investicijo »Projekt Slovenija« v skupni vrednosti 13,2 milijona evrov, v okviru katere bo ustvaril 123 novih delovnih mest, od tega 23 visokokvalificiranih. Investicija se nanaša na naložbo v opredmetena osnovna sredstva, ki zadevajo diverzifikacijo dejavnosti gospodarske družbe v novo dejavnost, izvedena pa bo v Gorenjski statistični regiji, in sicer v občini Cerklje na Gorenjskem, v regiji »c« - zahodna Slovenija iz Uredbe o karti regionalne pomoči za obdobje 2014–2021. </w:t>
      </w:r>
    </w:p>
    <w:p w14:paraId="00839BCF" w14:textId="77777777" w:rsidR="00E63BD7" w:rsidRPr="00E63BD7" w:rsidRDefault="00E63BD7" w:rsidP="00E63BD7">
      <w:pPr>
        <w:jc w:val="both"/>
        <w:rPr>
          <w:rFonts w:cs="Arial"/>
          <w:szCs w:val="20"/>
          <w:lang w:eastAsia="sl-SI"/>
        </w:rPr>
      </w:pPr>
    </w:p>
    <w:p w14:paraId="53FD11B7" w14:textId="77777777" w:rsidR="00E63BD7" w:rsidRPr="00E63BD7" w:rsidRDefault="00E63BD7" w:rsidP="00E63BD7">
      <w:pPr>
        <w:jc w:val="both"/>
        <w:rPr>
          <w:rFonts w:cs="Arial"/>
          <w:szCs w:val="20"/>
          <w:lang w:eastAsia="sl-SI"/>
        </w:rPr>
      </w:pPr>
      <w:r w:rsidRPr="00E63BD7">
        <w:rPr>
          <w:rFonts w:cs="Arial"/>
          <w:szCs w:val="20"/>
          <w:lang w:eastAsia="sl-SI"/>
        </w:rPr>
        <w:t>Podjetje je z investicijo pričelo julija lani, projekt pa bo zaključen 31. decembra 2024. Zanj bo Ministrstvo za gospodarski razvoj in tehnologijo prejemniku spodbude v letu 2022 izplačalo največ do 206.625 evrov, v letu 2023 največ do 480.183 evrov, v letu 2024 pa največ do 142.500 evrov.</w:t>
      </w:r>
    </w:p>
    <w:p w14:paraId="2E9D7831" w14:textId="77777777" w:rsidR="00E63BD7" w:rsidRPr="00E63BD7" w:rsidRDefault="00E63BD7" w:rsidP="00E63BD7">
      <w:pPr>
        <w:jc w:val="both"/>
        <w:rPr>
          <w:rFonts w:cs="Arial"/>
          <w:szCs w:val="20"/>
          <w:lang w:eastAsia="sl-SI"/>
        </w:rPr>
      </w:pPr>
    </w:p>
    <w:p w14:paraId="56DB0E0C" w14:textId="6A18C584" w:rsidR="00923E78" w:rsidRPr="00E63BD7" w:rsidRDefault="00E63BD7" w:rsidP="00E63BD7">
      <w:pPr>
        <w:jc w:val="both"/>
        <w:rPr>
          <w:rFonts w:cs="Arial"/>
          <w:szCs w:val="20"/>
          <w:lang w:eastAsia="sl-SI"/>
        </w:rPr>
      </w:pPr>
      <w:r w:rsidRPr="00E63BD7">
        <w:rPr>
          <w:rFonts w:cs="Arial"/>
          <w:szCs w:val="20"/>
          <w:lang w:eastAsia="sl-SI"/>
        </w:rPr>
        <w:t>Vir: Ministrstvo za gospodarski razvoj in tehnologijo</w:t>
      </w:r>
    </w:p>
    <w:p w14:paraId="2CB6D7A0" w14:textId="77777777" w:rsidR="00923E78" w:rsidRPr="00923E78" w:rsidRDefault="00923E78" w:rsidP="00923E78">
      <w:pPr>
        <w:jc w:val="both"/>
        <w:rPr>
          <w:rFonts w:cs="Arial"/>
          <w:b/>
          <w:bCs/>
          <w:szCs w:val="20"/>
          <w:lang w:eastAsia="sl-SI"/>
        </w:rPr>
      </w:pPr>
    </w:p>
    <w:p w14:paraId="02696A10" w14:textId="3A8BDC37" w:rsidR="00285130" w:rsidRPr="007A4F0B" w:rsidRDefault="00285130" w:rsidP="00285130">
      <w:pPr>
        <w:jc w:val="both"/>
        <w:rPr>
          <w:rFonts w:cs="Arial"/>
          <w:b/>
          <w:bCs/>
          <w:szCs w:val="20"/>
          <w:lang w:eastAsia="sl-SI"/>
        </w:rPr>
      </w:pPr>
      <w:r w:rsidRPr="007A4F0B">
        <w:rPr>
          <w:rFonts w:cs="Arial"/>
          <w:b/>
          <w:bCs/>
          <w:szCs w:val="20"/>
          <w:lang w:eastAsia="sl-SI"/>
        </w:rPr>
        <w:t xml:space="preserve">Vlada bo za dva razvojna projekta v okviru programa </w:t>
      </w:r>
      <w:proofErr w:type="spellStart"/>
      <w:r w:rsidRPr="007A4F0B">
        <w:rPr>
          <w:rFonts w:cs="Arial"/>
          <w:b/>
          <w:bCs/>
          <w:szCs w:val="20"/>
          <w:lang w:eastAsia="sl-SI"/>
        </w:rPr>
        <w:t>Eurostars</w:t>
      </w:r>
      <w:proofErr w:type="spellEnd"/>
      <w:r w:rsidRPr="007A4F0B">
        <w:rPr>
          <w:rFonts w:cs="Arial"/>
          <w:b/>
          <w:bCs/>
          <w:szCs w:val="20"/>
          <w:lang w:eastAsia="sl-SI"/>
        </w:rPr>
        <w:t xml:space="preserve"> namenila pol milijona evrov</w:t>
      </w:r>
    </w:p>
    <w:p w14:paraId="21169692" w14:textId="77777777" w:rsidR="00285130" w:rsidRPr="007A4F0B" w:rsidRDefault="00285130" w:rsidP="00285130">
      <w:pPr>
        <w:jc w:val="both"/>
        <w:rPr>
          <w:rFonts w:cs="Arial"/>
          <w:b/>
          <w:bCs/>
          <w:szCs w:val="20"/>
          <w:lang w:eastAsia="sl-SI"/>
        </w:rPr>
      </w:pPr>
    </w:p>
    <w:p w14:paraId="7A9B1FB4" w14:textId="77777777" w:rsidR="00285130" w:rsidRPr="007A4F0B" w:rsidRDefault="00285130" w:rsidP="00285130">
      <w:pPr>
        <w:jc w:val="both"/>
        <w:rPr>
          <w:rFonts w:cs="Arial"/>
          <w:szCs w:val="20"/>
          <w:lang w:eastAsia="sl-SI"/>
        </w:rPr>
      </w:pPr>
      <w:r w:rsidRPr="007A4F0B">
        <w:rPr>
          <w:rFonts w:cs="Arial"/>
          <w:szCs w:val="20"/>
          <w:lang w:eastAsia="sl-SI"/>
        </w:rPr>
        <w:t xml:space="preserve">Vlada Republike Slovenije je v veljavni Načrt razvojnih programov 2022–2025 na podlagi Zakona o izvrševanju proračunov Republike Slovenije za leti 2022 in 2023 uvrstila dva nova projekta, in sicer »Avtomatizirano 3D načrtovanje poti za izredne prevoze« podjetja CGS </w:t>
      </w:r>
      <w:proofErr w:type="spellStart"/>
      <w:r w:rsidRPr="007A4F0B">
        <w:rPr>
          <w:rFonts w:cs="Arial"/>
          <w:szCs w:val="20"/>
          <w:lang w:eastAsia="sl-SI"/>
        </w:rPr>
        <w:t>Labs</w:t>
      </w:r>
      <w:proofErr w:type="spellEnd"/>
      <w:r w:rsidRPr="007A4F0B">
        <w:rPr>
          <w:rFonts w:cs="Arial"/>
          <w:szCs w:val="20"/>
          <w:lang w:eastAsia="sl-SI"/>
        </w:rPr>
        <w:t xml:space="preserve"> </w:t>
      </w:r>
      <w:proofErr w:type="spellStart"/>
      <w:r w:rsidRPr="007A4F0B">
        <w:rPr>
          <w:rFonts w:cs="Arial"/>
          <w:szCs w:val="20"/>
          <w:lang w:eastAsia="sl-SI"/>
        </w:rPr>
        <w:t>d.o.o</w:t>
      </w:r>
      <w:proofErr w:type="spellEnd"/>
      <w:r w:rsidRPr="007A4F0B">
        <w:rPr>
          <w:rFonts w:cs="Arial"/>
          <w:szCs w:val="20"/>
          <w:lang w:eastAsia="sl-SI"/>
        </w:rPr>
        <w:t xml:space="preserve">. ter »Sistem za upravljanje z energijo na domu s pomočjo </w:t>
      </w:r>
      <w:proofErr w:type="spellStart"/>
      <w:r w:rsidRPr="007A4F0B">
        <w:rPr>
          <w:rFonts w:cs="Arial"/>
          <w:szCs w:val="20"/>
          <w:lang w:eastAsia="sl-SI"/>
        </w:rPr>
        <w:t>blockchain</w:t>
      </w:r>
      <w:proofErr w:type="spellEnd"/>
      <w:r w:rsidRPr="007A4F0B">
        <w:rPr>
          <w:rFonts w:cs="Arial"/>
          <w:szCs w:val="20"/>
          <w:lang w:eastAsia="sl-SI"/>
        </w:rPr>
        <w:t xml:space="preserve"> tehnologije za podporo pri prehodu na pametno tehnologijo« podjetij </w:t>
      </w:r>
      <w:proofErr w:type="spellStart"/>
      <w:r w:rsidRPr="007A4F0B">
        <w:rPr>
          <w:rFonts w:cs="Arial"/>
          <w:szCs w:val="20"/>
          <w:lang w:eastAsia="sl-SI"/>
        </w:rPr>
        <w:t>Amibit</w:t>
      </w:r>
      <w:proofErr w:type="spellEnd"/>
      <w:r w:rsidRPr="007A4F0B">
        <w:rPr>
          <w:rFonts w:cs="Arial"/>
          <w:szCs w:val="20"/>
          <w:lang w:eastAsia="sl-SI"/>
        </w:rPr>
        <w:t xml:space="preserve"> </w:t>
      </w:r>
      <w:proofErr w:type="spellStart"/>
      <w:r w:rsidRPr="007A4F0B">
        <w:rPr>
          <w:rFonts w:cs="Arial"/>
          <w:szCs w:val="20"/>
          <w:lang w:eastAsia="sl-SI"/>
        </w:rPr>
        <w:t>d.o.o</w:t>
      </w:r>
      <w:proofErr w:type="spellEnd"/>
      <w:r w:rsidRPr="007A4F0B">
        <w:rPr>
          <w:rFonts w:cs="Arial"/>
          <w:szCs w:val="20"/>
          <w:lang w:eastAsia="sl-SI"/>
        </w:rPr>
        <w:t xml:space="preserve">. in </w:t>
      </w:r>
      <w:proofErr w:type="spellStart"/>
      <w:r w:rsidRPr="007A4F0B">
        <w:rPr>
          <w:rFonts w:cs="Arial"/>
          <w:szCs w:val="20"/>
          <w:lang w:eastAsia="sl-SI"/>
        </w:rPr>
        <w:t>Emazing</w:t>
      </w:r>
      <w:proofErr w:type="spellEnd"/>
      <w:r w:rsidRPr="007A4F0B">
        <w:rPr>
          <w:rFonts w:cs="Arial"/>
          <w:szCs w:val="20"/>
          <w:lang w:eastAsia="sl-SI"/>
        </w:rPr>
        <w:t xml:space="preserve"> </w:t>
      </w:r>
      <w:proofErr w:type="spellStart"/>
      <w:r w:rsidRPr="007A4F0B">
        <w:rPr>
          <w:rFonts w:cs="Arial"/>
          <w:szCs w:val="20"/>
          <w:lang w:eastAsia="sl-SI"/>
        </w:rPr>
        <w:t>d.o.o</w:t>
      </w:r>
      <w:proofErr w:type="spellEnd"/>
      <w:r w:rsidRPr="007A4F0B">
        <w:rPr>
          <w:rFonts w:cs="Arial"/>
          <w:szCs w:val="20"/>
          <w:lang w:eastAsia="sl-SI"/>
        </w:rPr>
        <w:t>.</w:t>
      </w:r>
    </w:p>
    <w:p w14:paraId="2C1C23DE" w14:textId="77777777" w:rsidR="00285130" w:rsidRPr="007A4F0B" w:rsidRDefault="00285130" w:rsidP="00285130">
      <w:pPr>
        <w:jc w:val="both"/>
        <w:rPr>
          <w:rFonts w:cs="Arial"/>
          <w:szCs w:val="20"/>
          <w:lang w:eastAsia="sl-SI"/>
        </w:rPr>
      </w:pPr>
    </w:p>
    <w:p w14:paraId="4E98CFA4" w14:textId="77777777" w:rsidR="00285130" w:rsidRPr="007A4F0B" w:rsidRDefault="00285130" w:rsidP="00285130">
      <w:pPr>
        <w:jc w:val="both"/>
        <w:rPr>
          <w:rFonts w:cs="Arial"/>
          <w:szCs w:val="20"/>
          <w:lang w:eastAsia="sl-SI"/>
        </w:rPr>
      </w:pPr>
      <w:r w:rsidRPr="007A4F0B">
        <w:rPr>
          <w:rFonts w:cs="Arial"/>
          <w:szCs w:val="20"/>
          <w:lang w:eastAsia="sl-SI"/>
        </w:rPr>
        <w:t xml:space="preserve">Skupna vrednost prvega projekta je 1.008.838 evrov, v okviru katerega je bilo podjetju CGS </w:t>
      </w:r>
      <w:proofErr w:type="spellStart"/>
      <w:r w:rsidRPr="007A4F0B">
        <w:rPr>
          <w:rFonts w:cs="Arial"/>
          <w:szCs w:val="20"/>
          <w:lang w:eastAsia="sl-SI"/>
        </w:rPr>
        <w:t>Labs</w:t>
      </w:r>
      <w:proofErr w:type="spellEnd"/>
      <w:r w:rsidRPr="007A4F0B">
        <w:rPr>
          <w:rFonts w:cs="Arial"/>
          <w:szCs w:val="20"/>
          <w:lang w:eastAsia="sl-SI"/>
        </w:rPr>
        <w:t xml:space="preserve"> </w:t>
      </w:r>
      <w:proofErr w:type="spellStart"/>
      <w:r w:rsidRPr="007A4F0B">
        <w:rPr>
          <w:rFonts w:cs="Arial"/>
          <w:szCs w:val="20"/>
          <w:lang w:eastAsia="sl-SI"/>
        </w:rPr>
        <w:t>d.o.o</w:t>
      </w:r>
      <w:proofErr w:type="spellEnd"/>
      <w:r w:rsidRPr="007A4F0B">
        <w:rPr>
          <w:rFonts w:cs="Arial"/>
          <w:szCs w:val="20"/>
          <w:lang w:eastAsia="sl-SI"/>
        </w:rPr>
        <w:t xml:space="preserve">. odobreno sofinanciranje v višini 205.586 evrov. Skupna vrednost drugega projekta pa je 911.597,50 evrov, v okviru katerega je bilo podjetju </w:t>
      </w:r>
      <w:proofErr w:type="spellStart"/>
      <w:r w:rsidRPr="007A4F0B">
        <w:rPr>
          <w:rFonts w:cs="Arial"/>
          <w:szCs w:val="20"/>
          <w:lang w:eastAsia="sl-SI"/>
        </w:rPr>
        <w:t>Amibit</w:t>
      </w:r>
      <w:proofErr w:type="spellEnd"/>
      <w:r w:rsidRPr="007A4F0B">
        <w:rPr>
          <w:rFonts w:cs="Arial"/>
          <w:szCs w:val="20"/>
          <w:lang w:eastAsia="sl-SI"/>
        </w:rPr>
        <w:t xml:space="preserve"> </w:t>
      </w:r>
      <w:proofErr w:type="spellStart"/>
      <w:r w:rsidRPr="007A4F0B">
        <w:rPr>
          <w:rFonts w:cs="Arial"/>
          <w:szCs w:val="20"/>
          <w:lang w:eastAsia="sl-SI"/>
        </w:rPr>
        <w:t>d.o.o</w:t>
      </w:r>
      <w:proofErr w:type="spellEnd"/>
      <w:r w:rsidRPr="007A4F0B">
        <w:rPr>
          <w:rFonts w:cs="Arial"/>
          <w:szCs w:val="20"/>
          <w:lang w:eastAsia="sl-SI"/>
        </w:rPr>
        <w:t xml:space="preserve">. odobreno sofinanciranje v višini 201.600 evrov, podjetju </w:t>
      </w:r>
      <w:proofErr w:type="spellStart"/>
      <w:r w:rsidRPr="007A4F0B">
        <w:rPr>
          <w:rFonts w:cs="Arial"/>
          <w:szCs w:val="20"/>
          <w:lang w:eastAsia="sl-SI"/>
        </w:rPr>
        <w:t>Emazing</w:t>
      </w:r>
      <w:proofErr w:type="spellEnd"/>
      <w:r w:rsidRPr="007A4F0B">
        <w:rPr>
          <w:rFonts w:cs="Arial"/>
          <w:szCs w:val="20"/>
          <w:lang w:eastAsia="sl-SI"/>
        </w:rPr>
        <w:t xml:space="preserve"> </w:t>
      </w:r>
      <w:proofErr w:type="spellStart"/>
      <w:r w:rsidRPr="007A4F0B">
        <w:rPr>
          <w:rFonts w:cs="Arial"/>
          <w:szCs w:val="20"/>
          <w:lang w:eastAsia="sl-SI"/>
        </w:rPr>
        <w:t>d.o.o</w:t>
      </w:r>
      <w:proofErr w:type="spellEnd"/>
      <w:r w:rsidRPr="007A4F0B">
        <w:rPr>
          <w:rFonts w:cs="Arial"/>
          <w:szCs w:val="20"/>
          <w:lang w:eastAsia="sl-SI"/>
        </w:rPr>
        <w:t>. pa sofinanciranje v višini 97.948,75 evrov.</w:t>
      </w:r>
    </w:p>
    <w:p w14:paraId="5762B82B" w14:textId="77777777" w:rsidR="00285130" w:rsidRPr="007A4F0B" w:rsidRDefault="00285130" w:rsidP="00285130">
      <w:pPr>
        <w:jc w:val="both"/>
        <w:rPr>
          <w:rFonts w:cs="Arial"/>
          <w:szCs w:val="20"/>
          <w:lang w:eastAsia="sl-SI"/>
        </w:rPr>
      </w:pPr>
    </w:p>
    <w:p w14:paraId="0140318D" w14:textId="77777777" w:rsidR="00285130" w:rsidRPr="007A4F0B" w:rsidRDefault="00285130" w:rsidP="00285130">
      <w:pPr>
        <w:jc w:val="both"/>
        <w:rPr>
          <w:rFonts w:cs="Arial"/>
          <w:szCs w:val="20"/>
          <w:lang w:eastAsia="sl-SI"/>
        </w:rPr>
      </w:pPr>
      <w:r w:rsidRPr="007A4F0B">
        <w:rPr>
          <w:rFonts w:cs="Arial"/>
          <w:szCs w:val="20"/>
          <w:lang w:eastAsia="sl-SI"/>
        </w:rPr>
        <w:t xml:space="preserve"> Oba projekta sta bila v sofinanciranje izbrana v okviru javnega razpisa v povezavi z mednarodnim razpisom programa </w:t>
      </w:r>
      <w:proofErr w:type="spellStart"/>
      <w:r w:rsidRPr="007A4F0B">
        <w:rPr>
          <w:rFonts w:cs="Arial"/>
          <w:szCs w:val="20"/>
          <w:lang w:eastAsia="sl-SI"/>
        </w:rPr>
        <w:t>Eurostars</w:t>
      </w:r>
      <w:proofErr w:type="spellEnd"/>
      <w:r w:rsidRPr="007A4F0B">
        <w:rPr>
          <w:rFonts w:cs="Arial"/>
          <w:szCs w:val="20"/>
          <w:lang w:eastAsia="sl-SI"/>
        </w:rPr>
        <w:t xml:space="preserve"> 3: "</w:t>
      </w:r>
      <w:proofErr w:type="spellStart"/>
      <w:r w:rsidRPr="007A4F0B">
        <w:rPr>
          <w:rFonts w:cs="Arial"/>
          <w:szCs w:val="20"/>
          <w:lang w:eastAsia="sl-SI"/>
        </w:rPr>
        <w:t>Eurostars</w:t>
      </w:r>
      <w:proofErr w:type="spellEnd"/>
      <w:r w:rsidRPr="007A4F0B">
        <w:rPr>
          <w:rFonts w:cs="Arial"/>
          <w:szCs w:val="20"/>
          <w:lang w:eastAsia="sl-SI"/>
        </w:rPr>
        <w:t xml:space="preserve"> </w:t>
      </w:r>
      <w:proofErr w:type="spellStart"/>
      <w:r w:rsidRPr="007A4F0B">
        <w:rPr>
          <w:rFonts w:cs="Arial"/>
          <w:szCs w:val="20"/>
          <w:lang w:eastAsia="sl-SI"/>
        </w:rPr>
        <w:t>joint</w:t>
      </w:r>
      <w:proofErr w:type="spellEnd"/>
      <w:r w:rsidRPr="007A4F0B">
        <w:rPr>
          <w:rFonts w:cs="Arial"/>
          <w:szCs w:val="20"/>
          <w:lang w:eastAsia="sl-SI"/>
        </w:rPr>
        <w:t xml:space="preserve"> </w:t>
      </w:r>
      <w:proofErr w:type="spellStart"/>
      <w:r w:rsidRPr="007A4F0B">
        <w:rPr>
          <w:rFonts w:cs="Arial"/>
          <w:szCs w:val="20"/>
          <w:lang w:eastAsia="sl-SI"/>
        </w:rPr>
        <w:t>transnational</w:t>
      </w:r>
      <w:proofErr w:type="spellEnd"/>
      <w:r w:rsidRPr="007A4F0B">
        <w:rPr>
          <w:rFonts w:cs="Arial"/>
          <w:szCs w:val="20"/>
          <w:lang w:eastAsia="sl-SI"/>
        </w:rPr>
        <w:t xml:space="preserve"> </w:t>
      </w:r>
      <w:proofErr w:type="spellStart"/>
      <w:r w:rsidRPr="007A4F0B">
        <w:rPr>
          <w:rFonts w:cs="Arial"/>
          <w:szCs w:val="20"/>
          <w:lang w:eastAsia="sl-SI"/>
        </w:rPr>
        <w:t>call</w:t>
      </w:r>
      <w:proofErr w:type="spellEnd"/>
      <w:r w:rsidRPr="007A4F0B">
        <w:rPr>
          <w:rFonts w:cs="Arial"/>
          <w:szCs w:val="20"/>
          <w:lang w:eastAsia="sl-SI"/>
        </w:rPr>
        <w:t xml:space="preserve"> </w:t>
      </w:r>
      <w:proofErr w:type="spellStart"/>
      <w:r w:rsidRPr="007A4F0B">
        <w:rPr>
          <w:rFonts w:cs="Arial"/>
          <w:szCs w:val="20"/>
          <w:lang w:eastAsia="sl-SI"/>
        </w:rPr>
        <w:t>for</w:t>
      </w:r>
      <w:proofErr w:type="spellEnd"/>
      <w:r w:rsidRPr="007A4F0B">
        <w:rPr>
          <w:rFonts w:cs="Arial"/>
          <w:szCs w:val="20"/>
          <w:lang w:eastAsia="sl-SI"/>
        </w:rPr>
        <w:t xml:space="preserve"> </w:t>
      </w:r>
      <w:proofErr w:type="spellStart"/>
      <w:r w:rsidRPr="007A4F0B">
        <w:rPr>
          <w:rFonts w:cs="Arial"/>
          <w:szCs w:val="20"/>
          <w:lang w:eastAsia="sl-SI"/>
        </w:rPr>
        <w:t>proposals</w:t>
      </w:r>
      <w:proofErr w:type="spellEnd"/>
      <w:r w:rsidRPr="007A4F0B">
        <w:rPr>
          <w:rFonts w:cs="Arial"/>
          <w:szCs w:val="20"/>
          <w:lang w:eastAsia="sl-SI"/>
        </w:rPr>
        <w:t xml:space="preserve">". Predmet javnega razpisa je sofinanciranje dela stroškov slovenskih partnerjev, vključenih v projekte </w:t>
      </w:r>
      <w:proofErr w:type="spellStart"/>
      <w:r w:rsidRPr="007A4F0B">
        <w:rPr>
          <w:rFonts w:cs="Arial"/>
          <w:szCs w:val="20"/>
          <w:lang w:eastAsia="sl-SI"/>
        </w:rPr>
        <w:t>Eurostars</w:t>
      </w:r>
      <w:proofErr w:type="spellEnd"/>
      <w:r w:rsidRPr="007A4F0B">
        <w:rPr>
          <w:rFonts w:cs="Arial"/>
          <w:szCs w:val="20"/>
          <w:lang w:eastAsia="sl-SI"/>
        </w:rPr>
        <w:t xml:space="preserve">, ki lahko sofinanciranje prejmejo za izvajanje tistega dela </w:t>
      </w:r>
      <w:proofErr w:type="spellStart"/>
      <w:r w:rsidRPr="007A4F0B">
        <w:rPr>
          <w:rFonts w:cs="Arial"/>
          <w:szCs w:val="20"/>
          <w:lang w:eastAsia="sl-SI"/>
        </w:rPr>
        <w:t>Eurostars</w:t>
      </w:r>
      <w:proofErr w:type="spellEnd"/>
      <w:r w:rsidRPr="007A4F0B">
        <w:rPr>
          <w:rFonts w:cs="Arial"/>
          <w:szCs w:val="20"/>
          <w:lang w:eastAsia="sl-SI"/>
        </w:rPr>
        <w:t xml:space="preserve"> projektov, ki se izvajajo v obliki industrijskih raziskav in eksperimentalnega razvoja. Končni cilj vsakega projekta, da bi ta lahko prejel oznako </w:t>
      </w:r>
      <w:proofErr w:type="spellStart"/>
      <w:r w:rsidRPr="007A4F0B">
        <w:rPr>
          <w:rFonts w:cs="Arial"/>
          <w:szCs w:val="20"/>
          <w:lang w:eastAsia="sl-SI"/>
        </w:rPr>
        <w:t>Eurostars</w:t>
      </w:r>
      <w:proofErr w:type="spellEnd"/>
      <w:r w:rsidRPr="007A4F0B">
        <w:rPr>
          <w:rFonts w:cs="Arial"/>
          <w:szCs w:val="20"/>
          <w:lang w:eastAsia="sl-SI"/>
        </w:rPr>
        <w:t xml:space="preserve">, pa mora biti nov izdelek, postopek ali storitev. </w:t>
      </w:r>
    </w:p>
    <w:p w14:paraId="16B99F3B" w14:textId="77777777" w:rsidR="00285130" w:rsidRPr="007A4F0B" w:rsidRDefault="00285130" w:rsidP="00285130">
      <w:pPr>
        <w:jc w:val="both"/>
        <w:rPr>
          <w:rFonts w:cs="Arial"/>
          <w:szCs w:val="20"/>
          <w:lang w:eastAsia="sl-SI"/>
        </w:rPr>
      </w:pPr>
    </w:p>
    <w:p w14:paraId="6A1E45F7" w14:textId="77777777" w:rsidR="00285130" w:rsidRPr="007A4F0B" w:rsidRDefault="00285130" w:rsidP="00285130">
      <w:pPr>
        <w:jc w:val="both"/>
        <w:rPr>
          <w:rFonts w:cs="Arial"/>
          <w:szCs w:val="20"/>
          <w:lang w:eastAsia="sl-SI"/>
        </w:rPr>
      </w:pPr>
      <w:r w:rsidRPr="007A4F0B">
        <w:rPr>
          <w:rFonts w:cs="Arial"/>
          <w:szCs w:val="20"/>
          <w:lang w:eastAsia="sl-SI"/>
        </w:rPr>
        <w:t>Vir: Ministrstvo za gospodarski razvoj in tehnologijo</w:t>
      </w:r>
    </w:p>
    <w:p w14:paraId="6BF85BE6" w14:textId="77777777" w:rsidR="00923E78" w:rsidRPr="00923E78" w:rsidRDefault="00923E78" w:rsidP="00923E78">
      <w:pPr>
        <w:jc w:val="both"/>
        <w:rPr>
          <w:rFonts w:cs="Arial"/>
          <w:b/>
          <w:bCs/>
          <w:szCs w:val="20"/>
          <w:lang w:eastAsia="sl-SI"/>
        </w:rPr>
      </w:pPr>
    </w:p>
    <w:p w14:paraId="6F0813D2" w14:textId="32ADE453" w:rsidR="00F856DE" w:rsidRDefault="00F856DE" w:rsidP="00F856DE">
      <w:pPr>
        <w:jc w:val="both"/>
        <w:rPr>
          <w:rFonts w:cs="Arial"/>
          <w:b/>
          <w:bCs/>
          <w:szCs w:val="20"/>
          <w:lang w:eastAsia="sl-SI"/>
        </w:rPr>
      </w:pPr>
      <w:r>
        <w:rPr>
          <w:rFonts w:cs="Arial"/>
          <w:b/>
          <w:bCs/>
          <w:szCs w:val="20"/>
          <w:lang w:eastAsia="sl-SI"/>
        </w:rPr>
        <w:t>P</w:t>
      </w:r>
      <w:r w:rsidRPr="00F856DE">
        <w:rPr>
          <w:rFonts w:cs="Arial"/>
          <w:b/>
          <w:bCs/>
          <w:szCs w:val="20"/>
          <w:lang w:eastAsia="sl-SI"/>
        </w:rPr>
        <w:t xml:space="preserve">rojekt nakupa novih in obnovljenih ekoloških pnevmatik </w:t>
      </w:r>
      <w:r>
        <w:rPr>
          <w:rFonts w:cs="Arial"/>
          <w:b/>
          <w:bCs/>
          <w:szCs w:val="20"/>
          <w:lang w:eastAsia="sl-SI"/>
        </w:rPr>
        <w:t xml:space="preserve"> uvrščen </w:t>
      </w:r>
      <w:r w:rsidRPr="00F856DE">
        <w:rPr>
          <w:rFonts w:cs="Arial"/>
          <w:b/>
          <w:bCs/>
          <w:szCs w:val="20"/>
          <w:lang w:eastAsia="sl-SI"/>
        </w:rPr>
        <w:t>v veljavni Načrt razvojnih programov 2022-2025</w:t>
      </w:r>
    </w:p>
    <w:p w14:paraId="62A38B78" w14:textId="77777777" w:rsidR="00F856DE" w:rsidRDefault="00F856DE" w:rsidP="00F856DE">
      <w:pPr>
        <w:jc w:val="both"/>
        <w:rPr>
          <w:rFonts w:cs="Arial"/>
          <w:b/>
          <w:bCs/>
          <w:szCs w:val="20"/>
          <w:lang w:eastAsia="sl-SI"/>
        </w:rPr>
      </w:pPr>
    </w:p>
    <w:p w14:paraId="7D972556" w14:textId="23ED535B" w:rsidR="00F856DE" w:rsidRPr="00F856DE" w:rsidRDefault="00F856DE" w:rsidP="00F856DE">
      <w:pPr>
        <w:jc w:val="both"/>
        <w:rPr>
          <w:rFonts w:cs="Arial"/>
          <w:szCs w:val="20"/>
          <w:lang w:eastAsia="sl-SI"/>
        </w:rPr>
      </w:pPr>
      <w:r w:rsidRPr="00F856DE">
        <w:rPr>
          <w:rFonts w:cs="Arial"/>
          <w:szCs w:val="20"/>
          <w:lang w:eastAsia="sl-SI"/>
        </w:rPr>
        <w:t>Vlada je sprejela sklep, da se projekt nakupa novih in obnovljenih ekoloških pnevmatik uvrsti v veljavni Načrt razvojnih programov 2022-2025.</w:t>
      </w:r>
    </w:p>
    <w:p w14:paraId="2A8049BB" w14:textId="77777777" w:rsidR="00F856DE" w:rsidRPr="00F856DE" w:rsidRDefault="00F856DE" w:rsidP="00F856DE">
      <w:pPr>
        <w:jc w:val="both"/>
        <w:rPr>
          <w:rFonts w:cs="Arial"/>
          <w:b/>
          <w:bCs/>
          <w:szCs w:val="20"/>
          <w:lang w:eastAsia="sl-SI"/>
        </w:rPr>
      </w:pPr>
    </w:p>
    <w:p w14:paraId="16995D95" w14:textId="77777777" w:rsidR="00F856DE" w:rsidRPr="00F856DE" w:rsidRDefault="00F856DE" w:rsidP="00F856DE">
      <w:pPr>
        <w:jc w:val="both"/>
        <w:rPr>
          <w:rFonts w:cs="Arial"/>
          <w:szCs w:val="20"/>
          <w:lang w:eastAsia="sl-SI"/>
        </w:rPr>
      </w:pPr>
      <w:r w:rsidRPr="00F856DE">
        <w:rPr>
          <w:rFonts w:cs="Arial"/>
          <w:szCs w:val="20"/>
          <w:lang w:eastAsia="sl-SI"/>
        </w:rPr>
        <w:t>Z vladnim gradivom se predlaga uvrstitev novega projekta »Spodbujanje okolju prijaznejšega tovornega prevozništva v cestnem prometu - nakup novih in obnovljenih pnevmatik višjega energijskega razreda pri tovornih vozilih in avtobusih« v veljavni Načrt razvojnih programov 2022 – 2025.</w:t>
      </w:r>
    </w:p>
    <w:p w14:paraId="14A7DE05" w14:textId="77777777" w:rsidR="00F856DE" w:rsidRPr="00F856DE" w:rsidRDefault="00F856DE" w:rsidP="00F856DE">
      <w:pPr>
        <w:jc w:val="both"/>
        <w:rPr>
          <w:rFonts w:cs="Arial"/>
          <w:szCs w:val="20"/>
          <w:lang w:eastAsia="sl-SI"/>
        </w:rPr>
      </w:pPr>
    </w:p>
    <w:p w14:paraId="06FD24D6" w14:textId="090F127B" w:rsidR="00F856DE" w:rsidRPr="00F856DE" w:rsidRDefault="00F856DE" w:rsidP="00F856DE">
      <w:pPr>
        <w:jc w:val="both"/>
        <w:rPr>
          <w:rFonts w:cs="Arial"/>
          <w:szCs w:val="20"/>
          <w:lang w:eastAsia="sl-SI"/>
        </w:rPr>
      </w:pPr>
      <w:r w:rsidRPr="00F856DE">
        <w:rPr>
          <w:rFonts w:cs="Arial"/>
          <w:szCs w:val="20"/>
          <w:lang w:eastAsia="sl-SI"/>
        </w:rPr>
        <w:t xml:space="preserve">Skladno z Odlokom o Programu porabe sredstev Sklada za podnebne spremembe za leti 2022 in 2023 je v okvir Programa porabe sredstev sklada za podnebne spremembe v obdobju 2022–2023 umeščen ukrep Spodbujanje okolju prijaznejšega tovornega prevozništva v cestnem prometu. Iz točke 2.3.4 priloge k omenjenemu odloku izhaja, da bodo sredstva v višini 10 </w:t>
      </w:r>
      <w:proofErr w:type="spellStart"/>
      <w:r w:rsidRPr="00F856DE">
        <w:rPr>
          <w:rFonts w:cs="Arial"/>
          <w:szCs w:val="20"/>
          <w:lang w:eastAsia="sl-SI"/>
        </w:rPr>
        <w:t>miliijonov</w:t>
      </w:r>
      <w:proofErr w:type="spellEnd"/>
      <w:r w:rsidRPr="00F856DE">
        <w:rPr>
          <w:rFonts w:cs="Arial"/>
          <w:szCs w:val="20"/>
          <w:lang w:eastAsia="sl-SI"/>
        </w:rPr>
        <w:t xml:space="preserve"> </w:t>
      </w:r>
      <w:r w:rsidR="002E0786">
        <w:rPr>
          <w:rFonts w:cs="Arial"/>
          <w:szCs w:val="20"/>
          <w:lang w:eastAsia="sl-SI"/>
        </w:rPr>
        <w:t>evrov</w:t>
      </w:r>
      <w:r w:rsidRPr="00F856DE">
        <w:rPr>
          <w:rFonts w:cs="Arial"/>
          <w:szCs w:val="20"/>
          <w:lang w:eastAsia="sl-SI"/>
        </w:rPr>
        <w:t xml:space="preserve"> namenjena zmanjšanju emisij toplogrednih plinov (TPG) v prometu, od tega je 4 milijone </w:t>
      </w:r>
      <w:r w:rsidR="002E0786">
        <w:rPr>
          <w:rFonts w:cs="Arial"/>
          <w:szCs w:val="20"/>
          <w:lang w:eastAsia="sl-SI"/>
        </w:rPr>
        <w:t>evrov</w:t>
      </w:r>
      <w:r w:rsidRPr="00F856DE">
        <w:rPr>
          <w:rFonts w:cs="Arial"/>
          <w:szCs w:val="20"/>
          <w:lang w:eastAsia="sl-SI"/>
        </w:rPr>
        <w:t xml:space="preserve"> namenjenih za spodbujanje nakupa novih in obnovljenih pnevmatik.</w:t>
      </w:r>
    </w:p>
    <w:p w14:paraId="387AD001" w14:textId="77777777" w:rsidR="00F856DE" w:rsidRPr="00F856DE" w:rsidRDefault="00F856DE" w:rsidP="00F856DE">
      <w:pPr>
        <w:jc w:val="both"/>
        <w:rPr>
          <w:rFonts w:cs="Arial"/>
          <w:szCs w:val="20"/>
          <w:lang w:eastAsia="sl-SI"/>
        </w:rPr>
      </w:pPr>
    </w:p>
    <w:p w14:paraId="5A8A7AEC" w14:textId="5741F51A" w:rsidR="00F856DE" w:rsidRPr="00F856DE" w:rsidRDefault="00F856DE" w:rsidP="00F856DE">
      <w:pPr>
        <w:jc w:val="both"/>
        <w:rPr>
          <w:rFonts w:cs="Arial"/>
          <w:szCs w:val="20"/>
          <w:lang w:eastAsia="sl-SI"/>
        </w:rPr>
      </w:pPr>
      <w:r w:rsidRPr="00F856DE">
        <w:rPr>
          <w:rFonts w:cs="Arial"/>
          <w:szCs w:val="20"/>
          <w:lang w:eastAsia="sl-SI"/>
        </w:rPr>
        <w:lastRenderedPageBreak/>
        <w:t xml:space="preserve">Projekt se deloma </w:t>
      </w:r>
      <w:proofErr w:type="spellStart"/>
      <w:r w:rsidRPr="00F856DE">
        <w:rPr>
          <w:rFonts w:cs="Arial"/>
          <w:szCs w:val="20"/>
          <w:lang w:eastAsia="sl-SI"/>
        </w:rPr>
        <w:t>t.j</w:t>
      </w:r>
      <w:proofErr w:type="spellEnd"/>
      <w:r w:rsidRPr="00F856DE">
        <w:rPr>
          <w:rFonts w:cs="Arial"/>
          <w:szCs w:val="20"/>
          <w:lang w:eastAsia="sl-SI"/>
        </w:rPr>
        <w:t xml:space="preserve">. za nakup novih pnevmatik že izvaja preko </w:t>
      </w:r>
      <w:proofErr w:type="spellStart"/>
      <w:r w:rsidRPr="00F856DE">
        <w:rPr>
          <w:rFonts w:cs="Arial"/>
          <w:szCs w:val="20"/>
          <w:lang w:eastAsia="sl-SI"/>
        </w:rPr>
        <w:t>Eko</w:t>
      </w:r>
      <w:proofErr w:type="spellEnd"/>
      <w:r w:rsidRPr="00F856DE">
        <w:rPr>
          <w:rFonts w:cs="Arial"/>
          <w:szCs w:val="20"/>
          <w:lang w:eastAsia="sl-SI"/>
        </w:rPr>
        <w:t xml:space="preserve"> sklada, ki je v ta namen decembra 2021 že objavil javni poziv, medtem ko je za nakup obnovljenih pnevmatik </w:t>
      </w:r>
      <w:proofErr w:type="spellStart"/>
      <w:r w:rsidRPr="00F856DE">
        <w:rPr>
          <w:rFonts w:cs="Arial"/>
          <w:szCs w:val="20"/>
          <w:lang w:eastAsia="sl-SI"/>
        </w:rPr>
        <w:t>pedviden</w:t>
      </w:r>
      <w:proofErr w:type="spellEnd"/>
      <w:r w:rsidRPr="00F856DE">
        <w:rPr>
          <w:rFonts w:cs="Arial"/>
          <w:szCs w:val="20"/>
          <w:lang w:eastAsia="sl-SI"/>
        </w:rPr>
        <w:t xml:space="preserve"> poseben javni poziv. Omenjena uvrstitev projekta v veljavni NRP bo omogočila izvajalcu ukrepa </w:t>
      </w:r>
      <w:proofErr w:type="spellStart"/>
      <w:r w:rsidRPr="00F856DE">
        <w:rPr>
          <w:rFonts w:cs="Arial"/>
          <w:szCs w:val="20"/>
          <w:lang w:eastAsia="sl-SI"/>
        </w:rPr>
        <w:t>Eko</w:t>
      </w:r>
      <w:proofErr w:type="spellEnd"/>
      <w:r w:rsidRPr="00F856DE">
        <w:rPr>
          <w:rFonts w:cs="Arial"/>
          <w:szCs w:val="20"/>
          <w:lang w:eastAsia="sl-SI"/>
        </w:rPr>
        <w:t xml:space="preserve"> sklad izplačevanje finančnih spodbud končnim upravičencem (imetniki licenc za opravljanje prevozov blaga in potnikov) za razpis, ki je že v teku.</w:t>
      </w:r>
    </w:p>
    <w:p w14:paraId="0D9A914B" w14:textId="77777777" w:rsidR="00F856DE" w:rsidRPr="00F856DE" w:rsidRDefault="00F856DE" w:rsidP="00F856DE">
      <w:pPr>
        <w:jc w:val="both"/>
        <w:rPr>
          <w:rFonts w:cs="Arial"/>
          <w:szCs w:val="20"/>
          <w:lang w:eastAsia="sl-SI"/>
        </w:rPr>
      </w:pPr>
    </w:p>
    <w:p w14:paraId="7DC4B0C0" w14:textId="77777777" w:rsidR="00F856DE" w:rsidRPr="00F856DE" w:rsidRDefault="00F856DE" w:rsidP="00F856DE">
      <w:pPr>
        <w:jc w:val="both"/>
        <w:rPr>
          <w:rFonts w:cs="Arial"/>
          <w:szCs w:val="20"/>
          <w:lang w:eastAsia="sl-SI"/>
        </w:rPr>
      </w:pPr>
      <w:r w:rsidRPr="00F856DE">
        <w:rPr>
          <w:rFonts w:cs="Arial"/>
          <w:szCs w:val="20"/>
          <w:lang w:eastAsia="sl-SI"/>
        </w:rPr>
        <w:t xml:space="preserve">Sredstva za sofinanciranje izvedbe ukrepa za leti 2022 in 2023 so zagotovljena s Pogodbo o izvajanju ukrepov na podlagi Programa porabe sredstev Sklada za podnebne spremembe med MOP in </w:t>
      </w:r>
      <w:proofErr w:type="spellStart"/>
      <w:r w:rsidRPr="00F856DE">
        <w:rPr>
          <w:rFonts w:cs="Arial"/>
          <w:szCs w:val="20"/>
          <w:lang w:eastAsia="sl-SI"/>
        </w:rPr>
        <w:t>Eko</w:t>
      </w:r>
      <w:proofErr w:type="spellEnd"/>
      <w:r w:rsidRPr="00F856DE">
        <w:rPr>
          <w:rFonts w:cs="Arial"/>
          <w:szCs w:val="20"/>
          <w:lang w:eastAsia="sl-SI"/>
        </w:rPr>
        <w:t xml:space="preserve"> skladom.</w:t>
      </w:r>
    </w:p>
    <w:p w14:paraId="7DBDB307" w14:textId="77777777" w:rsidR="00F856DE" w:rsidRPr="00F856DE" w:rsidRDefault="00F856DE" w:rsidP="00F856DE">
      <w:pPr>
        <w:jc w:val="both"/>
        <w:rPr>
          <w:rFonts w:cs="Arial"/>
          <w:szCs w:val="20"/>
          <w:lang w:eastAsia="sl-SI"/>
        </w:rPr>
      </w:pPr>
    </w:p>
    <w:p w14:paraId="31EA6AE3" w14:textId="718A085A" w:rsidR="00923E78" w:rsidRPr="00F856DE" w:rsidRDefault="00F856DE" w:rsidP="00F856DE">
      <w:pPr>
        <w:jc w:val="both"/>
        <w:rPr>
          <w:rFonts w:cs="Arial"/>
          <w:szCs w:val="20"/>
          <w:lang w:eastAsia="sl-SI"/>
        </w:rPr>
      </w:pPr>
      <w:r w:rsidRPr="00F856DE">
        <w:rPr>
          <w:rFonts w:cs="Arial"/>
          <w:szCs w:val="20"/>
          <w:lang w:eastAsia="sl-SI"/>
        </w:rPr>
        <w:t>Vir: Ministrstvo za infrastrukturo</w:t>
      </w:r>
    </w:p>
    <w:p w14:paraId="09134256" w14:textId="77777777" w:rsidR="00923E78" w:rsidRPr="00923E78" w:rsidRDefault="00923E78" w:rsidP="00923E78">
      <w:pPr>
        <w:jc w:val="both"/>
        <w:rPr>
          <w:rFonts w:cs="Arial"/>
          <w:b/>
          <w:bCs/>
          <w:szCs w:val="20"/>
          <w:lang w:eastAsia="sl-SI"/>
        </w:rPr>
      </w:pPr>
    </w:p>
    <w:p w14:paraId="52A0D34D" w14:textId="27CE1EB5" w:rsidR="007D0406" w:rsidRPr="007D0406" w:rsidRDefault="007D0406" w:rsidP="007D0406">
      <w:pPr>
        <w:jc w:val="both"/>
        <w:rPr>
          <w:rFonts w:cs="Arial"/>
          <w:b/>
          <w:bCs/>
          <w:szCs w:val="20"/>
          <w:lang w:eastAsia="sl-SI"/>
        </w:rPr>
      </w:pPr>
      <w:r w:rsidRPr="007D0406">
        <w:rPr>
          <w:rFonts w:cs="Arial"/>
          <w:b/>
          <w:bCs/>
          <w:szCs w:val="20"/>
          <w:lang w:eastAsia="sl-SI"/>
        </w:rPr>
        <w:t>Sprememba vrednosti projekta Celovita prenova objekta Hacquetova 19 - KIS</w:t>
      </w:r>
    </w:p>
    <w:p w14:paraId="7ED7032A" w14:textId="77777777" w:rsidR="007D0406" w:rsidRPr="007D0406" w:rsidRDefault="007D0406" w:rsidP="007D0406">
      <w:pPr>
        <w:jc w:val="both"/>
        <w:rPr>
          <w:rFonts w:cs="Arial"/>
          <w:szCs w:val="20"/>
          <w:lang w:eastAsia="sl-SI"/>
        </w:rPr>
      </w:pPr>
    </w:p>
    <w:p w14:paraId="19A16C6E" w14:textId="77777777" w:rsidR="007D0406" w:rsidRPr="007D0406" w:rsidRDefault="007D0406" w:rsidP="007D0406">
      <w:pPr>
        <w:jc w:val="both"/>
        <w:rPr>
          <w:rFonts w:cs="Arial"/>
          <w:szCs w:val="20"/>
          <w:lang w:eastAsia="sl-SI"/>
        </w:rPr>
      </w:pPr>
      <w:r w:rsidRPr="007D0406">
        <w:rPr>
          <w:rFonts w:cs="Arial"/>
          <w:szCs w:val="20"/>
          <w:lang w:eastAsia="sl-SI"/>
        </w:rPr>
        <w:t>Vlada Republike Slovenije je na dopisni seji sklenila, da se v Načrtu razvojnih programov za obdobje 2022-2025 poveča vrednost projekta Celovita prenova objekta Hacquetova 19 - KIS.</w:t>
      </w:r>
    </w:p>
    <w:p w14:paraId="60C96956" w14:textId="77777777" w:rsidR="007D0406" w:rsidRPr="007D0406" w:rsidRDefault="007D0406" w:rsidP="007D0406">
      <w:pPr>
        <w:jc w:val="both"/>
        <w:rPr>
          <w:rFonts w:cs="Arial"/>
          <w:szCs w:val="20"/>
          <w:lang w:eastAsia="sl-SI"/>
        </w:rPr>
      </w:pPr>
    </w:p>
    <w:p w14:paraId="29DAFCFB" w14:textId="77777777" w:rsidR="007D0406" w:rsidRPr="007D0406" w:rsidRDefault="007D0406" w:rsidP="007D0406">
      <w:pPr>
        <w:jc w:val="both"/>
        <w:rPr>
          <w:rFonts w:cs="Arial"/>
          <w:szCs w:val="20"/>
          <w:lang w:eastAsia="sl-SI"/>
        </w:rPr>
      </w:pPr>
      <w:r w:rsidRPr="007D0406">
        <w:rPr>
          <w:rFonts w:cs="Arial"/>
          <w:szCs w:val="20"/>
          <w:lang w:eastAsia="sl-SI"/>
        </w:rPr>
        <w:t xml:space="preserve">V neposredni bližini glavne upravne stavbe Kmetijskega inštituta Slovenije (KIS) se nahaja večstanovanjski objekt na naslovu Hacquetova ulica 19. Namen projekta Celovita prenova objekta Hacquetova 19 – KIS je pridobiti 380 kvadratnih metrov neto dodatnih poslovnih/raziskovalnih površin. </w:t>
      </w:r>
    </w:p>
    <w:p w14:paraId="4495ECEA" w14:textId="77777777" w:rsidR="00181572" w:rsidRDefault="00181572" w:rsidP="007D0406">
      <w:pPr>
        <w:jc w:val="both"/>
        <w:rPr>
          <w:rFonts w:cs="Arial"/>
          <w:szCs w:val="20"/>
          <w:lang w:eastAsia="sl-SI"/>
        </w:rPr>
      </w:pPr>
    </w:p>
    <w:p w14:paraId="512802DF" w14:textId="6751B4E7" w:rsidR="007D0406" w:rsidRPr="007D0406" w:rsidRDefault="007D0406" w:rsidP="007D0406">
      <w:pPr>
        <w:jc w:val="both"/>
        <w:rPr>
          <w:rFonts w:cs="Arial"/>
          <w:szCs w:val="20"/>
          <w:lang w:eastAsia="sl-SI"/>
        </w:rPr>
      </w:pPr>
      <w:r w:rsidRPr="007D0406">
        <w:rPr>
          <w:rFonts w:cs="Arial"/>
          <w:szCs w:val="20"/>
          <w:lang w:eastAsia="sl-SI"/>
        </w:rPr>
        <w:t xml:space="preserve">Po pričetku izvajanja gradbenih del na objektu se je izkazalo, da bodo potrebna še dodatna dela od prvotno načrtovanih. Ob tem je prišlo še do bistvenega dviga cen v gradbeništvu. Skladno s tem je bila izdelana </w:t>
      </w:r>
      <w:proofErr w:type="spellStart"/>
      <w:r w:rsidRPr="007D0406">
        <w:rPr>
          <w:rFonts w:cs="Arial"/>
          <w:szCs w:val="20"/>
          <w:lang w:eastAsia="sl-SI"/>
        </w:rPr>
        <w:t>novelacija</w:t>
      </w:r>
      <w:proofErr w:type="spellEnd"/>
      <w:r w:rsidRPr="007D0406">
        <w:rPr>
          <w:rFonts w:cs="Arial"/>
          <w:szCs w:val="20"/>
          <w:lang w:eastAsia="sl-SI"/>
        </w:rPr>
        <w:t xml:space="preserve"> investicijskega programa, ki je bila potrjena s strani investitorja s sklepom upravnega odbora Kmetijskega inštituta Slovenije Vrednost projekta Celovita prenova objekta Hacquetova 19 – KIS se tako iz 743.846,62 evra povečuje na 1.034.684,67 evra oziroma se poveča za 39 odstotkov.</w:t>
      </w:r>
    </w:p>
    <w:p w14:paraId="07030F1D" w14:textId="77777777" w:rsidR="007D0406" w:rsidRPr="007D0406" w:rsidRDefault="007D0406" w:rsidP="007D0406">
      <w:pPr>
        <w:jc w:val="both"/>
        <w:rPr>
          <w:rFonts w:cs="Arial"/>
          <w:szCs w:val="20"/>
          <w:lang w:eastAsia="sl-SI"/>
        </w:rPr>
      </w:pPr>
    </w:p>
    <w:p w14:paraId="1B6786CE" w14:textId="77777777" w:rsidR="007D0406" w:rsidRPr="007D0406" w:rsidRDefault="007D0406" w:rsidP="007D0406">
      <w:pPr>
        <w:jc w:val="both"/>
        <w:rPr>
          <w:rFonts w:cs="Arial"/>
          <w:szCs w:val="20"/>
          <w:lang w:eastAsia="sl-SI"/>
        </w:rPr>
      </w:pPr>
      <w:r w:rsidRPr="007D0406">
        <w:rPr>
          <w:rFonts w:cs="Arial"/>
          <w:szCs w:val="20"/>
          <w:lang w:eastAsia="sl-SI"/>
        </w:rPr>
        <w:t>Vir: Ministrstvo za izobraževanje, znanost in šport</w:t>
      </w:r>
    </w:p>
    <w:p w14:paraId="56514BDA" w14:textId="77777777" w:rsidR="00923E78" w:rsidRPr="00923E78" w:rsidRDefault="00923E78" w:rsidP="00923E78">
      <w:pPr>
        <w:jc w:val="both"/>
        <w:rPr>
          <w:rFonts w:cs="Arial"/>
          <w:b/>
          <w:bCs/>
          <w:szCs w:val="20"/>
          <w:lang w:eastAsia="sl-SI"/>
        </w:rPr>
      </w:pPr>
    </w:p>
    <w:p w14:paraId="5F0F623B" w14:textId="24E33365" w:rsidR="004F19D2" w:rsidRPr="004F19D2" w:rsidRDefault="004F19D2" w:rsidP="004F19D2">
      <w:pPr>
        <w:jc w:val="both"/>
        <w:rPr>
          <w:rFonts w:cs="Arial"/>
          <w:b/>
          <w:bCs/>
          <w:szCs w:val="20"/>
          <w:lang w:eastAsia="sl-SI"/>
        </w:rPr>
      </w:pPr>
      <w:r w:rsidRPr="004F19D2">
        <w:rPr>
          <w:rFonts w:cs="Arial"/>
          <w:b/>
          <w:bCs/>
          <w:szCs w:val="20"/>
          <w:lang w:eastAsia="sl-SI"/>
        </w:rPr>
        <w:t>Predlog za spremembo projekta 1811-15-0004 - Podpora skupni vizumski politiki</w:t>
      </w:r>
    </w:p>
    <w:p w14:paraId="6C386891" w14:textId="77777777" w:rsidR="004F19D2" w:rsidRPr="004F19D2" w:rsidRDefault="004F19D2" w:rsidP="004F19D2">
      <w:pPr>
        <w:jc w:val="both"/>
        <w:rPr>
          <w:rFonts w:cs="Arial"/>
          <w:szCs w:val="20"/>
          <w:lang w:eastAsia="sl-SI"/>
        </w:rPr>
      </w:pPr>
    </w:p>
    <w:p w14:paraId="4B107B89" w14:textId="77777777" w:rsidR="004F19D2" w:rsidRPr="004F19D2" w:rsidRDefault="004F19D2" w:rsidP="004F19D2">
      <w:pPr>
        <w:jc w:val="both"/>
        <w:rPr>
          <w:rFonts w:cs="Arial"/>
          <w:szCs w:val="20"/>
          <w:lang w:eastAsia="sl-SI"/>
        </w:rPr>
      </w:pPr>
      <w:r w:rsidRPr="004F19D2">
        <w:rPr>
          <w:rFonts w:cs="Arial"/>
          <w:szCs w:val="20"/>
          <w:lang w:eastAsia="sl-SI"/>
        </w:rPr>
        <w:t>Vlada Republike Slovenije je sprejela sklep, da se v načrtu razvojnih programov za obdobje 2022 do 2025 spremeni projekt 1811-15-0004 - Podpora skupni vizumski politiki.</w:t>
      </w:r>
    </w:p>
    <w:p w14:paraId="52601028" w14:textId="77777777" w:rsidR="004F19D2" w:rsidRPr="004F19D2" w:rsidRDefault="004F19D2" w:rsidP="004F19D2">
      <w:pPr>
        <w:jc w:val="both"/>
        <w:rPr>
          <w:rFonts w:cs="Arial"/>
          <w:szCs w:val="20"/>
          <w:lang w:eastAsia="sl-SI"/>
        </w:rPr>
      </w:pPr>
    </w:p>
    <w:p w14:paraId="4A58C31F" w14:textId="1F28FABE" w:rsidR="004F19D2" w:rsidRPr="004F19D2" w:rsidRDefault="004F19D2" w:rsidP="004F19D2">
      <w:pPr>
        <w:jc w:val="both"/>
        <w:rPr>
          <w:rFonts w:cs="Arial"/>
          <w:szCs w:val="20"/>
          <w:lang w:eastAsia="sl-SI"/>
        </w:rPr>
      </w:pPr>
      <w:r w:rsidRPr="004F19D2">
        <w:rPr>
          <w:rFonts w:cs="Arial"/>
          <w:szCs w:val="20"/>
          <w:lang w:eastAsia="sl-SI"/>
        </w:rPr>
        <w:t xml:space="preserve">Izhodiščna vrednost projekta oziroma pričakovani izdatki projekta so se spremenili za več kot 20 % ocenjene vrednosti projekta. Vrednost projekta se s 5.465.601,00 </w:t>
      </w:r>
      <w:r w:rsidR="00D20811">
        <w:rPr>
          <w:rFonts w:cs="Arial"/>
          <w:szCs w:val="20"/>
          <w:lang w:eastAsia="sl-SI"/>
        </w:rPr>
        <w:t>evrov</w:t>
      </w:r>
      <w:r w:rsidRPr="004F19D2">
        <w:rPr>
          <w:rFonts w:cs="Arial"/>
          <w:szCs w:val="20"/>
          <w:lang w:eastAsia="sl-SI"/>
        </w:rPr>
        <w:t xml:space="preserve"> znižuje na 3.846.252,23 </w:t>
      </w:r>
      <w:r w:rsidR="00D20811">
        <w:rPr>
          <w:rFonts w:cs="Arial"/>
          <w:szCs w:val="20"/>
          <w:lang w:eastAsia="sl-SI"/>
        </w:rPr>
        <w:t>evrov</w:t>
      </w:r>
      <w:r w:rsidRPr="004F19D2">
        <w:rPr>
          <w:rFonts w:cs="Arial"/>
          <w:szCs w:val="20"/>
          <w:lang w:eastAsia="sl-SI"/>
        </w:rPr>
        <w:t xml:space="preserve">.  </w:t>
      </w:r>
    </w:p>
    <w:p w14:paraId="082CE91F" w14:textId="77777777" w:rsidR="00D20811" w:rsidRDefault="00D20811" w:rsidP="004F19D2">
      <w:pPr>
        <w:jc w:val="both"/>
        <w:rPr>
          <w:rFonts w:cs="Arial"/>
          <w:szCs w:val="20"/>
          <w:lang w:eastAsia="sl-SI"/>
        </w:rPr>
      </w:pPr>
    </w:p>
    <w:p w14:paraId="4A424804" w14:textId="10A0E990" w:rsidR="004F19D2" w:rsidRPr="004F19D2" w:rsidRDefault="004F19D2" w:rsidP="004F19D2">
      <w:pPr>
        <w:jc w:val="both"/>
        <w:rPr>
          <w:rFonts w:cs="Arial"/>
          <w:szCs w:val="20"/>
          <w:lang w:eastAsia="sl-SI"/>
        </w:rPr>
      </w:pPr>
      <w:r w:rsidRPr="004F19D2">
        <w:rPr>
          <w:rFonts w:cs="Arial"/>
          <w:szCs w:val="20"/>
          <w:lang w:eastAsia="sl-SI"/>
        </w:rPr>
        <w:t xml:space="preserve">Vrednost projekta se je spremenila, ker je Ministrstvo za zunanje zadeve v letu 2020 začelo z izvedbo projekta 1811-20-0002 Posodobitev podatkovnega centra MZZ v skladu z zahtevami EU. Projekt se delno financira iz sredstev EU v okviru Sklada za notranjo varnost. </w:t>
      </w:r>
    </w:p>
    <w:p w14:paraId="5404DE8A" w14:textId="77777777" w:rsidR="00D20811" w:rsidRDefault="00D20811" w:rsidP="004F19D2">
      <w:pPr>
        <w:jc w:val="both"/>
        <w:rPr>
          <w:rFonts w:cs="Arial"/>
          <w:szCs w:val="20"/>
          <w:lang w:eastAsia="sl-SI"/>
        </w:rPr>
      </w:pPr>
    </w:p>
    <w:p w14:paraId="6BD18D6E" w14:textId="022802ED" w:rsidR="004F19D2" w:rsidRPr="004F19D2" w:rsidRDefault="004F19D2" w:rsidP="004F19D2">
      <w:pPr>
        <w:jc w:val="both"/>
        <w:rPr>
          <w:rFonts w:cs="Arial"/>
          <w:szCs w:val="20"/>
          <w:lang w:eastAsia="sl-SI"/>
        </w:rPr>
      </w:pPr>
      <w:r w:rsidRPr="004F19D2">
        <w:rPr>
          <w:rFonts w:cs="Arial"/>
          <w:szCs w:val="20"/>
          <w:lang w:eastAsia="sl-SI"/>
        </w:rPr>
        <w:t xml:space="preserve">Sredstva, ki so bila prvotno načrtovana v okviru projekta št. 1811-15-0004 Podpora skupni vizumski politiki, sofinanciranega iz Sklada za notranjo varnost, so bila nato v skladu z investicijsko dokumentacijo prerazporejena na nov projekt 1811-20-0002 Posodobitev podatkovnega centra MZZ v skladu z zahtevami EU. Poleg navedenega je realizacija aktivnosti nižja od predvidene predvsem zaradi okoliščin, povezanih s pandemijo covid-19.   </w:t>
      </w:r>
    </w:p>
    <w:p w14:paraId="612B95D7" w14:textId="77777777" w:rsidR="004F19D2" w:rsidRPr="004F19D2" w:rsidRDefault="004F19D2" w:rsidP="004F19D2">
      <w:pPr>
        <w:jc w:val="both"/>
        <w:rPr>
          <w:rFonts w:cs="Arial"/>
          <w:szCs w:val="20"/>
          <w:lang w:eastAsia="sl-SI"/>
        </w:rPr>
      </w:pPr>
    </w:p>
    <w:p w14:paraId="07D7BC05" w14:textId="60205410" w:rsidR="00923E78" w:rsidRPr="004F19D2" w:rsidRDefault="004F19D2" w:rsidP="004F19D2">
      <w:pPr>
        <w:jc w:val="both"/>
        <w:rPr>
          <w:rFonts w:cs="Arial"/>
          <w:szCs w:val="20"/>
          <w:lang w:eastAsia="sl-SI"/>
        </w:rPr>
      </w:pPr>
      <w:r w:rsidRPr="004F19D2">
        <w:rPr>
          <w:rFonts w:cs="Arial"/>
          <w:szCs w:val="20"/>
          <w:lang w:eastAsia="sl-SI"/>
        </w:rPr>
        <w:t>Vir: Ministrstvo za zunanje zadeve</w:t>
      </w:r>
    </w:p>
    <w:p w14:paraId="7A54CCC7" w14:textId="77777777" w:rsidR="00923E78" w:rsidRPr="00923E78" w:rsidRDefault="00923E78" w:rsidP="00923E78">
      <w:pPr>
        <w:jc w:val="both"/>
        <w:rPr>
          <w:rFonts w:cs="Arial"/>
          <w:b/>
          <w:bCs/>
          <w:szCs w:val="20"/>
          <w:lang w:eastAsia="sl-SI"/>
        </w:rPr>
      </w:pPr>
    </w:p>
    <w:p w14:paraId="0030D4A1" w14:textId="5128588E" w:rsidR="002C5DA1" w:rsidRPr="002C5DA1" w:rsidRDefault="002C5DA1" w:rsidP="002C5DA1">
      <w:pPr>
        <w:jc w:val="both"/>
        <w:rPr>
          <w:rFonts w:cs="Arial"/>
          <w:b/>
          <w:bCs/>
          <w:szCs w:val="20"/>
          <w:lang w:eastAsia="sl-SI"/>
        </w:rPr>
      </w:pPr>
      <w:r w:rsidRPr="002C5DA1">
        <w:rPr>
          <w:rFonts w:cs="Arial"/>
          <w:b/>
          <w:bCs/>
          <w:szCs w:val="20"/>
          <w:lang w:eastAsia="sl-SI"/>
        </w:rPr>
        <w:lastRenderedPageBreak/>
        <w:t xml:space="preserve">Vlada </w:t>
      </w:r>
      <w:r>
        <w:rPr>
          <w:rFonts w:cs="Arial"/>
          <w:b/>
          <w:bCs/>
          <w:szCs w:val="20"/>
          <w:lang w:eastAsia="sl-SI"/>
        </w:rPr>
        <w:t xml:space="preserve"> sprejela </w:t>
      </w:r>
      <w:r w:rsidRPr="002C5DA1">
        <w:rPr>
          <w:rFonts w:cs="Arial"/>
          <w:b/>
          <w:bCs/>
          <w:szCs w:val="20"/>
          <w:lang w:eastAsia="sl-SI"/>
        </w:rPr>
        <w:t>mnenje o pobudi za začetek postopka za oceno ustavnosti in zakonitosti petega odstavka 160.a člena Zakona o kazenskem postopku</w:t>
      </w:r>
    </w:p>
    <w:p w14:paraId="6C59DAE2" w14:textId="77777777" w:rsidR="002C5DA1" w:rsidRPr="002C5DA1" w:rsidRDefault="002C5DA1" w:rsidP="002C5DA1">
      <w:pPr>
        <w:jc w:val="both"/>
        <w:rPr>
          <w:rFonts w:cs="Arial"/>
          <w:szCs w:val="20"/>
          <w:lang w:eastAsia="sl-SI"/>
        </w:rPr>
      </w:pPr>
    </w:p>
    <w:p w14:paraId="4E2F0B5C" w14:textId="77777777" w:rsidR="002C5DA1" w:rsidRPr="002C5DA1" w:rsidRDefault="002C5DA1" w:rsidP="002C5DA1">
      <w:pPr>
        <w:jc w:val="both"/>
        <w:rPr>
          <w:rFonts w:cs="Arial"/>
          <w:szCs w:val="20"/>
          <w:lang w:eastAsia="sl-SI"/>
        </w:rPr>
      </w:pPr>
      <w:r w:rsidRPr="002C5DA1">
        <w:rPr>
          <w:rFonts w:cs="Arial"/>
          <w:szCs w:val="20"/>
          <w:lang w:eastAsia="sl-SI"/>
        </w:rPr>
        <w:t>Vlada Republike Slovenije je na današnji seji sprejela mnenje o pobudi za začetek postopka za oceno ustavnosti in zakonitosti petega odstavka 160.a člena Zakona o kazenskem postopku, in sicer v delu, v katerem določa, da državnemu tožilcu roke in način usmerjanja predpiše Vlada Republike Slovenije, ter prvega stavka drugega odstavka 5. člena Uredbe o sodelovanju državnega tožilstva, policije in drugih pristojnih državnih organov in institucij pri odkrivanju in pregonu storilcev kaznivih dejanj ter delovanju specializiranih in skupnih preiskovalnih skupin, v delu, v katerem državnemu tožilcu nalaga obveznost pisnega dajanja navodil in predlogov policiji za ukrepanje v predkazenskem postopku, ter tretjega in četrtega odstavka 12. člena navedene Uredbe (št. U-I-77/22), in ga pošlje Državnemu zboru Republike Slovenije ter Ustavnemu sodišču Republike Slovenije.</w:t>
      </w:r>
    </w:p>
    <w:p w14:paraId="7DD3A900" w14:textId="77777777" w:rsidR="002C5DA1" w:rsidRPr="002C5DA1" w:rsidRDefault="002C5DA1" w:rsidP="002C5DA1">
      <w:pPr>
        <w:jc w:val="both"/>
        <w:rPr>
          <w:rFonts w:cs="Arial"/>
          <w:szCs w:val="20"/>
          <w:lang w:eastAsia="sl-SI"/>
        </w:rPr>
      </w:pPr>
    </w:p>
    <w:p w14:paraId="3C076A5F" w14:textId="77777777" w:rsidR="002C5DA1" w:rsidRPr="002C5DA1" w:rsidRDefault="002C5DA1" w:rsidP="002C5DA1">
      <w:pPr>
        <w:jc w:val="both"/>
        <w:rPr>
          <w:rFonts w:cs="Arial"/>
          <w:szCs w:val="20"/>
          <w:lang w:eastAsia="sl-SI"/>
        </w:rPr>
      </w:pPr>
      <w:r w:rsidRPr="002C5DA1">
        <w:rPr>
          <w:rFonts w:cs="Arial"/>
          <w:szCs w:val="20"/>
          <w:lang w:eastAsia="sl-SI"/>
        </w:rPr>
        <w:t>Pobudo za oceno ustavnosti je vložilo Vrhovno državno tožilstvo Republike Slovenije. S pobudo izpodbija veljavno ureditev usmerjanja policije s strani državnega tožilca, pri čemer kot nedopustno posebej izpostavlja:</w:t>
      </w:r>
    </w:p>
    <w:p w14:paraId="0388A4A5" w14:textId="565429FB" w:rsidR="002C5DA1" w:rsidRPr="00B17CB7" w:rsidRDefault="002C5DA1" w:rsidP="00B17CB7">
      <w:pPr>
        <w:pStyle w:val="Odstavekseznama"/>
        <w:numPr>
          <w:ilvl w:val="0"/>
          <w:numId w:val="11"/>
        </w:numPr>
        <w:jc w:val="both"/>
        <w:rPr>
          <w:rFonts w:cs="Arial"/>
          <w:szCs w:val="20"/>
          <w:lang w:eastAsia="sl-SI"/>
        </w:rPr>
      </w:pPr>
      <w:r w:rsidRPr="00B17CB7">
        <w:rPr>
          <w:rFonts w:cs="Arial"/>
          <w:szCs w:val="20"/>
          <w:lang w:eastAsia="sl-SI"/>
        </w:rPr>
        <w:t>spornost podzakonskega urejanja rokov in načina usmerjanja državnega tožilca</w:t>
      </w:r>
    </w:p>
    <w:p w14:paraId="2C20F129" w14:textId="77777777" w:rsidR="002C5DA1" w:rsidRPr="002C5DA1" w:rsidRDefault="002C5DA1" w:rsidP="002C5DA1">
      <w:pPr>
        <w:jc w:val="both"/>
        <w:rPr>
          <w:rFonts w:cs="Arial"/>
          <w:szCs w:val="20"/>
          <w:lang w:eastAsia="sl-SI"/>
        </w:rPr>
      </w:pPr>
      <w:r w:rsidRPr="002C5DA1">
        <w:rPr>
          <w:rFonts w:cs="Arial"/>
          <w:szCs w:val="20"/>
          <w:lang w:eastAsia="sl-SI"/>
        </w:rPr>
        <w:t>s strani Vlade Republike Slovenije,</w:t>
      </w:r>
    </w:p>
    <w:p w14:paraId="06D0739C" w14:textId="719B61F2" w:rsidR="002C5DA1" w:rsidRPr="00B17CB7" w:rsidRDefault="002C5DA1" w:rsidP="00B17CB7">
      <w:pPr>
        <w:pStyle w:val="Odstavekseznama"/>
        <w:numPr>
          <w:ilvl w:val="0"/>
          <w:numId w:val="11"/>
        </w:numPr>
        <w:jc w:val="both"/>
        <w:rPr>
          <w:rFonts w:cs="Arial"/>
          <w:szCs w:val="20"/>
          <w:lang w:eastAsia="sl-SI"/>
        </w:rPr>
      </w:pPr>
      <w:r w:rsidRPr="00B17CB7">
        <w:rPr>
          <w:rFonts w:cs="Arial"/>
          <w:szCs w:val="20"/>
          <w:lang w:eastAsia="sl-SI"/>
        </w:rPr>
        <w:t xml:space="preserve">spornost obveznega pisnega dajanja navodil in predlogov policiji za ukrepanje v </w:t>
      </w:r>
    </w:p>
    <w:p w14:paraId="05EFE69E" w14:textId="77777777" w:rsidR="002C5DA1" w:rsidRPr="002C5DA1" w:rsidRDefault="002C5DA1" w:rsidP="002C5DA1">
      <w:pPr>
        <w:jc w:val="both"/>
        <w:rPr>
          <w:rFonts w:cs="Arial"/>
          <w:szCs w:val="20"/>
          <w:lang w:eastAsia="sl-SI"/>
        </w:rPr>
      </w:pPr>
      <w:r w:rsidRPr="002C5DA1">
        <w:rPr>
          <w:rFonts w:cs="Arial"/>
          <w:szCs w:val="20"/>
          <w:lang w:eastAsia="sl-SI"/>
        </w:rPr>
        <w:t xml:space="preserve">predkazenskem postopku in pisnega </w:t>
      </w:r>
      <w:proofErr w:type="spellStart"/>
      <w:r w:rsidRPr="002C5DA1">
        <w:rPr>
          <w:rFonts w:cs="Arial"/>
          <w:szCs w:val="20"/>
          <w:lang w:eastAsia="sl-SI"/>
        </w:rPr>
        <w:t>protokoliranja</w:t>
      </w:r>
      <w:proofErr w:type="spellEnd"/>
      <w:r w:rsidRPr="002C5DA1">
        <w:rPr>
          <w:rFonts w:cs="Arial"/>
          <w:szCs w:val="20"/>
          <w:lang w:eastAsia="sl-SI"/>
        </w:rPr>
        <w:t xml:space="preserve"> podanih navodil in predlogov </w:t>
      </w:r>
    </w:p>
    <w:p w14:paraId="5F6EDEB0" w14:textId="77777777" w:rsidR="002C5DA1" w:rsidRPr="002C5DA1" w:rsidRDefault="002C5DA1" w:rsidP="002C5DA1">
      <w:pPr>
        <w:jc w:val="both"/>
        <w:rPr>
          <w:rFonts w:cs="Arial"/>
          <w:szCs w:val="20"/>
          <w:lang w:eastAsia="sl-SI"/>
        </w:rPr>
      </w:pPr>
      <w:r w:rsidRPr="002C5DA1">
        <w:rPr>
          <w:rFonts w:cs="Arial"/>
          <w:szCs w:val="20"/>
          <w:lang w:eastAsia="sl-SI"/>
        </w:rPr>
        <w:t xml:space="preserve">za ukrepanje v predkazenskem postopku v obliki uradnega zaznamka, ki ga mora </w:t>
      </w:r>
    </w:p>
    <w:p w14:paraId="3B61F4FB" w14:textId="77777777" w:rsidR="002C5DA1" w:rsidRPr="002C5DA1" w:rsidRDefault="002C5DA1" w:rsidP="002C5DA1">
      <w:pPr>
        <w:jc w:val="both"/>
        <w:rPr>
          <w:rFonts w:cs="Arial"/>
          <w:szCs w:val="20"/>
          <w:lang w:eastAsia="sl-SI"/>
        </w:rPr>
      </w:pPr>
      <w:r w:rsidRPr="002C5DA1">
        <w:rPr>
          <w:rFonts w:cs="Arial"/>
          <w:szCs w:val="20"/>
          <w:lang w:eastAsia="sl-SI"/>
        </w:rPr>
        <w:t>na zahtevo policije narediti državni tožilec,</w:t>
      </w:r>
    </w:p>
    <w:p w14:paraId="3800225E" w14:textId="26FF3082" w:rsidR="002C5DA1" w:rsidRPr="00B17CB7" w:rsidRDefault="002C5DA1" w:rsidP="00B17CB7">
      <w:pPr>
        <w:pStyle w:val="Odstavekseznama"/>
        <w:numPr>
          <w:ilvl w:val="0"/>
          <w:numId w:val="11"/>
        </w:numPr>
        <w:jc w:val="both"/>
        <w:rPr>
          <w:rFonts w:cs="Arial"/>
          <w:szCs w:val="20"/>
          <w:lang w:eastAsia="sl-SI"/>
        </w:rPr>
      </w:pPr>
      <w:r w:rsidRPr="00B17CB7">
        <w:rPr>
          <w:rFonts w:cs="Arial"/>
          <w:szCs w:val="20"/>
          <w:lang w:eastAsia="sl-SI"/>
        </w:rPr>
        <w:t xml:space="preserve">domneva trenutka prevzema usmerjanja je določena s trenutkom, ko je državni </w:t>
      </w:r>
    </w:p>
    <w:p w14:paraId="78333A2D" w14:textId="77777777" w:rsidR="002C5DA1" w:rsidRPr="002C5DA1" w:rsidRDefault="002C5DA1" w:rsidP="002C5DA1">
      <w:pPr>
        <w:jc w:val="both"/>
        <w:rPr>
          <w:rFonts w:cs="Arial"/>
          <w:szCs w:val="20"/>
          <w:lang w:eastAsia="sl-SI"/>
        </w:rPr>
      </w:pPr>
      <w:r w:rsidRPr="002C5DA1">
        <w:rPr>
          <w:rFonts w:cs="Arial"/>
          <w:szCs w:val="20"/>
          <w:lang w:eastAsia="sl-SI"/>
        </w:rPr>
        <w:t xml:space="preserve">tožilec podal pisne usmeritve v konkretni zadevi (prej je bila predvidena s </w:t>
      </w:r>
    </w:p>
    <w:p w14:paraId="604BBBDE" w14:textId="77777777" w:rsidR="002C5DA1" w:rsidRPr="002C5DA1" w:rsidRDefault="002C5DA1" w:rsidP="002C5DA1">
      <w:pPr>
        <w:jc w:val="both"/>
        <w:rPr>
          <w:rFonts w:cs="Arial"/>
          <w:szCs w:val="20"/>
          <w:lang w:eastAsia="sl-SI"/>
        </w:rPr>
      </w:pPr>
      <w:r w:rsidRPr="002C5DA1">
        <w:rPr>
          <w:rFonts w:cs="Arial"/>
          <w:szCs w:val="20"/>
          <w:lang w:eastAsia="sl-SI"/>
        </w:rPr>
        <w:t>trenutkom obvestila državnega tožilca o kaznivem dejanju).</w:t>
      </w:r>
    </w:p>
    <w:p w14:paraId="547326AA" w14:textId="77777777" w:rsidR="002C5DA1" w:rsidRPr="002C5DA1" w:rsidRDefault="002C5DA1" w:rsidP="002C5DA1">
      <w:pPr>
        <w:jc w:val="both"/>
        <w:rPr>
          <w:rFonts w:cs="Arial"/>
          <w:szCs w:val="20"/>
          <w:lang w:eastAsia="sl-SI"/>
        </w:rPr>
      </w:pPr>
    </w:p>
    <w:p w14:paraId="609F1AA0" w14:textId="77777777" w:rsidR="002C5DA1" w:rsidRPr="002C5DA1" w:rsidRDefault="002C5DA1" w:rsidP="002C5DA1">
      <w:pPr>
        <w:jc w:val="both"/>
        <w:rPr>
          <w:rFonts w:cs="Arial"/>
          <w:szCs w:val="20"/>
          <w:lang w:eastAsia="sl-SI"/>
        </w:rPr>
      </w:pPr>
      <w:r w:rsidRPr="002C5DA1">
        <w:rPr>
          <w:rFonts w:cs="Arial"/>
          <w:szCs w:val="20"/>
          <w:lang w:eastAsia="sl-SI"/>
        </w:rPr>
        <w:t xml:space="preserve">Vlada v svojem mnenju pojasnjuje, da je bila veljavna (pod)zakonska ureditev sprejeta z namenom določiti jasen pravni okvir za usmerjanje policije, saj prej ni vselej omogočal transparentnosti izvajanja </w:t>
      </w:r>
      <w:proofErr w:type="spellStart"/>
      <w:r w:rsidRPr="002C5DA1">
        <w:rPr>
          <w:rFonts w:cs="Arial"/>
          <w:szCs w:val="20"/>
          <w:lang w:eastAsia="sl-SI"/>
        </w:rPr>
        <w:t>državnotožilskih</w:t>
      </w:r>
      <w:proofErr w:type="spellEnd"/>
      <w:r w:rsidRPr="002C5DA1">
        <w:rPr>
          <w:rFonts w:cs="Arial"/>
          <w:szCs w:val="20"/>
          <w:lang w:eastAsia="sl-SI"/>
        </w:rPr>
        <w:t xml:space="preserve"> usmeritev v konkretnih policijskih postopkih.</w:t>
      </w:r>
    </w:p>
    <w:p w14:paraId="52CD6848" w14:textId="77777777" w:rsidR="002C5DA1" w:rsidRPr="002C5DA1" w:rsidRDefault="002C5DA1" w:rsidP="002C5DA1">
      <w:pPr>
        <w:jc w:val="both"/>
        <w:rPr>
          <w:rFonts w:cs="Arial"/>
          <w:szCs w:val="20"/>
          <w:lang w:eastAsia="sl-SI"/>
        </w:rPr>
      </w:pPr>
    </w:p>
    <w:p w14:paraId="2D266B2C" w14:textId="77777777" w:rsidR="002C5DA1" w:rsidRPr="002C5DA1" w:rsidRDefault="002C5DA1" w:rsidP="002C5DA1">
      <w:pPr>
        <w:jc w:val="both"/>
        <w:rPr>
          <w:rFonts w:cs="Arial"/>
          <w:szCs w:val="20"/>
          <w:lang w:eastAsia="sl-SI"/>
        </w:rPr>
      </w:pPr>
      <w:r w:rsidRPr="002C5DA1">
        <w:rPr>
          <w:rFonts w:cs="Arial"/>
          <w:szCs w:val="20"/>
          <w:lang w:eastAsia="sl-SI"/>
        </w:rPr>
        <w:t>Vlada prav tako navaja, da je zakonodajalec dolžan oblikovati pravila, ki bodo omogočala učinkovito vodenje pregona s strani državnega tožilca, ob upoštevanju pravic ostalih udeležencev (pred)kazenskega postopka.</w:t>
      </w:r>
    </w:p>
    <w:p w14:paraId="35EA48BB" w14:textId="77777777" w:rsidR="002C5DA1" w:rsidRPr="002C5DA1" w:rsidRDefault="002C5DA1" w:rsidP="002C5DA1">
      <w:pPr>
        <w:jc w:val="both"/>
        <w:rPr>
          <w:rFonts w:cs="Arial"/>
          <w:szCs w:val="20"/>
          <w:lang w:eastAsia="sl-SI"/>
        </w:rPr>
      </w:pPr>
    </w:p>
    <w:p w14:paraId="77F50E4A" w14:textId="77777777" w:rsidR="002C5DA1" w:rsidRPr="002C5DA1" w:rsidRDefault="002C5DA1" w:rsidP="002C5DA1">
      <w:pPr>
        <w:jc w:val="both"/>
        <w:rPr>
          <w:rFonts w:cs="Arial"/>
          <w:szCs w:val="20"/>
          <w:lang w:eastAsia="sl-SI"/>
        </w:rPr>
      </w:pPr>
      <w:r w:rsidRPr="002C5DA1">
        <w:rPr>
          <w:rFonts w:cs="Arial"/>
          <w:szCs w:val="20"/>
          <w:lang w:eastAsia="sl-SI"/>
        </w:rPr>
        <w:t xml:space="preserve">Potek roka ali kršitev načina usmerjanja, kot ga določa uredba, ne bo imel nobenih neposrednih posledic za druge udeležence kazenskega postopka, gre zgolj za ureditev in </w:t>
      </w:r>
      <w:proofErr w:type="spellStart"/>
      <w:r w:rsidRPr="002C5DA1">
        <w:rPr>
          <w:rFonts w:cs="Arial"/>
          <w:szCs w:val="20"/>
          <w:lang w:eastAsia="sl-SI"/>
        </w:rPr>
        <w:t>protokoliranje</w:t>
      </w:r>
      <w:proofErr w:type="spellEnd"/>
      <w:r w:rsidRPr="002C5DA1">
        <w:rPr>
          <w:rFonts w:cs="Arial"/>
          <w:szCs w:val="20"/>
          <w:lang w:eastAsia="sl-SI"/>
        </w:rPr>
        <w:t xml:space="preserve"> sodelovanja med dvema državnima organoma, ki v predkazenskem postopku (so)delujeta na isti strani. Glede na navedeno je logično, da z uredbo predpisani roki niso </w:t>
      </w:r>
      <w:proofErr w:type="spellStart"/>
      <w:r w:rsidRPr="002C5DA1">
        <w:rPr>
          <w:rFonts w:cs="Arial"/>
          <w:szCs w:val="20"/>
          <w:lang w:eastAsia="sl-SI"/>
        </w:rPr>
        <w:t>prekluzivni</w:t>
      </w:r>
      <w:proofErr w:type="spellEnd"/>
      <w:r w:rsidRPr="002C5DA1">
        <w:rPr>
          <w:rFonts w:cs="Arial"/>
          <w:szCs w:val="20"/>
          <w:lang w:eastAsia="sl-SI"/>
        </w:rPr>
        <w:t xml:space="preserve">, kršitev postopanja po uredbi pa je »sankcionirana« zgolj z obveščanjem vodstva policije in državnega tožilstva. </w:t>
      </w:r>
    </w:p>
    <w:p w14:paraId="0F321D5A" w14:textId="77777777" w:rsidR="002C5DA1" w:rsidRPr="002C5DA1" w:rsidRDefault="002C5DA1" w:rsidP="002C5DA1">
      <w:pPr>
        <w:jc w:val="both"/>
        <w:rPr>
          <w:rFonts w:cs="Arial"/>
          <w:szCs w:val="20"/>
          <w:lang w:eastAsia="sl-SI"/>
        </w:rPr>
      </w:pPr>
    </w:p>
    <w:p w14:paraId="109CD1E7" w14:textId="77777777" w:rsidR="002C5DA1" w:rsidRPr="002C5DA1" w:rsidRDefault="002C5DA1" w:rsidP="002C5DA1">
      <w:pPr>
        <w:jc w:val="both"/>
        <w:rPr>
          <w:rFonts w:cs="Arial"/>
          <w:szCs w:val="20"/>
          <w:lang w:eastAsia="sl-SI"/>
        </w:rPr>
      </w:pPr>
      <w:r w:rsidRPr="002C5DA1">
        <w:rPr>
          <w:rFonts w:cs="Arial"/>
          <w:szCs w:val="20"/>
          <w:lang w:eastAsia="sl-SI"/>
        </w:rPr>
        <w:t xml:space="preserve">Nespoštovanje določb uredbe torej tudi z vidika državnega tožilca, ki vodi konkretni predkazenski postopek, ne vodi k posegu v njegovo samostojnost. </w:t>
      </w:r>
    </w:p>
    <w:p w14:paraId="6B2D33FA" w14:textId="77777777" w:rsidR="002C5DA1" w:rsidRPr="002C5DA1" w:rsidRDefault="002C5DA1" w:rsidP="002C5DA1">
      <w:pPr>
        <w:jc w:val="both"/>
        <w:rPr>
          <w:rFonts w:cs="Arial"/>
          <w:szCs w:val="20"/>
          <w:lang w:eastAsia="sl-SI"/>
        </w:rPr>
      </w:pPr>
    </w:p>
    <w:p w14:paraId="402FEC57" w14:textId="77777777" w:rsidR="002C5DA1" w:rsidRPr="002C5DA1" w:rsidRDefault="002C5DA1" w:rsidP="002C5DA1">
      <w:pPr>
        <w:jc w:val="both"/>
        <w:rPr>
          <w:rFonts w:cs="Arial"/>
          <w:szCs w:val="20"/>
          <w:lang w:eastAsia="sl-SI"/>
        </w:rPr>
      </w:pPr>
      <w:r w:rsidRPr="002C5DA1">
        <w:rPr>
          <w:rFonts w:cs="Arial"/>
          <w:szCs w:val="20"/>
          <w:lang w:eastAsia="sl-SI"/>
        </w:rPr>
        <w:t>Veljavna ureditev, ki zagotavlja sledljivost usmerjanja, bo omogočila tudi boljši vpogled v to, koliko krat državni tožilci usmerjajo policijo (v ozkem pomenu uredbe), kar bo lahko predstavljalo dobro izhodišče za nadaljnje izboljšanje sodelovanja med policijo in državnim tožilstvom.</w:t>
      </w:r>
    </w:p>
    <w:p w14:paraId="098A9C73" w14:textId="77777777" w:rsidR="002C5DA1" w:rsidRPr="002C5DA1" w:rsidRDefault="002C5DA1" w:rsidP="002C5DA1">
      <w:pPr>
        <w:jc w:val="both"/>
        <w:rPr>
          <w:rFonts w:cs="Arial"/>
          <w:szCs w:val="20"/>
          <w:lang w:eastAsia="sl-SI"/>
        </w:rPr>
      </w:pPr>
    </w:p>
    <w:p w14:paraId="25A0AF43" w14:textId="77777777" w:rsidR="002C5DA1" w:rsidRPr="002C5DA1" w:rsidRDefault="002C5DA1" w:rsidP="002C5DA1">
      <w:pPr>
        <w:jc w:val="both"/>
        <w:rPr>
          <w:rFonts w:cs="Arial"/>
          <w:szCs w:val="20"/>
          <w:lang w:eastAsia="sl-SI"/>
        </w:rPr>
      </w:pPr>
      <w:r w:rsidRPr="002C5DA1">
        <w:rPr>
          <w:rFonts w:cs="Arial"/>
          <w:szCs w:val="20"/>
          <w:lang w:eastAsia="sl-SI"/>
        </w:rPr>
        <w:t xml:space="preserve">Vlada Republike Slovenije posledično predlaga Ustavnemu sodišču Republike Slovenije, da pobudo za oceno ustavnosti zavrže (ker bi morala biti v konkretnem primeru vložena zahteva za oceno ustavnosti in ne pobuda; če pa bi Ustavno sodišče Republike Slovenije štelo, da je dopustno vložiti pobudo, pa bi jo moralo vložiti eno izmed okrožnih državnih tožilstev ali </w:t>
      </w:r>
      <w:r w:rsidRPr="002C5DA1">
        <w:rPr>
          <w:rFonts w:cs="Arial"/>
          <w:szCs w:val="20"/>
          <w:lang w:eastAsia="sl-SI"/>
        </w:rPr>
        <w:lastRenderedPageBreak/>
        <w:t>Specializirano državno tožilstvo Republike Slovenije, ki dejansko usmerja policijo v predkazenskem postopku, ne pa Vrhovno državno tožilstvo Republike Slovenije, ki nima tovrstnih pristojnosti), sicer pa Vlada Republike Slovenije podrejeno (če bo o zadevi vsebinsko odločeno) meni, da je treba pobudo v okviru meritorne presoje zavrniti.</w:t>
      </w:r>
    </w:p>
    <w:p w14:paraId="20705BC2" w14:textId="77777777" w:rsidR="002C5DA1" w:rsidRPr="002C5DA1" w:rsidRDefault="002C5DA1" w:rsidP="002C5DA1">
      <w:pPr>
        <w:jc w:val="both"/>
        <w:rPr>
          <w:rFonts w:cs="Arial"/>
          <w:szCs w:val="20"/>
          <w:lang w:eastAsia="sl-SI"/>
        </w:rPr>
      </w:pPr>
    </w:p>
    <w:p w14:paraId="117CE0B8" w14:textId="77777777" w:rsidR="002C5DA1" w:rsidRPr="002C5DA1" w:rsidRDefault="002C5DA1" w:rsidP="002C5DA1">
      <w:pPr>
        <w:jc w:val="both"/>
        <w:rPr>
          <w:rFonts w:cs="Arial"/>
          <w:szCs w:val="20"/>
          <w:lang w:eastAsia="sl-SI"/>
        </w:rPr>
      </w:pPr>
      <w:r w:rsidRPr="002C5DA1">
        <w:rPr>
          <w:rFonts w:cs="Arial"/>
          <w:szCs w:val="20"/>
          <w:lang w:eastAsia="sl-SI"/>
        </w:rPr>
        <w:t>Vir: Ministrstvo za pravosodje</w:t>
      </w:r>
    </w:p>
    <w:p w14:paraId="2D10923B" w14:textId="77777777" w:rsidR="00923E78" w:rsidRPr="00923E78" w:rsidRDefault="00923E78" w:rsidP="00923E78">
      <w:pPr>
        <w:jc w:val="both"/>
        <w:rPr>
          <w:rFonts w:cs="Arial"/>
          <w:b/>
          <w:bCs/>
          <w:szCs w:val="20"/>
          <w:lang w:eastAsia="sl-SI"/>
        </w:rPr>
      </w:pPr>
    </w:p>
    <w:p w14:paraId="0152811B" w14:textId="50FFAC7B" w:rsidR="00C45B4B" w:rsidRPr="00C45B4B" w:rsidRDefault="00C45B4B" w:rsidP="00C45B4B">
      <w:pPr>
        <w:jc w:val="both"/>
        <w:rPr>
          <w:rFonts w:cs="Arial"/>
          <w:b/>
          <w:bCs/>
          <w:szCs w:val="20"/>
          <w:lang w:eastAsia="sl-SI"/>
        </w:rPr>
      </w:pPr>
      <w:r w:rsidRPr="00C45B4B">
        <w:rPr>
          <w:rFonts w:cs="Arial"/>
          <w:b/>
          <w:bCs/>
          <w:szCs w:val="20"/>
          <w:lang w:eastAsia="sl-SI"/>
        </w:rPr>
        <w:t>Informacija o stanju prenosa direktiv v pravni red Republike Slovenije in odprtih postopkih ugotavljanja kršitev prava EU</w:t>
      </w:r>
    </w:p>
    <w:p w14:paraId="552F8A60" w14:textId="77777777" w:rsidR="00C45B4B" w:rsidRPr="00C45B4B" w:rsidRDefault="00C45B4B" w:rsidP="00C45B4B">
      <w:pPr>
        <w:jc w:val="both"/>
        <w:rPr>
          <w:rFonts w:cs="Arial"/>
          <w:b/>
          <w:bCs/>
          <w:szCs w:val="20"/>
          <w:lang w:eastAsia="sl-SI"/>
        </w:rPr>
      </w:pPr>
    </w:p>
    <w:p w14:paraId="1BDC6D1B" w14:textId="77777777" w:rsidR="00C45B4B" w:rsidRPr="00C45B4B" w:rsidRDefault="00C45B4B" w:rsidP="00C45B4B">
      <w:pPr>
        <w:jc w:val="both"/>
        <w:rPr>
          <w:rFonts w:cs="Arial"/>
          <w:szCs w:val="20"/>
          <w:lang w:eastAsia="sl-SI"/>
        </w:rPr>
      </w:pPr>
      <w:r w:rsidRPr="00C45B4B">
        <w:rPr>
          <w:rFonts w:cs="Arial"/>
          <w:szCs w:val="20"/>
          <w:lang w:eastAsia="sl-SI"/>
        </w:rPr>
        <w:t>Vlada Republike Slovenije se je seznanila z Informacijo o stanju prenosa direktiv v pravni red Republike Slovenije in odprtih postopkih ugotavljanja kršitev prava EU.</w:t>
      </w:r>
    </w:p>
    <w:p w14:paraId="725256C8" w14:textId="77777777" w:rsidR="00C45B4B" w:rsidRPr="00C45B4B" w:rsidRDefault="00C45B4B" w:rsidP="00C45B4B">
      <w:pPr>
        <w:jc w:val="both"/>
        <w:rPr>
          <w:rFonts w:cs="Arial"/>
          <w:szCs w:val="20"/>
          <w:lang w:eastAsia="sl-SI"/>
        </w:rPr>
      </w:pPr>
    </w:p>
    <w:p w14:paraId="5BD83CC7" w14:textId="77777777" w:rsidR="00C45B4B" w:rsidRPr="00C45B4B" w:rsidRDefault="00C45B4B" w:rsidP="00C45B4B">
      <w:pPr>
        <w:jc w:val="both"/>
        <w:rPr>
          <w:rFonts w:cs="Arial"/>
          <w:szCs w:val="20"/>
          <w:lang w:eastAsia="sl-SI"/>
        </w:rPr>
      </w:pPr>
      <w:r w:rsidRPr="00C45B4B">
        <w:rPr>
          <w:rFonts w:cs="Arial"/>
          <w:szCs w:val="20"/>
          <w:lang w:eastAsia="sl-SI"/>
        </w:rPr>
        <w:t>Informacija v prvem delu vsebuje stanje prenosa direktiv, katerih rok za prenos je že potekel, vsi predpisi za njihov prenos pa še niso sprejeti oziroma notificirani, in direktiv, katerih rok za prenos poteče najpozneje 31. decembra 2022. Skupno gre za 43 direktiv, od katerih je 15 direktiv takih, katerih rok za prenos je že potekel, vsi predpisi za njihov prenos pa še niso sprejeti oziroma notificirani, in 28 takih, katerih rok za prenos poteče najpozneje 31. decembra 2022.</w:t>
      </w:r>
    </w:p>
    <w:p w14:paraId="11A07D88" w14:textId="77777777" w:rsidR="00C45B4B" w:rsidRPr="00C45B4B" w:rsidRDefault="00C45B4B" w:rsidP="00C45B4B">
      <w:pPr>
        <w:jc w:val="both"/>
        <w:rPr>
          <w:rFonts w:cs="Arial"/>
          <w:szCs w:val="20"/>
          <w:lang w:eastAsia="sl-SI"/>
        </w:rPr>
      </w:pPr>
    </w:p>
    <w:p w14:paraId="54FC78B6" w14:textId="77777777" w:rsidR="00C45B4B" w:rsidRPr="00C45B4B" w:rsidRDefault="00C45B4B" w:rsidP="00C45B4B">
      <w:pPr>
        <w:jc w:val="both"/>
        <w:rPr>
          <w:rFonts w:cs="Arial"/>
          <w:szCs w:val="20"/>
          <w:lang w:eastAsia="sl-SI"/>
        </w:rPr>
      </w:pPr>
      <w:r w:rsidRPr="00C45B4B">
        <w:rPr>
          <w:rFonts w:cs="Arial"/>
          <w:szCs w:val="20"/>
          <w:lang w:eastAsia="sl-SI"/>
        </w:rPr>
        <w:t>V drugem delu Informacije so vsebovani postopki ugotavljanja kršitev prava EU (</w:t>
      </w:r>
      <w:proofErr w:type="spellStart"/>
      <w:r w:rsidRPr="00C45B4B">
        <w:rPr>
          <w:rFonts w:cs="Arial"/>
          <w:szCs w:val="20"/>
          <w:lang w:eastAsia="sl-SI"/>
        </w:rPr>
        <w:t>predsodni</w:t>
      </w:r>
      <w:proofErr w:type="spellEnd"/>
      <w:r w:rsidRPr="00C45B4B">
        <w:rPr>
          <w:rFonts w:cs="Arial"/>
          <w:szCs w:val="20"/>
          <w:lang w:eastAsia="sl-SI"/>
        </w:rPr>
        <w:t xml:space="preserve"> in sodni postopki), ki jih je Evropska komisija sprožila zoper Republiko Slovenijo bodisi zaradi nepravočasnega prenosa direktiv v pravni red Republike Slovenije oziroma zaradi </w:t>
      </w:r>
      <w:proofErr w:type="spellStart"/>
      <w:r w:rsidRPr="00C45B4B">
        <w:rPr>
          <w:rFonts w:cs="Arial"/>
          <w:szCs w:val="20"/>
          <w:lang w:eastAsia="sl-SI"/>
        </w:rPr>
        <w:t>nenotifikacije</w:t>
      </w:r>
      <w:proofErr w:type="spellEnd"/>
      <w:r w:rsidRPr="00C45B4B">
        <w:rPr>
          <w:rFonts w:cs="Arial"/>
          <w:szCs w:val="20"/>
          <w:lang w:eastAsia="sl-SI"/>
        </w:rPr>
        <w:t xml:space="preserve"> nacionalnih predpisov bodisi iz razlogov neizpolnjevanja ali neustreznega izpolnjevanja drugih obveznosti, ki izhajajo iz pravnega reda EU, in še niso zaključeni. Na dan 15. aprila 2022 je odprtih 78 postopkov, od katerih se 43 postopkov nanaša na nepravočasen prenos direktiv v nacionalni pravni red oziroma </w:t>
      </w:r>
      <w:proofErr w:type="spellStart"/>
      <w:r w:rsidRPr="00C45B4B">
        <w:rPr>
          <w:rFonts w:cs="Arial"/>
          <w:szCs w:val="20"/>
          <w:lang w:eastAsia="sl-SI"/>
        </w:rPr>
        <w:t>nenotifikacijo</w:t>
      </w:r>
      <w:proofErr w:type="spellEnd"/>
      <w:r w:rsidRPr="00C45B4B">
        <w:rPr>
          <w:rFonts w:cs="Arial"/>
          <w:szCs w:val="20"/>
          <w:lang w:eastAsia="sl-SI"/>
        </w:rPr>
        <w:t xml:space="preserve"> nacionalnih predpisov (od tega se pri 27 postopkih pričakuje, da jih bo Evropska komisija zaključila, saj so sprejeti in notificirani vsi predpisi za prenos direktiv) ter 35 na nepravilno implementacijo direktiv in druge kršitve prava EU. Od navedenih odprtih postopkov so trije že predmet postopkov pred Sodiščem Evropske unije. </w:t>
      </w:r>
    </w:p>
    <w:p w14:paraId="74AFC1B2" w14:textId="77777777" w:rsidR="00C45B4B" w:rsidRPr="00C45B4B" w:rsidRDefault="00C45B4B" w:rsidP="00C45B4B">
      <w:pPr>
        <w:jc w:val="both"/>
        <w:rPr>
          <w:rFonts w:cs="Arial"/>
          <w:szCs w:val="20"/>
          <w:lang w:eastAsia="sl-SI"/>
        </w:rPr>
      </w:pPr>
    </w:p>
    <w:p w14:paraId="15A6B2DE" w14:textId="77777777" w:rsidR="00C45B4B" w:rsidRPr="00C45B4B" w:rsidRDefault="00C45B4B" w:rsidP="00C45B4B">
      <w:pPr>
        <w:jc w:val="both"/>
        <w:rPr>
          <w:rFonts w:cs="Arial"/>
          <w:szCs w:val="20"/>
          <w:lang w:eastAsia="sl-SI"/>
        </w:rPr>
      </w:pPr>
      <w:r w:rsidRPr="00C45B4B">
        <w:rPr>
          <w:rFonts w:cs="Arial"/>
          <w:szCs w:val="20"/>
          <w:lang w:eastAsia="sl-SI"/>
        </w:rPr>
        <w:t>Vir: Služba Vlade Republike Slovenije za zakonodajo</w:t>
      </w:r>
    </w:p>
    <w:p w14:paraId="375950FB" w14:textId="5885380B" w:rsidR="00923E78" w:rsidRPr="00923E78" w:rsidRDefault="00C45B4B" w:rsidP="00923E78">
      <w:pPr>
        <w:jc w:val="both"/>
        <w:rPr>
          <w:rFonts w:cs="Arial"/>
          <w:b/>
          <w:bCs/>
          <w:szCs w:val="20"/>
          <w:lang w:eastAsia="sl-SI"/>
        </w:rPr>
      </w:pPr>
      <w:r w:rsidRPr="00C45B4B">
        <w:rPr>
          <w:rFonts w:cs="Arial"/>
          <w:b/>
          <w:bCs/>
          <w:szCs w:val="20"/>
          <w:lang w:eastAsia="sl-SI"/>
        </w:rPr>
        <w:t xml:space="preserve"> </w:t>
      </w:r>
    </w:p>
    <w:p w14:paraId="59F4D915" w14:textId="36F7E6D6" w:rsidR="00E66379" w:rsidRPr="00E66379" w:rsidRDefault="00E66379" w:rsidP="00E66379">
      <w:pPr>
        <w:jc w:val="both"/>
        <w:rPr>
          <w:rFonts w:cs="Arial"/>
          <w:b/>
          <w:bCs/>
          <w:szCs w:val="20"/>
          <w:lang w:eastAsia="sl-SI"/>
        </w:rPr>
      </w:pPr>
      <w:r w:rsidRPr="00E66379">
        <w:rPr>
          <w:rFonts w:cs="Arial"/>
          <w:b/>
          <w:bCs/>
          <w:szCs w:val="20"/>
          <w:lang w:eastAsia="sl-SI"/>
        </w:rPr>
        <w:t>Stališče do geografskih označb EU za vino, žgane pijače in kmetijske proizvode ter sheme kakovosti za kmetijske proizvode</w:t>
      </w:r>
    </w:p>
    <w:p w14:paraId="2138D78B" w14:textId="77777777" w:rsidR="00E66379" w:rsidRPr="00E66379" w:rsidRDefault="00E66379" w:rsidP="00E66379">
      <w:pPr>
        <w:jc w:val="both"/>
        <w:rPr>
          <w:rFonts w:cs="Arial"/>
          <w:b/>
          <w:bCs/>
          <w:szCs w:val="20"/>
          <w:lang w:eastAsia="sl-SI"/>
        </w:rPr>
      </w:pPr>
    </w:p>
    <w:p w14:paraId="1CB1ABF7" w14:textId="77777777" w:rsidR="00E66379" w:rsidRPr="00E66379" w:rsidRDefault="00E66379" w:rsidP="00E66379">
      <w:pPr>
        <w:jc w:val="both"/>
        <w:rPr>
          <w:rFonts w:cs="Arial"/>
          <w:szCs w:val="20"/>
          <w:lang w:eastAsia="sl-SI"/>
        </w:rPr>
      </w:pPr>
      <w:r w:rsidRPr="00E66379">
        <w:rPr>
          <w:rFonts w:cs="Arial"/>
          <w:szCs w:val="20"/>
          <w:lang w:eastAsia="sl-SI"/>
        </w:rPr>
        <w:t xml:space="preserve">Vlada je na današnji dopisni seji sprejela stališče RS k Predlogu uredbe Evropskega parlamenta in Sveta o geografskih označbah Evropske unije za vino, žgane pijače in kmetijske proizvode ter sheme kakovosti za kmetijske proizvode. </w:t>
      </w:r>
    </w:p>
    <w:p w14:paraId="671EEC9C" w14:textId="77777777" w:rsidR="00E66379" w:rsidRPr="00E66379" w:rsidRDefault="00E66379" w:rsidP="00E66379">
      <w:pPr>
        <w:jc w:val="both"/>
        <w:rPr>
          <w:rFonts w:cs="Arial"/>
          <w:szCs w:val="20"/>
          <w:lang w:eastAsia="sl-SI"/>
        </w:rPr>
      </w:pPr>
    </w:p>
    <w:p w14:paraId="2867FA42" w14:textId="77777777" w:rsidR="00E66379" w:rsidRPr="00E66379" w:rsidRDefault="00E66379" w:rsidP="00E66379">
      <w:pPr>
        <w:jc w:val="both"/>
        <w:rPr>
          <w:rFonts w:cs="Arial"/>
          <w:szCs w:val="20"/>
          <w:lang w:eastAsia="sl-SI"/>
        </w:rPr>
      </w:pPr>
      <w:r w:rsidRPr="00E66379">
        <w:rPr>
          <w:rFonts w:cs="Arial"/>
          <w:szCs w:val="20"/>
          <w:lang w:eastAsia="sl-SI"/>
        </w:rPr>
        <w:t>Republika Slovenija pozdravlja pripravo nove uredbe, saj so geografske označbe (GO) globoko zakoreninjene v tradiciji, kulturi in geografiji ruralnih skupnosti. Predstavljajo tudi posebno dodano ekonomsko vrednost za lokalne skupnosti. Proizvajalcem omogočajo, da za svoje vloženo delo dosegajo boljšo ceno na trgu ter podpirajo razvoj novih delovnih mest na podeželju v okviru proizvodnje, predelave in kmečkega turizma.</w:t>
      </w:r>
    </w:p>
    <w:p w14:paraId="37F88ACC" w14:textId="77777777" w:rsidR="00E66379" w:rsidRPr="00E66379" w:rsidRDefault="00E66379" w:rsidP="00E66379">
      <w:pPr>
        <w:jc w:val="both"/>
        <w:rPr>
          <w:rFonts w:cs="Arial"/>
          <w:szCs w:val="20"/>
          <w:lang w:eastAsia="sl-SI"/>
        </w:rPr>
      </w:pPr>
    </w:p>
    <w:p w14:paraId="54F17F43" w14:textId="77777777" w:rsidR="00E66379" w:rsidRPr="00E66379" w:rsidRDefault="00E66379" w:rsidP="00E66379">
      <w:pPr>
        <w:jc w:val="both"/>
        <w:rPr>
          <w:rFonts w:cs="Arial"/>
          <w:szCs w:val="20"/>
          <w:lang w:eastAsia="sl-SI"/>
        </w:rPr>
      </w:pPr>
      <w:r w:rsidRPr="00E66379">
        <w:rPr>
          <w:rFonts w:cs="Arial"/>
          <w:szCs w:val="20"/>
          <w:lang w:eastAsia="sl-SI"/>
        </w:rPr>
        <w:t xml:space="preserve">Evropska komisija se je za pripravo zakonodajnega predloga odločila, ker namerava izboljšati obstoječe določbe in zagotoviti poenostavljen postopek registracije, hkrati pa krepiti nekatere elemente zaščite geografske označbe. </w:t>
      </w:r>
    </w:p>
    <w:p w14:paraId="4FAC0E4C" w14:textId="77777777" w:rsidR="00E66379" w:rsidRPr="00E66379" w:rsidRDefault="00E66379" w:rsidP="00E66379">
      <w:pPr>
        <w:jc w:val="both"/>
        <w:rPr>
          <w:rFonts w:cs="Arial"/>
          <w:szCs w:val="20"/>
          <w:lang w:eastAsia="sl-SI"/>
        </w:rPr>
      </w:pPr>
      <w:r w:rsidRPr="00E66379">
        <w:rPr>
          <w:rFonts w:cs="Arial"/>
          <w:szCs w:val="20"/>
          <w:lang w:eastAsia="sl-SI"/>
        </w:rPr>
        <w:t>Bistvene novosti predloga so:</w:t>
      </w:r>
    </w:p>
    <w:p w14:paraId="16AD551A" w14:textId="776C074C" w:rsidR="00E66379" w:rsidRPr="00E66379" w:rsidRDefault="00E66379" w:rsidP="00E66379">
      <w:pPr>
        <w:pStyle w:val="Odstavekseznama"/>
        <w:numPr>
          <w:ilvl w:val="0"/>
          <w:numId w:val="9"/>
        </w:numPr>
        <w:jc w:val="both"/>
        <w:rPr>
          <w:rFonts w:cs="Arial"/>
          <w:szCs w:val="20"/>
          <w:lang w:eastAsia="sl-SI"/>
        </w:rPr>
      </w:pPr>
      <w:r w:rsidRPr="00E66379">
        <w:rPr>
          <w:rFonts w:cs="Arial"/>
          <w:szCs w:val="20"/>
          <w:lang w:eastAsia="sl-SI"/>
        </w:rPr>
        <w:t xml:space="preserve">Poenotenje se postopka zaščite za geografska poimenovanja za vino, žgane pijače, kmetijske proizvode in živila. </w:t>
      </w:r>
    </w:p>
    <w:p w14:paraId="12A6719B" w14:textId="074DD653" w:rsidR="00E66379" w:rsidRPr="00E66379" w:rsidRDefault="00E66379" w:rsidP="00E66379">
      <w:pPr>
        <w:pStyle w:val="Odstavekseznama"/>
        <w:numPr>
          <w:ilvl w:val="0"/>
          <w:numId w:val="9"/>
        </w:numPr>
        <w:jc w:val="both"/>
        <w:rPr>
          <w:rFonts w:cs="Arial"/>
          <w:szCs w:val="20"/>
          <w:lang w:eastAsia="sl-SI"/>
        </w:rPr>
      </w:pPr>
      <w:r w:rsidRPr="00E66379">
        <w:rPr>
          <w:rFonts w:cs="Arial"/>
          <w:szCs w:val="20"/>
          <w:lang w:eastAsia="sl-SI"/>
        </w:rPr>
        <w:lastRenderedPageBreak/>
        <w:t>Povečanje vpliva skupin proizvajalcev proizvodov z geografsko označbo s tem, da se državam članicam omogoči imenovanja reprezentativne skupine proizvajalcev, ki naj bi vključevale vsaj 2/3 proizvajalcev in 2/3 proizvodnje določenega proizvoda.</w:t>
      </w:r>
    </w:p>
    <w:p w14:paraId="166112C4" w14:textId="62DD9A0A" w:rsidR="00E66379" w:rsidRPr="00E66379" w:rsidRDefault="00E66379" w:rsidP="00E66379">
      <w:pPr>
        <w:pStyle w:val="Odstavekseznama"/>
        <w:numPr>
          <w:ilvl w:val="0"/>
          <w:numId w:val="9"/>
        </w:numPr>
        <w:jc w:val="both"/>
        <w:rPr>
          <w:rFonts w:cs="Arial"/>
          <w:szCs w:val="20"/>
          <w:lang w:eastAsia="sl-SI"/>
        </w:rPr>
      </w:pPr>
      <w:r w:rsidRPr="00E66379">
        <w:rPr>
          <w:rFonts w:cs="Arial"/>
          <w:szCs w:val="20"/>
          <w:lang w:eastAsia="sl-SI"/>
        </w:rPr>
        <w:t>Večji poudarek je dan trajnostnemu razvoju GO, vendar je to na prostovoljni osnovi, kar je Slovenija tudi predlagala.</w:t>
      </w:r>
    </w:p>
    <w:p w14:paraId="2519994F" w14:textId="77704691" w:rsidR="00E66379" w:rsidRPr="00E66379" w:rsidRDefault="00E66379" w:rsidP="00E66379">
      <w:pPr>
        <w:pStyle w:val="Odstavekseznama"/>
        <w:numPr>
          <w:ilvl w:val="0"/>
          <w:numId w:val="9"/>
        </w:numPr>
        <w:jc w:val="both"/>
        <w:rPr>
          <w:rFonts w:cs="Arial"/>
          <w:szCs w:val="20"/>
          <w:lang w:eastAsia="sl-SI"/>
        </w:rPr>
      </w:pPr>
      <w:r w:rsidRPr="00E66379">
        <w:rPr>
          <w:rFonts w:cs="Arial"/>
          <w:szCs w:val="20"/>
          <w:lang w:eastAsia="sl-SI"/>
        </w:rPr>
        <w:t xml:space="preserve">Pri neobveznih navedbah kakovosti lahko države članice obdržijo nacionalne neobvezne navedbe kakovosti, če niso v nasprotju z EU zakonodajo. Komisija bo pripravila izvedbeni akt glede notifikacije nacionalnih neobveznih navedb kakovosti. </w:t>
      </w:r>
    </w:p>
    <w:p w14:paraId="621B36B3" w14:textId="4ABB90C7" w:rsidR="00E66379" w:rsidRPr="00E66379" w:rsidRDefault="00E66379" w:rsidP="00E66379">
      <w:pPr>
        <w:pStyle w:val="Odstavekseznama"/>
        <w:numPr>
          <w:ilvl w:val="0"/>
          <w:numId w:val="9"/>
        </w:numPr>
        <w:jc w:val="both"/>
        <w:rPr>
          <w:rFonts w:cs="Arial"/>
          <w:szCs w:val="20"/>
          <w:lang w:eastAsia="sl-SI"/>
        </w:rPr>
      </w:pPr>
      <w:r w:rsidRPr="00E66379">
        <w:rPr>
          <w:rFonts w:cs="Arial"/>
          <w:szCs w:val="20"/>
          <w:lang w:eastAsia="sl-SI"/>
        </w:rPr>
        <w:t>Komisija želi določene postopke pregleda prejetih vlog oddati zunanjemu izvajalcu - Uradu Evropske unije za intelektualno lastnino (</w:t>
      </w:r>
      <w:r>
        <w:rPr>
          <w:rFonts w:cs="Arial"/>
          <w:szCs w:val="20"/>
          <w:lang w:eastAsia="sl-SI"/>
        </w:rPr>
        <w:t xml:space="preserve">ang. </w:t>
      </w:r>
      <w:proofErr w:type="spellStart"/>
      <w:r w:rsidRPr="00E66379">
        <w:rPr>
          <w:rFonts w:cs="Arial"/>
          <w:szCs w:val="20"/>
          <w:lang w:eastAsia="sl-SI"/>
        </w:rPr>
        <w:t>European</w:t>
      </w:r>
      <w:proofErr w:type="spellEnd"/>
      <w:r w:rsidRPr="00E66379">
        <w:rPr>
          <w:rFonts w:cs="Arial"/>
          <w:szCs w:val="20"/>
          <w:lang w:eastAsia="sl-SI"/>
        </w:rPr>
        <w:t xml:space="preserve"> Union </w:t>
      </w:r>
      <w:proofErr w:type="spellStart"/>
      <w:r w:rsidRPr="00E66379">
        <w:rPr>
          <w:rFonts w:cs="Arial"/>
          <w:szCs w:val="20"/>
          <w:lang w:eastAsia="sl-SI"/>
        </w:rPr>
        <w:t>Intellectual</w:t>
      </w:r>
      <w:proofErr w:type="spellEnd"/>
      <w:r w:rsidRPr="00E66379">
        <w:rPr>
          <w:rFonts w:cs="Arial"/>
          <w:szCs w:val="20"/>
          <w:lang w:eastAsia="sl-SI"/>
        </w:rPr>
        <w:t xml:space="preserve"> </w:t>
      </w:r>
      <w:proofErr w:type="spellStart"/>
      <w:r w:rsidRPr="00E66379">
        <w:rPr>
          <w:rFonts w:cs="Arial"/>
          <w:szCs w:val="20"/>
          <w:lang w:eastAsia="sl-SI"/>
        </w:rPr>
        <w:t>Property</w:t>
      </w:r>
      <w:proofErr w:type="spellEnd"/>
      <w:r w:rsidRPr="00E66379">
        <w:rPr>
          <w:rFonts w:cs="Arial"/>
          <w:szCs w:val="20"/>
          <w:lang w:eastAsia="sl-SI"/>
        </w:rPr>
        <w:t xml:space="preserve"> Office</w:t>
      </w:r>
      <w:r>
        <w:rPr>
          <w:rFonts w:cs="Arial"/>
          <w:szCs w:val="20"/>
          <w:lang w:eastAsia="sl-SI"/>
        </w:rPr>
        <w:t xml:space="preserve"> - </w:t>
      </w:r>
      <w:r w:rsidRPr="00E66379">
        <w:rPr>
          <w:rFonts w:cs="Arial"/>
          <w:szCs w:val="20"/>
          <w:lang w:eastAsia="sl-SI"/>
        </w:rPr>
        <w:t xml:space="preserve">EUIPO) s sedežem v </w:t>
      </w:r>
      <w:proofErr w:type="spellStart"/>
      <w:r w:rsidRPr="00E66379">
        <w:rPr>
          <w:rFonts w:cs="Arial"/>
          <w:szCs w:val="20"/>
          <w:lang w:eastAsia="sl-SI"/>
        </w:rPr>
        <w:t>Alicanteju</w:t>
      </w:r>
      <w:proofErr w:type="spellEnd"/>
      <w:r w:rsidRPr="00E66379">
        <w:rPr>
          <w:rFonts w:cs="Arial"/>
          <w:szCs w:val="20"/>
          <w:lang w:eastAsia="sl-SI"/>
        </w:rPr>
        <w:t>, hkrati pa obdržati registracijo geografskih označb in celotno odgovornost za politiko geografskih označb. Dejanska vloga in pristojnosti v predlogu uredbe še ni točno določena.</w:t>
      </w:r>
    </w:p>
    <w:p w14:paraId="490E6A69" w14:textId="77777777" w:rsidR="00E66379" w:rsidRPr="00E66379" w:rsidRDefault="00E66379" w:rsidP="00E66379">
      <w:pPr>
        <w:jc w:val="both"/>
        <w:rPr>
          <w:rFonts w:cs="Arial"/>
          <w:szCs w:val="20"/>
          <w:lang w:eastAsia="sl-SI"/>
        </w:rPr>
      </w:pPr>
    </w:p>
    <w:p w14:paraId="7884896B" w14:textId="491521E0" w:rsidR="00923E78" w:rsidRPr="00E66379" w:rsidRDefault="00E66379" w:rsidP="00E66379">
      <w:pPr>
        <w:jc w:val="both"/>
        <w:rPr>
          <w:rFonts w:cs="Arial"/>
          <w:szCs w:val="20"/>
          <w:lang w:eastAsia="sl-SI"/>
        </w:rPr>
      </w:pPr>
      <w:r w:rsidRPr="00E66379">
        <w:rPr>
          <w:rFonts w:cs="Arial"/>
          <w:szCs w:val="20"/>
          <w:lang w:eastAsia="sl-SI"/>
        </w:rPr>
        <w:t>Vir: Ministrstvo za kmetijstvo, gozdarstvo in prehrano</w:t>
      </w:r>
    </w:p>
    <w:p w14:paraId="0F98BEB7" w14:textId="77777777" w:rsidR="00923E78" w:rsidRPr="00923E78" w:rsidRDefault="00923E78" w:rsidP="00923E78">
      <w:pPr>
        <w:jc w:val="both"/>
        <w:rPr>
          <w:rFonts w:cs="Arial"/>
          <w:b/>
          <w:bCs/>
          <w:szCs w:val="20"/>
          <w:lang w:eastAsia="sl-SI"/>
        </w:rPr>
      </w:pPr>
    </w:p>
    <w:p w14:paraId="59F95722" w14:textId="24D56E80" w:rsidR="000627CE" w:rsidRPr="000627CE" w:rsidRDefault="000627CE" w:rsidP="000627CE">
      <w:pPr>
        <w:jc w:val="both"/>
        <w:rPr>
          <w:rFonts w:cs="Arial"/>
          <w:b/>
          <w:bCs/>
          <w:szCs w:val="20"/>
          <w:lang w:eastAsia="sl-SI"/>
        </w:rPr>
      </w:pPr>
      <w:r w:rsidRPr="000627CE">
        <w:rPr>
          <w:rFonts w:cs="Arial"/>
          <w:b/>
          <w:bCs/>
          <w:szCs w:val="20"/>
          <w:lang w:eastAsia="sl-SI"/>
        </w:rPr>
        <w:t>Tehnični dogovor med Ministrstvom za obrambo Republike Slovenije in Ministrstvom za obrambo Severne Makedonije</w:t>
      </w:r>
    </w:p>
    <w:p w14:paraId="4D9098E1" w14:textId="77777777" w:rsidR="000627CE" w:rsidRPr="000627CE" w:rsidRDefault="000627CE" w:rsidP="000627CE">
      <w:pPr>
        <w:jc w:val="both"/>
        <w:rPr>
          <w:rFonts w:cs="Arial"/>
          <w:b/>
          <w:bCs/>
          <w:szCs w:val="20"/>
          <w:lang w:eastAsia="sl-SI"/>
        </w:rPr>
      </w:pPr>
    </w:p>
    <w:p w14:paraId="3F45CE4C" w14:textId="77777777" w:rsidR="000627CE" w:rsidRPr="000627CE" w:rsidRDefault="000627CE" w:rsidP="000627CE">
      <w:pPr>
        <w:jc w:val="both"/>
        <w:rPr>
          <w:rFonts w:cs="Arial"/>
          <w:szCs w:val="20"/>
          <w:lang w:eastAsia="sl-SI"/>
        </w:rPr>
      </w:pPr>
      <w:r w:rsidRPr="000627CE">
        <w:rPr>
          <w:rFonts w:cs="Arial"/>
          <w:szCs w:val="20"/>
          <w:lang w:eastAsia="sl-SI"/>
        </w:rPr>
        <w:t xml:space="preserve">Vlada Republike Slovenije je potrdila Tehnični dogovor med Ministrstvom za obrambo Republike Slovenije in Ministrstvom za obrambo Severne Makedonije o logistični podpori za sodelovanje pri izvedbi Natove misije Okrepljena prednja prisotnost (Nato </w:t>
      </w:r>
      <w:proofErr w:type="spellStart"/>
      <w:r w:rsidRPr="000627CE">
        <w:rPr>
          <w:rFonts w:cs="Arial"/>
          <w:szCs w:val="20"/>
          <w:lang w:eastAsia="sl-SI"/>
        </w:rPr>
        <w:t>enhanced</w:t>
      </w:r>
      <w:proofErr w:type="spellEnd"/>
      <w:r w:rsidRPr="000627CE">
        <w:rPr>
          <w:rFonts w:cs="Arial"/>
          <w:szCs w:val="20"/>
          <w:lang w:eastAsia="sl-SI"/>
        </w:rPr>
        <w:t xml:space="preserve"> </w:t>
      </w:r>
      <w:proofErr w:type="spellStart"/>
      <w:r w:rsidRPr="000627CE">
        <w:rPr>
          <w:rFonts w:cs="Arial"/>
          <w:szCs w:val="20"/>
          <w:lang w:eastAsia="sl-SI"/>
        </w:rPr>
        <w:t>Forward</w:t>
      </w:r>
      <w:proofErr w:type="spellEnd"/>
      <w:r w:rsidRPr="000627CE">
        <w:rPr>
          <w:rFonts w:cs="Arial"/>
          <w:szCs w:val="20"/>
          <w:lang w:eastAsia="sl-SI"/>
        </w:rPr>
        <w:t xml:space="preserve"> </w:t>
      </w:r>
      <w:proofErr w:type="spellStart"/>
      <w:r w:rsidRPr="000627CE">
        <w:rPr>
          <w:rFonts w:cs="Arial"/>
          <w:szCs w:val="20"/>
          <w:lang w:eastAsia="sl-SI"/>
        </w:rPr>
        <w:t>Presence</w:t>
      </w:r>
      <w:proofErr w:type="spellEnd"/>
      <w:r w:rsidRPr="000627CE">
        <w:rPr>
          <w:rFonts w:cs="Arial"/>
          <w:szCs w:val="20"/>
          <w:lang w:eastAsia="sl-SI"/>
        </w:rPr>
        <w:t xml:space="preserve"> - </w:t>
      </w:r>
      <w:proofErr w:type="spellStart"/>
      <w:r w:rsidRPr="000627CE">
        <w:rPr>
          <w:rFonts w:cs="Arial"/>
          <w:szCs w:val="20"/>
          <w:lang w:eastAsia="sl-SI"/>
        </w:rPr>
        <w:t>eFP</w:t>
      </w:r>
      <w:proofErr w:type="spellEnd"/>
      <w:r w:rsidRPr="000627CE">
        <w:rPr>
          <w:rFonts w:cs="Arial"/>
          <w:szCs w:val="20"/>
          <w:lang w:eastAsia="sl-SI"/>
        </w:rPr>
        <w:t>) v Latviji, ki je bil sklenjen na Vrhniki 21. marca 2022.</w:t>
      </w:r>
    </w:p>
    <w:p w14:paraId="74081C49" w14:textId="77777777" w:rsidR="000627CE" w:rsidRPr="000627CE" w:rsidRDefault="000627CE" w:rsidP="000627CE">
      <w:pPr>
        <w:jc w:val="both"/>
        <w:rPr>
          <w:rFonts w:cs="Arial"/>
          <w:szCs w:val="20"/>
          <w:lang w:eastAsia="sl-SI"/>
        </w:rPr>
      </w:pPr>
    </w:p>
    <w:p w14:paraId="76322530" w14:textId="77777777" w:rsidR="000627CE" w:rsidRPr="000627CE" w:rsidRDefault="000627CE" w:rsidP="000627CE">
      <w:pPr>
        <w:jc w:val="both"/>
        <w:rPr>
          <w:rFonts w:cs="Arial"/>
          <w:szCs w:val="20"/>
          <w:lang w:eastAsia="sl-SI"/>
        </w:rPr>
      </w:pPr>
      <w:r w:rsidRPr="000627CE">
        <w:rPr>
          <w:rFonts w:cs="Arial"/>
          <w:szCs w:val="20"/>
          <w:lang w:eastAsia="sl-SI"/>
        </w:rPr>
        <w:t xml:space="preserve">Slovenska vojska že od leta 2017 sodeluje v omenjeni Natovi misiji Okrepljena prednja prisotnost v večnacionalni bojni skupini v Latviji, ki jo vodi Kanada. V </w:t>
      </w:r>
      <w:proofErr w:type="spellStart"/>
      <w:r w:rsidRPr="000627CE">
        <w:rPr>
          <w:rFonts w:cs="Arial"/>
          <w:szCs w:val="20"/>
          <w:lang w:eastAsia="sl-SI"/>
        </w:rPr>
        <w:t>eFP</w:t>
      </w:r>
      <w:proofErr w:type="spellEnd"/>
      <w:r w:rsidRPr="000627CE">
        <w:rPr>
          <w:rFonts w:cs="Arial"/>
          <w:szCs w:val="20"/>
          <w:lang w:eastAsia="sl-SI"/>
        </w:rPr>
        <w:t xml:space="preserve"> namerava sodelovati tudi Severna Makedonija, ki ji bo slovenska stran na podlagi podpisanega tehničnega dogovora zagotavljala logistično podporo med pripravami in usposabljanjem za misijo ter med delovanjem na misiji.</w:t>
      </w:r>
    </w:p>
    <w:p w14:paraId="7CC98843" w14:textId="77777777" w:rsidR="000627CE" w:rsidRPr="000627CE" w:rsidRDefault="000627CE" w:rsidP="000627CE">
      <w:pPr>
        <w:jc w:val="both"/>
        <w:rPr>
          <w:rFonts w:cs="Arial"/>
          <w:szCs w:val="20"/>
          <w:lang w:eastAsia="sl-SI"/>
        </w:rPr>
      </w:pPr>
    </w:p>
    <w:p w14:paraId="5A7D6CD9" w14:textId="77777777" w:rsidR="000627CE" w:rsidRPr="000627CE" w:rsidRDefault="000627CE" w:rsidP="000627CE">
      <w:pPr>
        <w:jc w:val="both"/>
        <w:rPr>
          <w:rFonts w:cs="Arial"/>
          <w:szCs w:val="20"/>
          <w:lang w:eastAsia="sl-SI"/>
        </w:rPr>
      </w:pPr>
      <w:r w:rsidRPr="000627CE">
        <w:rPr>
          <w:rFonts w:cs="Arial"/>
          <w:szCs w:val="20"/>
          <w:lang w:eastAsia="sl-SI"/>
        </w:rPr>
        <w:t xml:space="preserve">Tehnični dogovor ureja sodelovanje udeležencev med delovanjem na misiji </w:t>
      </w:r>
      <w:proofErr w:type="spellStart"/>
      <w:r w:rsidRPr="000627CE">
        <w:rPr>
          <w:rFonts w:cs="Arial"/>
          <w:szCs w:val="20"/>
          <w:lang w:eastAsia="sl-SI"/>
        </w:rPr>
        <w:t>eFP</w:t>
      </w:r>
      <w:proofErr w:type="spellEnd"/>
      <w:r w:rsidRPr="000627CE">
        <w:rPr>
          <w:rFonts w:cs="Arial"/>
          <w:szCs w:val="20"/>
          <w:lang w:eastAsia="sl-SI"/>
        </w:rPr>
        <w:t xml:space="preserve"> za nedoločen čas oziroma dokler bo sodelovanje v tej obliki trajalo, ureja tudi medsebojne pravice in obveznosti udeležencev ter načrtovanje in izvedbo skupne napotitve iz Republike Slovenije v Latvijo ter vrnitve iz nje. </w:t>
      </w:r>
    </w:p>
    <w:p w14:paraId="18C59A13" w14:textId="77777777" w:rsidR="000627CE" w:rsidRPr="000627CE" w:rsidRDefault="000627CE" w:rsidP="000627CE">
      <w:pPr>
        <w:jc w:val="both"/>
        <w:rPr>
          <w:rFonts w:cs="Arial"/>
          <w:szCs w:val="20"/>
          <w:lang w:eastAsia="sl-SI"/>
        </w:rPr>
      </w:pPr>
    </w:p>
    <w:p w14:paraId="6FB48B30" w14:textId="77777777" w:rsidR="000627CE" w:rsidRPr="000627CE" w:rsidRDefault="000627CE" w:rsidP="000627CE">
      <w:pPr>
        <w:jc w:val="both"/>
        <w:rPr>
          <w:rFonts w:cs="Arial"/>
          <w:szCs w:val="20"/>
          <w:lang w:eastAsia="sl-SI"/>
        </w:rPr>
      </w:pPr>
      <w:r w:rsidRPr="000627CE">
        <w:rPr>
          <w:rFonts w:cs="Arial"/>
          <w:szCs w:val="20"/>
          <w:lang w:eastAsia="sl-SI"/>
        </w:rPr>
        <w:t>Vir: Ministrstvo za zunanje zadeve</w:t>
      </w:r>
    </w:p>
    <w:p w14:paraId="5F48E780" w14:textId="77777777" w:rsidR="00B81D5B" w:rsidRDefault="00B81D5B" w:rsidP="002E399C">
      <w:pPr>
        <w:jc w:val="both"/>
        <w:rPr>
          <w:rFonts w:cs="Arial"/>
          <w:b/>
          <w:bCs/>
          <w:szCs w:val="20"/>
          <w:lang w:eastAsia="sl-SI"/>
        </w:rPr>
      </w:pPr>
    </w:p>
    <w:p w14:paraId="02A12BC5" w14:textId="32F73F4E" w:rsidR="002E399C" w:rsidRPr="002E399C" w:rsidRDefault="002E399C" w:rsidP="002E399C">
      <w:pPr>
        <w:jc w:val="both"/>
        <w:rPr>
          <w:rFonts w:cs="Arial"/>
          <w:b/>
          <w:bCs/>
          <w:szCs w:val="20"/>
          <w:lang w:eastAsia="sl-SI"/>
        </w:rPr>
      </w:pPr>
      <w:r w:rsidRPr="002E399C">
        <w:rPr>
          <w:rFonts w:cs="Arial"/>
          <w:b/>
          <w:bCs/>
          <w:szCs w:val="20"/>
          <w:lang w:eastAsia="sl-SI"/>
        </w:rPr>
        <w:t xml:space="preserve">Potrditev </w:t>
      </w:r>
      <w:r w:rsidR="00B81D5B">
        <w:rPr>
          <w:rFonts w:cs="Arial"/>
          <w:b/>
          <w:bCs/>
          <w:szCs w:val="20"/>
          <w:lang w:eastAsia="sl-SI"/>
        </w:rPr>
        <w:t>d</w:t>
      </w:r>
      <w:r w:rsidRPr="002E399C">
        <w:rPr>
          <w:rFonts w:cs="Arial"/>
          <w:b/>
          <w:bCs/>
          <w:szCs w:val="20"/>
          <w:lang w:eastAsia="sl-SI"/>
        </w:rPr>
        <w:t>ruge spremembe Memoranduma o soglasju o zmogljivosti strateškega zračnega prevoza</w:t>
      </w:r>
    </w:p>
    <w:p w14:paraId="7C18DA53" w14:textId="77777777" w:rsidR="002E399C" w:rsidRPr="002E399C" w:rsidRDefault="002E399C" w:rsidP="002E399C">
      <w:pPr>
        <w:jc w:val="both"/>
        <w:rPr>
          <w:rFonts w:cs="Arial"/>
          <w:b/>
          <w:bCs/>
          <w:szCs w:val="20"/>
          <w:lang w:eastAsia="sl-SI"/>
        </w:rPr>
      </w:pPr>
    </w:p>
    <w:p w14:paraId="607C9BB9" w14:textId="77777777" w:rsidR="002E399C" w:rsidRPr="002E399C" w:rsidRDefault="002E399C" w:rsidP="002E399C">
      <w:pPr>
        <w:jc w:val="both"/>
        <w:rPr>
          <w:rFonts w:cs="Arial"/>
          <w:szCs w:val="20"/>
          <w:lang w:eastAsia="sl-SI"/>
        </w:rPr>
      </w:pPr>
      <w:r w:rsidRPr="002E399C">
        <w:rPr>
          <w:rFonts w:cs="Arial"/>
          <w:szCs w:val="20"/>
          <w:lang w:eastAsia="sl-SI"/>
        </w:rPr>
        <w:t>Vlada Republike Slovenije je potrdila Drugo spremembo Memoranduma o soglasju med Ministrstvom za obrambo Republike Bolgarije, Ministrstvom za obrambo Republike Estonije, Ministrstvom za obrambo Republike Finske, Vlado Republike Madžarske, Ministrstvom za narodno obrambo Republike Litve, ministrico za obrambo Kraljevine Nizozemske, Ministrstvom za obrambo Kraljevine Norveške, ministrom za narodno obrambo Republike Poljske, Vlado Romunije, Ministrstvom za obrambo Republike Slovenije, Vlado Kraljevine Švedske in Ministrstvom za obrambo Združenih držav Amerike o zmogljivosti strateškega zračnega prevoza, sklenjeno 15. decembra 2021.</w:t>
      </w:r>
    </w:p>
    <w:p w14:paraId="276F0138" w14:textId="77777777" w:rsidR="002E399C" w:rsidRPr="002E399C" w:rsidRDefault="002E399C" w:rsidP="002E399C">
      <w:pPr>
        <w:jc w:val="both"/>
        <w:rPr>
          <w:rFonts w:cs="Arial"/>
          <w:szCs w:val="20"/>
          <w:lang w:eastAsia="sl-SI"/>
        </w:rPr>
      </w:pPr>
    </w:p>
    <w:p w14:paraId="688E823B" w14:textId="4AB0BB31" w:rsidR="002E399C" w:rsidRPr="002E399C" w:rsidRDefault="002E399C" w:rsidP="002E399C">
      <w:pPr>
        <w:jc w:val="both"/>
        <w:rPr>
          <w:rFonts w:cs="Arial"/>
          <w:szCs w:val="20"/>
          <w:lang w:eastAsia="sl-SI"/>
        </w:rPr>
      </w:pPr>
      <w:r w:rsidRPr="002E399C">
        <w:rPr>
          <w:rFonts w:cs="Arial"/>
          <w:szCs w:val="20"/>
          <w:lang w:eastAsia="sl-SI"/>
        </w:rPr>
        <w:t>V sklopu reform Natovih agencij v letih 2012 in 2015 so se spremenile pristojnosti in naloge Organizacije zveze Nato za upravljanje zračnega prostora (NAMO), ki so prešle na Natovo organizacijo za podporo in nabavo (</w:t>
      </w:r>
      <w:r w:rsidR="00F26137">
        <w:rPr>
          <w:rFonts w:cs="Arial"/>
          <w:szCs w:val="20"/>
          <w:lang w:eastAsia="sl-SI"/>
        </w:rPr>
        <w:t xml:space="preserve">ang. </w:t>
      </w:r>
      <w:r w:rsidR="00F26137" w:rsidRPr="00F26137">
        <w:rPr>
          <w:rFonts w:cs="Arial"/>
          <w:color w:val="000000"/>
          <w:spacing w:val="3"/>
          <w:shd w:val="clear" w:color="auto" w:fill="FFFFFF"/>
        </w:rPr>
        <w:t xml:space="preserve">NATO </w:t>
      </w:r>
      <w:proofErr w:type="spellStart"/>
      <w:r w:rsidR="00F26137" w:rsidRPr="00F26137">
        <w:rPr>
          <w:rFonts w:cs="Arial"/>
          <w:color w:val="000000"/>
          <w:spacing w:val="3"/>
          <w:shd w:val="clear" w:color="auto" w:fill="FFFFFF"/>
        </w:rPr>
        <w:t>Support</w:t>
      </w:r>
      <w:proofErr w:type="spellEnd"/>
      <w:r w:rsidR="00F26137" w:rsidRPr="00F26137">
        <w:rPr>
          <w:rFonts w:cs="Arial"/>
          <w:color w:val="000000"/>
          <w:spacing w:val="3"/>
          <w:shd w:val="clear" w:color="auto" w:fill="FFFFFF"/>
        </w:rPr>
        <w:t xml:space="preserve"> </w:t>
      </w:r>
      <w:proofErr w:type="spellStart"/>
      <w:r w:rsidR="00F26137" w:rsidRPr="00F26137">
        <w:rPr>
          <w:rFonts w:cs="Arial"/>
          <w:color w:val="000000"/>
          <w:spacing w:val="3"/>
          <w:shd w:val="clear" w:color="auto" w:fill="FFFFFF"/>
        </w:rPr>
        <w:t>and</w:t>
      </w:r>
      <w:proofErr w:type="spellEnd"/>
      <w:r w:rsidR="00F26137" w:rsidRPr="00F26137">
        <w:rPr>
          <w:rFonts w:cs="Arial"/>
          <w:color w:val="000000"/>
          <w:spacing w:val="3"/>
          <w:shd w:val="clear" w:color="auto" w:fill="FFFFFF"/>
        </w:rPr>
        <w:t xml:space="preserve"> </w:t>
      </w:r>
      <w:proofErr w:type="spellStart"/>
      <w:r w:rsidR="00F26137" w:rsidRPr="00F26137">
        <w:rPr>
          <w:rFonts w:cs="Arial"/>
          <w:color w:val="000000"/>
          <w:spacing w:val="3"/>
          <w:shd w:val="clear" w:color="auto" w:fill="FFFFFF"/>
        </w:rPr>
        <w:t>Procurement</w:t>
      </w:r>
      <w:proofErr w:type="spellEnd"/>
      <w:r w:rsidR="00F26137" w:rsidRPr="00F26137">
        <w:rPr>
          <w:rFonts w:cs="Arial"/>
          <w:color w:val="000000"/>
          <w:spacing w:val="3"/>
          <w:shd w:val="clear" w:color="auto" w:fill="FFFFFF"/>
        </w:rPr>
        <w:t xml:space="preserve"> </w:t>
      </w:r>
      <w:proofErr w:type="spellStart"/>
      <w:r w:rsidR="00F26137" w:rsidRPr="00F26137">
        <w:rPr>
          <w:rFonts w:cs="Arial"/>
          <w:color w:val="000000"/>
          <w:spacing w:val="3"/>
          <w:shd w:val="clear" w:color="auto" w:fill="FFFFFF"/>
        </w:rPr>
        <w:t>Organisatio</w:t>
      </w:r>
      <w:proofErr w:type="spellEnd"/>
      <w:r w:rsidR="00F26137" w:rsidRPr="00F26137">
        <w:rPr>
          <w:rFonts w:cs="Arial"/>
          <w:color w:val="000000"/>
          <w:spacing w:val="3"/>
          <w:shd w:val="clear" w:color="auto" w:fill="FFFFFF"/>
        </w:rPr>
        <w:t xml:space="preserve"> - </w:t>
      </w:r>
      <w:r w:rsidRPr="00F26137">
        <w:rPr>
          <w:rFonts w:cs="Arial"/>
          <w:szCs w:val="20"/>
          <w:lang w:eastAsia="sl-SI"/>
        </w:rPr>
        <w:t>NSPO).</w:t>
      </w:r>
      <w:r w:rsidRPr="002E399C">
        <w:rPr>
          <w:rFonts w:cs="Arial"/>
          <w:szCs w:val="20"/>
          <w:lang w:eastAsia="sl-SI"/>
        </w:rPr>
        <w:t xml:space="preserve"> Program za zagotavljanje zmogljivosti strateškega zračnega prevoza (</w:t>
      </w:r>
      <w:r w:rsidR="00F26137">
        <w:rPr>
          <w:rFonts w:cs="Arial"/>
          <w:szCs w:val="20"/>
          <w:lang w:eastAsia="sl-SI"/>
        </w:rPr>
        <w:t xml:space="preserve">ang. </w:t>
      </w:r>
      <w:proofErr w:type="spellStart"/>
      <w:r w:rsidR="008D701D" w:rsidRPr="008D701D">
        <w:rPr>
          <w:rFonts w:cs="Arial"/>
          <w:szCs w:val="20"/>
          <w:lang w:eastAsia="sl-SI"/>
        </w:rPr>
        <w:t>Strategic</w:t>
      </w:r>
      <w:proofErr w:type="spellEnd"/>
      <w:r w:rsidR="008D701D" w:rsidRPr="008D701D">
        <w:rPr>
          <w:rFonts w:cs="Arial"/>
          <w:szCs w:val="20"/>
          <w:lang w:eastAsia="sl-SI"/>
        </w:rPr>
        <w:t xml:space="preserve"> </w:t>
      </w:r>
      <w:proofErr w:type="spellStart"/>
      <w:r w:rsidR="008D701D" w:rsidRPr="008D701D">
        <w:rPr>
          <w:rFonts w:cs="Arial"/>
          <w:szCs w:val="20"/>
          <w:lang w:eastAsia="sl-SI"/>
        </w:rPr>
        <w:t>Airlift</w:t>
      </w:r>
      <w:proofErr w:type="spellEnd"/>
      <w:r w:rsidR="008D701D" w:rsidRPr="008D701D">
        <w:rPr>
          <w:rFonts w:cs="Arial"/>
          <w:szCs w:val="20"/>
          <w:lang w:eastAsia="sl-SI"/>
        </w:rPr>
        <w:t xml:space="preserve"> </w:t>
      </w:r>
      <w:proofErr w:type="spellStart"/>
      <w:r w:rsidR="008D701D" w:rsidRPr="008D701D">
        <w:rPr>
          <w:rFonts w:cs="Arial"/>
          <w:szCs w:val="20"/>
          <w:lang w:eastAsia="sl-SI"/>
        </w:rPr>
        <w:t>Capability</w:t>
      </w:r>
      <w:proofErr w:type="spellEnd"/>
      <w:r w:rsidR="008D701D">
        <w:rPr>
          <w:rFonts w:cs="Arial"/>
          <w:szCs w:val="20"/>
          <w:lang w:eastAsia="sl-SI"/>
        </w:rPr>
        <w:t xml:space="preserve"> - </w:t>
      </w:r>
      <w:r w:rsidRPr="002E399C">
        <w:rPr>
          <w:rFonts w:cs="Arial"/>
          <w:szCs w:val="20"/>
          <w:lang w:eastAsia="sl-SI"/>
        </w:rPr>
        <w:t xml:space="preserve">SAC), ki je bil ustanovljen z memorandumom in ga je podpisala tudi Republika </w:t>
      </w:r>
      <w:r w:rsidRPr="002E399C">
        <w:rPr>
          <w:rFonts w:cs="Arial"/>
          <w:szCs w:val="20"/>
          <w:lang w:eastAsia="sl-SI"/>
        </w:rPr>
        <w:lastRenderedPageBreak/>
        <w:t>Slovenija, je pred tem deloval na podlagi ustanovne listine NAMO. Po reformi program SAC in razmerja med njegovimi udeleženci ureja ustanovna listina NSPO, zato je bila treba ustrezno prilagoditi tudi memorandum SAC. Druga sprememba vsebuje prečiščeno (konsolidirano) besedilo memoranduma SAC.</w:t>
      </w:r>
    </w:p>
    <w:p w14:paraId="3E26F6D0" w14:textId="77777777" w:rsidR="002E399C" w:rsidRPr="002E399C" w:rsidRDefault="002E399C" w:rsidP="002E399C">
      <w:pPr>
        <w:jc w:val="both"/>
        <w:rPr>
          <w:rFonts w:cs="Arial"/>
          <w:szCs w:val="20"/>
          <w:lang w:eastAsia="sl-SI"/>
        </w:rPr>
      </w:pPr>
    </w:p>
    <w:p w14:paraId="7B41B455" w14:textId="77D75A2F" w:rsidR="00923E78" w:rsidRPr="002E399C" w:rsidRDefault="002E399C" w:rsidP="002E399C">
      <w:pPr>
        <w:jc w:val="both"/>
        <w:rPr>
          <w:rFonts w:cs="Arial"/>
          <w:szCs w:val="20"/>
          <w:lang w:eastAsia="sl-SI"/>
        </w:rPr>
      </w:pPr>
      <w:r w:rsidRPr="002E399C">
        <w:rPr>
          <w:rFonts w:cs="Arial"/>
          <w:szCs w:val="20"/>
          <w:lang w:eastAsia="sl-SI"/>
        </w:rPr>
        <w:t>Vir: Ministrstvo za zunanje zadeve</w:t>
      </w:r>
    </w:p>
    <w:p w14:paraId="22B01AB7" w14:textId="77777777" w:rsidR="00923E78" w:rsidRPr="00923E78" w:rsidRDefault="00923E78" w:rsidP="00923E78">
      <w:pPr>
        <w:jc w:val="both"/>
        <w:rPr>
          <w:rFonts w:cs="Arial"/>
          <w:b/>
          <w:bCs/>
          <w:szCs w:val="20"/>
          <w:lang w:eastAsia="sl-SI"/>
        </w:rPr>
      </w:pPr>
    </w:p>
    <w:p w14:paraId="2520B91B" w14:textId="3982E8C7" w:rsidR="00951C4E" w:rsidRPr="00951C4E" w:rsidRDefault="00951C4E" w:rsidP="00951C4E">
      <w:pPr>
        <w:jc w:val="both"/>
        <w:rPr>
          <w:rFonts w:cs="Arial"/>
          <w:b/>
          <w:bCs/>
          <w:szCs w:val="20"/>
          <w:lang w:eastAsia="sl-SI"/>
        </w:rPr>
      </w:pPr>
      <w:r w:rsidRPr="00951C4E">
        <w:rPr>
          <w:rFonts w:cs="Arial"/>
          <w:b/>
          <w:bCs/>
          <w:szCs w:val="20"/>
          <w:lang w:eastAsia="sl-SI"/>
        </w:rPr>
        <w:t xml:space="preserve">Odpoklic izredne in pooblaščene veleposlanice Slovenije v Kraljevini Nizozemski in pri Organizaciji za prepoved kemičnega orožja (OPCW) s sedežem v Haagu  </w:t>
      </w:r>
    </w:p>
    <w:p w14:paraId="736A1793" w14:textId="77777777" w:rsidR="00951C4E" w:rsidRPr="00951C4E" w:rsidRDefault="00951C4E" w:rsidP="00951C4E">
      <w:pPr>
        <w:jc w:val="both"/>
        <w:rPr>
          <w:rFonts w:cs="Arial"/>
          <w:szCs w:val="20"/>
          <w:lang w:eastAsia="sl-SI"/>
        </w:rPr>
      </w:pPr>
    </w:p>
    <w:p w14:paraId="48174947" w14:textId="77777777" w:rsidR="00951C4E" w:rsidRPr="00951C4E" w:rsidRDefault="00951C4E" w:rsidP="00951C4E">
      <w:pPr>
        <w:jc w:val="both"/>
        <w:rPr>
          <w:rFonts w:cs="Arial"/>
          <w:szCs w:val="20"/>
          <w:lang w:eastAsia="sl-SI"/>
        </w:rPr>
      </w:pPr>
      <w:r w:rsidRPr="00951C4E">
        <w:rPr>
          <w:rFonts w:cs="Arial"/>
          <w:szCs w:val="20"/>
          <w:lang w:eastAsia="sl-SI"/>
        </w:rPr>
        <w:t>Vlada Republike Slovenije je določila predlog, da se Sanjo Štiglic z 31. julijem 2022 zaradi poteka časa razporeditve v tujino odpokliče z dolžnosti izredne in pooblaščene veleposlanice Republike Slovenije v Kraljevini Nizozemski ter stalne predstavnice Republike Slovenije pri Organizaciji za prepoved kemičnega orožja (OPCW) s sedežem v Haagu.</w:t>
      </w:r>
    </w:p>
    <w:p w14:paraId="406311C5" w14:textId="77777777" w:rsidR="00951C4E" w:rsidRPr="00951C4E" w:rsidRDefault="00951C4E" w:rsidP="00951C4E">
      <w:pPr>
        <w:jc w:val="both"/>
        <w:rPr>
          <w:rFonts w:cs="Arial"/>
          <w:szCs w:val="20"/>
          <w:lang w:eastAsia="sl-SI"/>
        </w:rPr>
      </w:pPr>
    </w:p>
    <w:p w14:paraId="27497923" w14:textId="33AD7867" w:rsidR="00923E78" w:rsidRPr="00951C4E" w:rsidRDefault="00951C4E" w:rsidP="00951C4E">
      <w:pPr>
        <w:jc w:val="both"/>
        <w:rPr>
          <w:rFonts w:cs="Arial"/>
          <w:szCs w:val="20"/>
          <w:lang w:eastAsia="sl-SI"/>
        </w:rPr>
      </w:pPr>
      <w:r w:rsidRPr="00951C4E">
        <w:rPr>
          <w:rFonts w:cs="Arial"/>
          <w:szCs w:val="20"/>
          <w:lang w:eastAsia="sl-SI"/>
        </w:rPr>
        <w:t>Vir: Ministrstvo za zunanje zadeve</w:t>
      </w:r>
    </w:p>
    <w:p w14:paraId="48B90BFB" w14:textId="77777777" w:rsidR="00923E78" w:rsidRPr="00923E78" w:rsidRDefault="00923E78" w:rsidP="00923E78">
      <w:pPr>
        <w:jc w:val="both"/>
        <w:rPr>
          <w:rFonts w:cs="Arial"/>
          <w:b/>
          <w:bCs/>
          <w:szCs w:val="20"/>
          <w:lang w:eastAsia="sl-SI"/>
        </w:rPr>
      </w:pPr>
      <w:r w:rsidRPr="00923E78">
        <w:rPr>
          <w:rFonts w:cs="Arial"/>
          <w:b/>
          <w:bCs/>
          <w:szCs w:val="20"/>
          <w:lang w:eastAsia="sl-SI"/>
        </w:rPr>
        <w:tab/>
      </w:r>
    </w:p>
    <w:p w14:paraId="4F107087" w14:textId="4BC223FE" w:rsidR="0087112E" w:rsidRPr="0087112E" w:rsidRDefault="0087112E" w:rsidP="0087112E">
      <w:pPr>
        <w:jc w:val="both"/>
        <w:rPr>
          <w:rFonts w:cs="Arial"/>
          <w:b/>
          <w:bCs/>
          <w:szCs w:val="20"/>
          <w:lang w:eastAsia="sl-SI"/>
        </w:rPr>
      </w:pPr>
      <w:r w:rsidRPr="0087112E">
        <w:rPr>
          <w:rFonts w:cs="Arial"/>
          <w:b/>
          <w:bCs/>
          <w:szCs w:val="20"/>
          <w:lang w:eastAsia="sl-SI"/>
        </w:rPr>
        <w:t>Razrešitev s položaja generalnega sekretarja Ministrstva za zunanje zadeve</w:t>
      </w:r>
    </w:p>
    <w:p w14:paraId="44B9D092" w14:textId="77777777" w:rsidR="0087112E" w:rsidRPr="0087112E" w:rsidRDefault="0087112E" w:rsidP="0087112E">
      <w:pPr>
        <w:jc w:val="both"/>
        <w:rPr>
          <w:rFonts w:cs="Arial"/>
          <w:b/>
          <w:bCs/>
          <w:szCs w:val="20"/>
          <w:lang w:eastAsia="sl-SI"/>
        </w:rPr>
      </w:pPr>
    </w:p>
    <w:p w14:paraId="27834F9A" w14:textId="77777777" w:rsidR="0087112E" w:rsidRPr="0087112E" w:rsidRDefault="0087112E" w:rsidP="0087112E">
      <w:pPr>
        <w:jc w:val="both"/>
        <w:rPr>
          <w:rFonts w:cs="Arial"/>
          <w:szCs w:val="20"/>
          <w:lang w:eastAsia="sl-SI"/>
        </w:rPr>
      </w:pPr>
      <w:r w:rsidRPr="0087112E">
        <w:rPr>
          <w:rFonts w:cs="Arial"/>
          <w:szCs w:val="20"/>
          <w:lang w:eastAsia="sl-SI"/>
        </w:rPr>
        <w:t xml:space="preserve">Vlada Republike Slovenije je sprejela sklep, da se z 31. majem 2002 z mesta generalnega sekretarja Ministrstva za zunanje zadeve razreši Jožefa Drofenika. </w:t>
      </w:r>
    </w:p>
    <w:p w14:paraId="73918343" w14:textId="77777777" w:rsidR="0087112E" w:rsidRPr="0087112E" w:rsidRDefault="0087112E" w:rsidP="0087112E">
      <w:pPr>
        <w:jc w:val="both"/>
        <w:rPr>
          <w:rFonts w:cs="Arial"/>
          <w:szCs w:val="20"/>
          <w:lang w:eastAsia="sl-SI"/>
        </w:rPr>
      </w:pPr>
    </w:p>
    <w:p w14:paraId="306583A6" w14:textId="77777777" w:rsidR="0087112E" w:rsidRPr="0087112E" w:rsidRDefault="0087112E" w:rsidP="0087112E">
      <w:pPr>
        <w:jc w:val="both"/>
        <w:rPr>
          <w:rFonts w:cs="Arial"/>
          <w:szCs w:val="20"/>
          <w:lang w:eastAsia="sl-SI"/>
        </w:rPr>
      </w:pPr>
      <w:r w:rsidRPr="0087112E">
        <w:rPr>
          <w:rFonts w:cs="Arial"/>
          <w:szCs w:val="20"/>
          <w:lang w:eastAsia="sl-SI"/>
        </w:rPr>
        <w:t xml:space="preserve">Zaradi prevzema novih delovnih obveznosti je minister za zunanje zadeve Vladi Republike Slovenije predlagal, da se Jožef Drofenik razreši s položaja generalnega sekretarja Ministrstva za zunanje zadeve. </w:t>
      </w:r>
    </w:p>
    <w:p w14:paraId="0E2C4F06" w14:textId="77777777" w:rsidR="0087112E" w:rsidRDefault="0087112E" w:rsidP="0087112E">
      <w:pPr>
        <w:jc w:val="both"/>
        <w:rPr>
          <w:rFonts w:cs="Arial"/>
          <w:szCs w:val="20"/>
          <w:lang w:eastAsia="sl-SI"/>
        </w:rPr>
      </w:pPr>
    </w:p>
    <w:p w14:paraId="417836C5" w14:textId="317C71F3" w:rsidR="0087112E" w:rsidRPr="0087112E" w:rsidRDefault="0087112E" w:rsidP="0087112E">
      <w:pPr>
        <w:jc w:val="both"/>
        <w:rPr>
          <w:rFonts w:cs="Arial"/>
          <w:szCs w:val="20"/>
          <w:lang w:eastAsia="sl-SI"/>
        </w:rPr>
      </w:pPr>
      <w:r w:rsidRPr="0087112E">
        <w:rPr>
          <w:rFonts w:cs="Arial"/>
          <w:szCs w:val="20"/>
          <w:lang w:eastAsia="sl-SI"/>
        </w:rPr>
        <w:t>Zakon o javnih uslužbencih v 1. točki drugega odstavku 83. člena določa, da se uradnik iz drugega odstavka 82. člena tega zakona z odločbo razreši s položaja, če to sam zahteva oziroma s tem soglaša. Uradnik iz drugega odstavka 82. člena tega zakona je tudi generalni sekretar v ministrstvu. Na podlagi drugega odstavka 82. člena Zakona o javnih uslužbencih generalnega sekretarja v ministrstvu imenuje vlada na predlog ministra, enako pa velja tudi za razrešitev.</w:t>
      </w:r>
    </w:p>
    <w:p w14:paraId="3BD9F7A3" w14:textId="77777777" w:rsidR="0087112E" w:rsidRPr="0087112E" w:rsidRDefault="0087112E" w:rsidP="0087112E">
      <w:pPr>
        <w:jc w:val="both"/>
        <w:rPr>
          <w:rFonts w:cs="Arial"/>
          <w:szCs w:val="20"/>
          <w:lang w:eastAsia="sl-SI"/>
        </w:rPr>
      </w:pPr>
    </w:p>
    <w:p w14:paraId="7E0D74F8" w14:textId="33FDFA6A" w:rsidR="00923E78" w:rsidRPr="0087112E" w:rsidRDefault="0087112E" w:rsidP="0087112E">
      <w:pPr>
        <w:jc w:val="both"/>
        <w:rPr>
          <w:rFonts w:cs="Arial"/>
          <w:szCs w:val="20"/>
          <w:lang w:eastAsia="sl-SI"/>
        </w:rPr>
      </w:pPr>
      <w:r w:rsidRPr="0087112E">
        <w:rPr>
          <w:rFonts w:cs="Arial"/>
          <w:szCs w:val="20"/>
          <w:lang w:eastAsia="sl-SI"/>
        </w:rPr>
        <w:t>Vir: Ministrstvo za zunanje zadeve</w:t>
      </w:r>
    </w:p>
    <w:p w14:paraId="654D57A9" w14:textId="77777777" w:rsidR="00923E78" w:rsidRPr="00923E78" w:rsidRDefault="00923E78" w:rsidP="00923E78">
      <w:pPr>
        <w:jc w:val="both"/>
        <w:rPr>
          <w:rFonts w:cs="Arial"/>
          <w:b/>
          <w:bCs/>
          <w:szCs w:val="20"/>
          <w:lang w:eastAsia="sl-SI"/>
        </w:rPr>
      </w:pPr>
    </w:p>
    <w:p w14:paraId="6D00A1AF" w14:textId="05B673B7" w:rsidR="00E31AA5" w:rsidRPr="00E31AA5" w:rsidRDefault="00E31AA5" w:rsidP="00E31AA5">
      <w:pPr>
        <w:jc w:val="both"/>
        <w:rPr>
          <w:rFonts w:cs="Arial"/>
          <w:b/>
          <w:bCs/>
          <w:szCs w:val="20"/>
          <w:lang w:eastAsia="sl-SI"/>
        </w:rPr>
      </w:pPr>
      <w:r w:rsidRPr="00E31AA5">
        <w:rPr>
          <w:rFonts w:cs="Arial"/>
          <w:b/>
          <w:bCs/>
          <w:szCs w:val="20"/>
          <w:lang w:eastAsia="sl-SI"/>
        </w:rPr>
        <w:t>Vlada imenovala člana nadzornega sveta Slovenske izvozne in razvojne banke</w:t>
      </w:r>
    </w:p>
    <w:p w14:paraId="4C47ADA3" w14:textId="77777777" w:rsidR="00E31AA5" w:rsidRPr="00E31AA5" w:rsidRDefault="00E31AA5" w:rsidP="00E31AA5">
      <w:pPr>
        <w:jc w:val="both"/>
        <w:rPr>
          <w:rFonts w:cs="Arial"/>
          <w:b/>
          <w:bCs/>
          <w:szCs w:val="20"/>
          <w:lang w:eastAsia="sl-SI"/>
        </w:rPr>
      </w:pPr>
    </w:p>
    <w:p w14:paraId="74DD11D1" w14:textId="77777777" w:rsidR="00E31AA5" w:rsidRPr="00E31AA5" w:rsidRDefault="00E31AA5" w:rsidP="00E31AA5">
      <w:pPr>
        <w:jc w:val="both"/>
        <w:rPr>
          <w:rFonts w:cs="Arial"/>
          <w:szCs w:val="20"/>
          <w:lang w:eastAsia="sl-SI"/>
        </w:rPr>
      </w:pPr>
      <w:r w:rsidRPr="00E31AA5">
        <w:rPr>
          <w:rFonts w:cs="Arial"/>
          <w:szCs w:val="20"/>
          <w:lang w:eastAsia="sl-SI"/>
        </w:rPr>
        <w:t xml:space="preserve">Vlada je za člana nadzornega sveta Slovenske izvozne in razvojne banke za mandatno obdobje petih let ponovno imenovala Marjana Divjaka in Zlatka Vilija </w:t>
      </w:r>
      <w:proofErr w:type="spellStart"/>
      <w:r w:rsidRPr="00E31AA5">
        <w:rPr>
          <w:rFonts w:cs="Arial"/>
          <w:szCs w:val="20"/>
          <w:lang w:eastAsia="sl-SI"/>
        </w:rPr>
        <w:t>Hohnjeca</w:t>
      </w:r>
      <w:proofErr w:type="spellEnd"/>
      <w:r w:rsidRPr="00E31AA5">
        <w:rPr>
          <w:rFonts w:cs="Arial"/>
          <w:szCs w:val="20"/>
          <w:lang w:eastAsia="sl-SI"/>
        </w:rPr>
        <w:t>.</w:t>
      </w:r>
    </w:p>
    <w:p w14:paraId="60016354" w14:textId="77777777" w:rsidR="00E31AA5" w:rsidRPr="00E31AA5" w:rsidRDefault="00E31AA5" w:rsidP="00E31AA5">
      <w:pPr>
        <w:jc w:val="both"/>
        <w:rPr>
          <w:rFonts w:cs="Arial"/>
          <w:szCs w:val="20"/>
          <w:lang w:eastAsia="sl-SI"/>
        </w:rPr>
      </w:pPr>
    </w:p>
    <w:p w14:paraId="304C76A4" w14:textId="77777777" w:rsidR="00E31AA5" w:rsidRPr="00E31AA5" w:rsidRDefault="00E31AA5" w:rsidP="00E31AA5">
      <w:pPr>
        <w:jc w:val="both"/>
        <w:rPr>
          <w:rFonts w:cs="Arial"/>
          <w:szCs w:val="20"/>
          <w:lang w:eastAsia="sl-SI"/>
        </w:rPr>
      </w:pPr>
      <w:r w:rsidRPr="00E31AA5">
        <w:rPr>
          <w:rFonts w:cs="Arial"/>
          <w:szCs w:val="20"/>
          <w:lang w:eastAsia="sl-SI"/>
        </w:rPr>
        <w:t xml:space="preserve">V skladu z Zakonom o Slovenski izvozni in razvojni banki člane nadzornega sveta imenuje vlada. Dosedanjima članoma nadzornega sveta banke, Marjanu Divjaku in Zlatku Viliju </w:t>
      </w:r>
      <w:proofErr w:type="spellStart"/>
      <w:r w:rsidRPr="00E31AA5">
        <w:rPr>
          <w:rFonts w:cs="Arial"/>
          <w:szCs w:val="20"/>
          <w:lang w:eastAsia="sl-SI"/>
        </w:rPr>
        <w:t>Hohnjecu</w:t>
      </w:r>
      <w:proofErr w:type="spellEnd"/>
      <w:r w:rsidRPr="00E31AA5">
        <w:rPr>
          <w:rFonts w:cs="Arial"/>
          <w:szCs w:val="20"/>
          <w:lang w:eastAsia="sl-SI"/>
        </w:rPr>
        <w:t xml:space="preserve">, z 18. majem 2022 poteče petletni mandat. Minister za finance je vladi predlagal njuno ponovno imenovanje, in sicer z 19. majem 2022, za obdobje petih let. </w:t>
      </w:r>
    </w:p>
    <w:p w14:paraId="0070455A" w14:textId="77777777" w:rsidR="00E31AA5" w:rsidRPr="00E31AA5" w:rsidRDefault="00E31AA5" w:rsidP="00E31AA5">
      <w:pPr>
        <w:jc w:val="both"/>
        <w:rPr>
          <w:rFonts w:cs="Arial"/>
          <w:szCs w:val="20"/>
          <w:lang w:eastAsia="sl-SI"/>
        </w:rPr>
      </w:pPr>
    </w:p>
    <w:p w14:paraId="4903ECAB" w14:textId="6E214404" w:rsidR="00923E78" w:rsidRPr="00E31AA5" w:rsidRDefault="00E31AA5" w:rsidP="00E31AA5">
      <w:pPr>
        <w:jc w:val="both"/>
        <w:rPr>
          <w:rFonts w:cs="Arial"/>
          <w:szCs w:val="20"/>
          <w:lang w:eastAsia="sl-SI"/>
        </w:rPr>
      </w:pPr>
      <w:r w:rsidRPr="00E31AA5">
        <w:rPr>
          <w:rFonts w:cs="Arial"/>
          <w:szCs w:val="20"/>
          <w:lang w:eastAsia="sl-SI"/>
        </w:rPr>
        <w:t>Vir: Ministrstvo za finance</w:t>
      </w:r>
    </w:p>
    <w:p w14:paraId="221E5180" w14:textId="77777777" w:rsidR="001501F0" w:rsidRDefault="001501F0" w:rsidP="00787FD2">
      <w:pPr>
        <w:jc w:val="both"/>
        <w:rPr>
          <w:rFonts w:cs="Arial"/>
          <w:b/>
          <w:bCs/>
          <w:szCs w:val="20"/>
          <w:lang w:eastAsia="sl-SI"/>
        </w:rPr>
      </w:pPr>
    </w:p>
    <w:p w14:paraId="25E18A3E" w14:textId="0029690E" w:rsidR="00787FD2" w:rsidRPr="00787FD2" w:rsidRDefault="00787FD2" w:rsidP="00787FD2">
      <w:pPr>
        <w:jc w:val="both"/>
        <w:rPr>
          <w:rFonts w:cs="Arial"/>
          <w:b/>
          <w:bCs/>
          <w:szCs w:val="20"/>
          <w:lang w:eastAsia="sl-SI"/>
        </w:rPr>
      </w:pPr>
      <w:r w:rsidRPr="00787FD2">
        <w:rPr>
          <w:rFonts w:cs="Arial"/>
          <w:b/>
          <w:bCs/>
          <w:szCs w:val="20"/>
          <w:lang w:eastAsia="sl-SI"/>
        </w:rPr>
        <w:t>Vlada imenovala predstavnike ustanovitelja v svet Muzeja novejše zgodovine Slovenije</w:t>
      </w:r>
    </w:p>
    <w:p w14:paraId="58812A43" w14:textId="77777777" w:rsidR="00787FD2" w:rsidRPr="00787FD2" w:rsidRDefault="00787FD2" w:rsidP="00787FD2">
      <w:pPr>
        <w:jc w:val="both"/>
        <w:rPr>
          <w:rFonts w:cs="Arial"/>
          <w:b/>
          <w:bCs/>
          <w:szCs w:val="20"/>
          <w:lang w:eastAsia="sl-SI"/>
        </w:rPr>
      </w:pPr>
    </w:p>
    <w:p w14:paraId="6E3F3FF4" w14:textId="77777777" w:rsidR="00787FD2" w:rsidRPr="00787FD2" w:rsidRDefault="00787FD2" w:rsidP="00787FD2">
      <w:pPr>
        <w:jc w:val="both"/>
        <w:rPr>
          <w:rFonts w:cs="Arial"/>
          <w:szCs w:val="20"/>
          <w:lang w:eastAsia="sl-SI"/>
        </w:rPr>
      </w:pPr>
      <w:r w:rsidRPr="00787FD2">
        <w:rPr>
          <w:rFonts w:cs="Arial"/>
          <w:szCs w:val="20"/>
          <w:lang w:eastAsia="sl-SI"/>
        </w:rPr>
        <w:t xml:space="preserve">Vlada je na današnji dopisni seji v svet javnega zavoda Muzej novejše zgodovine Slovenije za mandatno dobo štirih let od ustanovitvene seje sveta zavoda, z možnostjo ponovnega imenovanja, imenovala predstavnike ustanovitelja. Kot predstavniki ustanovitelja se imenujejo: Jurij Pavel Emeršič, dr. Tomaž </w:t>
      </w:r>
      <w:proofErr w:type="spellStart"/>
      <w:r w:rsidRPr="00787FD2">
        <w:rPr>
          <w:rFonts w:cs="Arial"/>
          <w:szCs w:val="20"/>
          <w:lang w:eastAsia="sl-SI"/>
        </w:rPr>
        <w:t>Ivešić</w:t>
      </w:r>
      <w:proofErr w:type="spellEnd"/>
      <w:r w:rsidRPr="00787FD2">
        <w:rPr>
          <w:rFonts w:cs="Arial"/>
          <w:szCs w:val="20"/>
          <w:lang w:eastAsia="sl-SI"/>
        </w:rPr>
        <w:t>, Bojan Bogatec Končan in dr. Karla Oder.</w:t>
      </w:r>
    </w:p>
    <w:p w14:paraId="0B8557E6" w14:textId="77777777" w:rsidR="00787FD2" w:rsidRPr="00787FD2" w:rsidRDefault="00787FD2" w:rsidP="00787FD2">
      <w:pPr>
        <w:jc w:val="both"/>
        <w:rPr>
          <w:rFonts w:cs="Arial"/>
          <w:szCs w:val="20"/>
          <w:lang w:eastAsia="sl-SI"/>
        </w:rPr>
      </w:pPr>
    </w:p>
    <w:p w14:paraId="7D187D06" w14:textId="1589C788" w:rsidR="00923E78" w:rsidRPr="00787FD2" w:rsidRDefault="00787FD2" w:rsidP="00787FD2">
      <w:pPr>
        <w:jc w:val="both"/>
        <w:rPr>
          <w:rFonts w:cs="Arial"/>
          <w:szCs w:val="20"/>
          <w:lang w:eastAsia="sl-SI"/>
        </w:rPr>
      </w:pPr>
      <w:r w:rsidRPr="00787FD2">
        <w:rPr>
          <w:rFonts w:cs="Arial"/>
          <w:szCs w:val="20"/>
          <w:lang w:eastAsia="sl-SI"/>
        </w:rPr>
        <w:lastRenderedPageBreak/>
        <w:t>Vir: Ministrstvo za kulturo</w:t>
      </w:r>
    </w:p>
    <w:p w14:paraId="2F8156F3" w14:textId="77777777" w:rsidR="00923E78" w:rsidRPr="00923E78" w:rsidRDefault="00923E78" w:rsidP="00923E78">
      <w:pPr>
        <w:jc w:val="both"/>
        <w:rPr>
          <w:rFonts w:cs="Arial"/>
          <w:b/>
          <w:bCs/>
          <w:szCs w:val="20"/>
          <w:lang w:eastAsia="sl-SI"/>
        </w:rPr>
      </w:pPr>
      <w:r w:rsidRPr="00923E78">
        <w:rPr>
          <w:rFonts w:cs="Arial"/>
          <w:b/>
          <w:bCs/>
          <w:szCs w:val="20"/>
          <w:lang w:eastAsia="sl-SI"/>
        </w:rPr>
        <w:tab/>
      </w:r>
    </w:p>
    <w:p w14:paraId="0FF18737" w14:textId="31E10A61" w:rsidR="00923E78" w:rsidRPr="00923E78" w:rsidRDefault="00923E78" w:rsidP="00923E78">
      <w:pPr>
        <w:jc w:val="both"/>
        <w:rPr>
          <w:rFonts w:cs="Arial"/>
          <w:b/>
          <w:bCs/>
          <w:szCs w:val="20"/>
          <w:lang w:eastAsia="sl-SI"/>
        </w:rPr>
      </w:pPr>
      <w:r w:rsidRPr="00923E78">
        <w:rPr>
          <w:rFonts w:cs="Arial"/>
          <w:b/>
          <w:bCs/>
          <w:szCs w:val="20"/>
          <w:lang w:eastAsia="sl-SI"/>
        </w:rPr>
        <w:t>Predlog soglasja k obremenitvi nepremičnine v k. o. 698 Pivola, v lasti Univerze v Mariboru, Predlagateljica: ministrica za izobraževanje, znanost in šport</w:t>
      </w:r>
    </w:p>
    <w:p w14:paraId="3FDD01C7" w14:textId="77777777" w:rsidR="00923E78" w:rsidRPr="00923E78" w:rsidRDefault="00923E78" w:rsidP="00923E78">
      <w:pPr>
        <w:jc w:val="both"/>
        <w:rPr>
          <w:rFonts w:cs="Arial"/>
          <w:b/>
          <w:bCs/>
          <w:szCs w:val="20"/>
          <w:lang w:eastAsia="sl-SI"/>
        </w:rPr>
      </w:pPr>
    </w:p>
    <w:p w14:paraId="5D3E6D7B" w14:textId="088CEF56" w:rsidR="00BB0DF6" w:rsidRPr="00BB0DF6" w:rsidRDefault="00BB0DF6" w:rsidP="00BB0DF6">
      <w:pPr>
        <w:jc w:val="both"/>
        <w:rPr>
          <w:rFonts w:cs="Arial"/>
          <w:b/>
          <w:bCs/>
          <w:szCs w:val="20"/>
          <w:lang w:eastAsia="sl-SI"/>
        </w:rPr>
      </w:pPr>
      <w:r w:rsidRPr="00BB0DF6">
        <w:rPr>
          <w:rFonts w:cs="Arial"/>
          <w:b/>
          <w:bCs/>
          <w:szCs w:val="20"/>
          <w:lang w:eastAsia="sl-SI"/>
        </w:rPr>
        <w:t>Vlada vzela status javnega dobrega nekaterim nepremičninam v katastrskih občinah Laze in Hotič</w:t>
      </w:r>
    </w:p>
    <w:p w14:paraId="3EFAF527" w14:textId="77777777" w:rsidR="00BB0DF6" w:rsidRPr="00BB0DF6" w:rsidRDefault="00BB0DF6" w:rsidP="00BB0DF6">
      <w:pPr>
        <w:jc w:val="both"/>
        <w:rPr>
          <w:rFonts w:cs="Arial"/>
          <w:szCs w:val="20"/>
          <w:lang w:eastAsia="sl-SI"/>
        </w:rPr>
      </w:pPr>
    </w:p>
    <w:p w14:paraId="3C9BC178" w14:textId="77777777" w:rsidR="00BB0DF6" w:rsidRPr="00BB0DF6" w:rsidRDefault="00BB0DF6" w:rsidP="00BB0DF6">
      <w:pPr>
        <w:jc w:val="both"/>
        <w:rPr>
          <w:rFonts w:cs="Arial"/>
          <w:szCs w:val="20"/>
          <w:lang w:eastAsia="sl-SI"/>
        </w:rPr>
      </w:pPr>
      <w:r w:rsidRPr="00BB0DF6">
        <w:rPr>
          <w:rFonts w:cs="Arial"/>
          <w:szCs w:val="20"/>
          <w:lang w:eastAsia="sl-SI"/>
        </w:rPr>
        <w:t>Vlada je odvzela status javnega dobrega - javna železniška infrastruktura na nepremičninah v katastrskih občinah Laze in Hotič.</w:t>
      </w:r>
    </w:p>
    <w:p w14:paraId="3E59EC70" w14:textId="77777777" w:rsidR="00BB0DF6" w:rsidRPr="00BB0DF6" w:rsidRDefault="00BB0DF6" w:rsidP="00BB0DF6">
      <w:pPr>
        <w:jc w:val="both"/>
        <w:rPr>
          <w:rFonts w:cs="Arial"/>
          <w:szCs w:val="20"/>
          <w:lang w:eastAsia="sl-SI"/>
        </w:rPr>
      </w:pPr>
      <w:r w:rsidRPr="00BB0DF6">
        <w:rPr>
          <w:rFonts w:cs="Arial"/>
          <w:szCs w:val="20"/>
          <w:lang w:eastAsia="sl-SI"/>
        </w:rPr>
        <w:t>Ministrstvo za infrastrukturo na podlagi prejšnje točke izda odločbo, s katero se odvzame status javnega dobra – javna železniška infrastruktura in jo po pravnomočnosti pošlje pristojnemu organu kot predlog za vknjižbo lastninske pravice v korist Republike Slovenije.</w:t>
      </w:r>
    </w:p>
    <w:p w14:paraId="1AD06858" w14:textId="77777777" w:rsidR="00BB0DF6" w:rsidRPr="00BB0DF6" w:rsidRDefault="00BB0DF6" w:rsidP="00BB0DF6">
      <w:pPr>
        <w:jc w:val="both"/>
        <w:rPr>
          <w:rFonts w:cs="Arial"/>
          <w:szCs w:val="20"/>
          <w:lang w:eastAsia="sl-SI"/>
        </w:rPr>
      </w:pPr>
      <w:r w:rsidRPr="00BB0DF6">
        <w:rPr>
          <w:rFonts w:cs="Arial"/>
          <w:szCs w:val="20"/>
          <w:lang w:eastAsia="sl-SI"/>
        </w:rPr>
        <w:t>Po izbrisu zaznambe statusa javno dobro – javna železniška infrastruktura iz zemljiške knjige, se na kot upravljavec določi Ministrstvo za infrastrukturo.</w:t>
      </w:r>
    </w:p>
    <w:p w14:paraId="483FC1C6" w14:textId="77777777" w:rsidR="00BB0DF6" w:rsidRPr="00BB0DF6" w:rsidRDefault="00BB0DF6" w:rsidP="00BB0DF6">
      <w:pPr>
        <w:jc w:val="both"/>
        <w:rPr>
          <w:rFonts w:cs="Arial"/>
          <w:szCs w:val="20"/>
          <w:lang w:eastAsia="sl-SI"/>
        </w:rPr>
      </w:pPr>
    </w:p>
    <w:p w14:paraId="1C99FCFF" w14:textId="50F99F8C" w:rsidR="00923E78" w:rsidRPr="00BB0DF6" w:rsidRDefault="00BB0DF6" w:rsidP="00BB0DF6">
      <w:pPr>
        <w:jc w:val="both"/>
        <w:rPr>
          <w:rFonts w:cs="Arial"/>
          <w:szCs w:val="20"/>
          <w:lang w:eastAsia="sl-SI"/>
        </w:rPr>
      </w:pPr>
      <w:r w:rsidRPr="00BB0DF6">
        <w:rPr>
          <w:rFonts w:cs="Arial"/>
          <w:szCs w:val="20"/>
          <w:lang w:eastAsia="sl-SI"/>
        </w:rPr>
        <w:t>Vir: Ministrstvo za infrastrukturo</w:t>
      </w:r>
    </w:p>
    <w:p w14:paraId="5A8B83F9" w14:textId="77777777" w:rsidR="00923E78" w:rsidRPr="00BB0DF6" w:rsidRDefault="00923E78" w:rsidP="00923E78">
      <w:pPr>
        <w:jc w:val="both"/>
        <w:rPr>
          <w:rFonts w:cs="Arial"/>
          <w:szCs w:val="20"/>
          <w:lang w:eastAsia="sl-SI"/>
        </w:rPr>
      </w:pPr>
    </w:p>
    <w:p w14:paraId="3552D048" w14:textId="77777777" w:rsidR="00923E78" w:rsidRPr="00923E78" w:rsidRDefault="00923E78" w:rsidP="00923E78">
      <w:pPr>
        <w:jc w:val="both"/>
        <w:rPr>
          <w:rFonts w:cs="Arial"/>
          <w:b/>
          <w:bCs/>
          <w:szCs w:val="20"/>
          <w:lang w:eastAsia="sl-SI"/>
        </w:rPr>
      </w:pPr>
    </w:p>
    <w:p w14:paraId="450D386B" w14:textId="77777777" w:rsidR="00923E78" w:rsidRPr="00923E78" w:rsidRDefault="00923E78" w:rsidP="00923E78">
      <w:pPr>
        <w:jc w:val="both"/>
        <w:rPr>
          <w:rFonts w:cs="Arial"/>
          <w:b/>
          <w:bCs/>
          <w:szCs w:val="20"/>
          <w:lang w:eastAsia="sl-SI"/>
        </w:rPr>
      </w:pPr>
    </w:p>
    <w:p w14:paraId="273A27AE" w14:textId="77777777" w:rsidR="00923E78" w:rsidRPr="00923E78" w:rsidRDefault="00923E78" w:rsidP="00923E78">
      <w:pPr>
        <w:jc w:val="both"/>
        <w:rPr>
          <w:rFonts w:cs="Arial"/>
          <w:b/>
          <w:bCs/>
          <w:szCs w:val="20"/>
          <w:lang w:eastAsia="sl-SI"/>
        </w:rPr>
      </w:pPr>
    </w:p>
    <w:p w14:paraId="7D110AA2" w14:textId="77777777" w:rsidR="00923E78" w:rsidRPr="00923E78" w:rsidRDefault="00923E78" w:rsidP="00923E78">
      <w:pPr>
        <w:jc w:val="both"/>
        <w:rPr>
          <w:rFonts w:cs="Arial"/>
          <w:b/>
          <w:bCs/>
          <w:szCs w:val="20"/>
          <w:lang w:eastAsia="sl-SI"/>
        </w:rPr>
      </w:pPr>
    </w:p>
    <w:p w14:paraId="11D1F38C" w14:textId="77777777" w:rsidR="00923E78" w:rsidRPr="00923E78" w:rsidRDefault="00923E78" w:rsidP="00923E78">
      <w:pPr>
        <w:jc w:val="both"/>
        <w:rPr>
          <w:rFonts w:cs="Arial"/>
          <w:b/>
          <w:bCs/>
          <w:szCs w:val="20"/>
          <w:lang w:eastAsia="sl-SI"/>
        </w:rPr>
      </w:pPr>
    </w:p>
    <w:p w14:paraId="2E3B0D43" w14:textId="77777777" w:rsidR="00923E78" w:rsidRPr="00F6531B" w:rsidRDefault="00923E78" w:rsidP="00F6531B">
      <w:pPr>
        <w:jc w:val="both"/>
        <w:rPr>
          <w:rFonts w:cs="Arial"/>
          <w:b/>
          <w:bCs/>
          <w:szCs w:val="20"/>
          <w:lang w:eastAsia="sl-SI"/>
        </w:rPr>
      </w:pPr>
    </w:p>
    <w:sectPr w:rsidR="00923E78" w:rsidRPr="00F6531B"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1"/>
  </w:num>
  <w:num w:numId="8">
    <w:abstractNumId w:val="3"/>
  </w:num>
  <w:num w:numId="9">
    <w:abstractNumId w:val="2"/>
  </w:num>
  <w:num w:numId="10">
    <w:abstractNumId w:val="1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69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1FC6"/>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4B45"/>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3F2"/>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852"/>
    <w:rsid w:val="00200D4F"/>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AD7"/>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786"/>
    <w:rsid w:val="002E0BFB"/>
    <w:rsid w:val="002E0D91"/>
    <w:rsid w:val="002E17E7"/>
    <w:rsid w:val="002E1C32"/>
    <w:rsid w:val="002E21C8"/>
    <w:rsid w:val="002E3119"/>
    <w:rsid w:val="002E324F"/>
    <w:rsid w:val="002E3419"/>
    <w:rsid w:val="002E399C"/>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3AC"/>
    <w:rsid w:val="003A6625"/>
    <w:rsid w:val="003A6754"/>
    <w:rsid w:val="003A7327"/>
    <w:rsid w:val="003A74B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1C41"/>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4F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068"/>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498"/>
    <w:rsid w:val="00500DCB"/>
    <w:rsid w:val="005015EC"/>
    <w:rsid w:val="0050183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6311"/>
    <w:rsid w:val="00506587"/>
    <w:rsid w:val="00506A91"/>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5DD"/>
    <w:rsid w:val="00863B6E"/>
    <w:rsid w:val="00863D7D"/>
    <w:rsid w:val="0086411C"/>
    <w:rsid w:val="008643C8"/>
    <w:rsid w:val="0086471F"/>
    <w:rsid w:val="008649B5"/>
    <w:rsid w:val="0086511C"/>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C4E"/>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1E4"/>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4827"/>
    <w:rsid w:val="00BB4FCC"/>
    <w:rsid w:val="00BB53E3"/>
    <w:rsid w:val="00BB7742"/>
    <w:rsid w:val="00BB7D19"/>
    <w:rsid w:val="00BB7D2C"/>
    <w:rsid w:val="00BC0465"/>
    <w:rsid w:val="00BC0A5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11"/>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2615"/>
    <w:rsid w:val="00DC2EA8"/>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56DE"/>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6968</Words>
  <Characters>43030</Characters>
  <Application>Microsoft Office Word</Application>
  <DocSecurity>0</DocSecurity>
  <Lines>358</Lines>
  <Paragraphs>99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49899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62</cp:revision>
  <cp:lastPrinted>2021-05-20T13:14:00Z</cp:lastPrinted>
  <dcterms:created xsi:type="dcterms:W3CDTF">2022-05-05T09:01:00Z</dcterms:created>
  <dcterms:modified xsi:type="dcterms:W3CDTF">2022-05-05T12:33:00Z</dcterms:modified>
</cp:coreProperties>
</file>