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Pr="003A1A8F" w:rsidRDefault="00A075C0" w:rsidP="00893BAE">
      <w:pPr>
        <w:autoSpaceDE w:val="0"/>
        <w:autoSpaceDN w:val="0"/>
        <w:adjustRightInd w:val="0"/>
        <w:spacing w:line="240" w:lineRule="auto"/>
        <w:rPr>
          <w:rFonts w:cs="Arial"/>
          <w:color w:val="000000"/>
          <w:szCs w:val="20"/>
        </w:rPr>
      </w:pPr>
      <w:r w:rsidRPr="003A1A8F">
        <w:rPr>
          <w:rFonts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7101A461" w14:textId="77777777" w:rsidR="003951A6" w:rsidRDefault="003951A6" w:rsidP="00893BAE">
      <w:pPr>
        <w:autoSpaceDE w:val="0"/>
        <w:autoSpaceDN w:val="0"/>
        <w:adjustRightInd w:val="0"/>
        <w:spacing w:line="240" w:lineRule="auto"/>
        <w:jc w:val="both"/>
        <w:rPr>
          <w:rFonts w:cs="Arial"/>
          <w:b/>
          <w:bCs/>
          <w:color w:val="000000"/>
          <w:sz w:val="24"/>
          <w:lang w:eastAsia="sl-SI"/>
        </w:rPr>
      </w:pPr>
    </w:p>
    <w:p w14:paraId="68184A00" w14:textId="040FE645" w:rsidR="002D2E48" w:rsidRPr="00D43CDC" w:rsidRDefault="003A1A8F" w:rsidP="00893BAE">
      <w:pPr>
        <w:autoSpaceDE w:val="0"/>
        <w:autoSpaceDN w:val="0"/>
        <w:adjustRightInd w:val="0"/>
        <w:spacing w:line="240" w:lineRule="auto"/>
        <w:jc w:val="both"/>
        <w:rPr>
          <w:rFonts w:cs="Arial"/>
          <w:color w:val="000000"/>
          <w:sz w:val="28"/>
          <w:szCs w:val="28"/>
        </w:rPr>
      </w:pPr>
      <w:r w:rsidRPr="00D43CDC">
        <w:rPr>
          <w:rFonts w:cs="Arial"/>
          <w:b/>
          <w:bCs/>
          <w:color w:val="000000"/>
          <w:sz w:val="28"/>
          <w:szCs w:val="28"/>
          <w:lang w:eastAsia="sl-SI"/>
        </w:rPr>
        <w:t>363. dopisna seja Vlade Republike Slovenije</w:t>
      </w:r>
    </w:p>
    <w:p w14:paraId="501C02EF" w14:textId="19E9BAE9" w:rsidR="00A075C0" w:rsidRDefault="003A1A8F" w:rsidP="00893BAE">
      <w:pPr>
        <w:autoSpaceDE w:val="0"/>
        <w:autoSpaceDN w:val="0"/>
        <w:adjustRightInd w:val="0"/>
        <w:spacing w:line="240" w:lineRule="auto"/>
        <w:jc w:val="both"/>
        <w:rPr>
          <w:rFonts w:cs="Arial"/>
          <w:color w:val="000000"/>
          <w:szCs w:val="20"/>
        </w:rPr>
      </w:pPr>
      <w:r>
        <w:rPr>
          <w:rFonts w:cs="Arial"/>
          <w:color w:val="000000"/>
          <w:szCs w:val="20"/>
        </w:rPr>
        <w:t>13</w:t>
      </w:r>
      <w:r w:rsidR="001C4D83">
        <w:rPr>
          <w:rFonts w:cs="Arial"/>
          <w:color w:val="000000"/>
          <w:szCs w:val="20"/>
        </w:rPr>
        <w:t xml:space="preserve">. </w:t>
      </w:r>
      <w:r w:rsidR="005971FA">
        <w:rPr>
          <w:rFonts w:cs="Arial"/>
          <w:color w:val="000000"/>
          <w:szCs w:val="20"/>
        </w:rPr>
        <w:t>april</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4DB87386" w14:textId="59C622F4" w:rsidR="00FE762C" w:rsidRDefault="00FE762C" w:rsidP="00FE762C">
      <w:pPr>
        <w:autoSpaceDE w:val="0"/>
        <w:autoSpaceDN w:val="0"/>
        <w:adjustRightInd w:val="0"/>
        <w:spacing w:line="240" w:lineRule="auto"/>
        <w:jc w:val="both"/>
        <w:rPr>
          <w:rFonts w:cs="Arial"/>
          <w:b/>
          <w:bCs/>
          <w:color w:val="000000"/>
          <w:szCs w:val="20"/>
        </w:rPr>
      </w:pPr>
    </w:p>
    <w:p w14:paraId="3922ACE2" w14:textId="77777777" w:rsidR="003A1A8F" w:rsidRDefault="003A1A8F" w:rsidP="000C0035">
      <w:pPr>
        <w:autoSpaceDE w:val="0"/>
        <w:autoSpaceDN w:val="0"/>
        <w:adjustRightInd w:val="0"/>
        <w:spacing w:line="240" w:lineRule="auto"/>
        <w:jc w:val="both"/>
        <w:rPr>
          <w:rFonts w:cs="Arial"/>
          <w:b/>
          <w:bCs/>
          <w:color w:val="000000"/>
          <w:szCs w:val="20"/>
        </w:rPr>
      </w:pPr>
    </w:p>
    <w:p w14:paraId="2B485DEC" w14:textId="77777777" w:rsidR="00B75740" w:rsidRPr="003951A6" w:rsidRDefault="00B75740" w:rsidP="003951A6">
      <w:pPr>
        <w:autoSpaceDE w:val="0"/>
        <w:autoSpaceDN w:val="0"/>
        <w:adjustRightInd w:val="0"/>
        <w:spacing w:line="240" w:lineRule="auto"/>
        <w:ind w:right="181"/>
        <w:jc w:val="both"/>
        <w:rPr>
          <w:rFonts w:cs="Arial"/>
          <w:b/>
          <w:szCs w:val="20"/>
          <w:lang w:eastAsia="sl-SI"/>
        </w:rPr>
      </w:pPr>
      <w:r w:rsidRPr="003951A6">
        <w:rPr>
          <w:rFonts w:cs="Arial"/>
          <w:b/>
          <w:szCs w:val="20"/>
          <w:lang w:eastAsia="sl-SI"/>
        </w:rPr>
        <w:t>Vlada sprejela predlog Zakona o preprečevanju omejevanja konkurence</w:t>
      </w:r>
    </w:p>
    <w:p w14:paraId="124802D3" w14:textId="77777777" w:rsidR="00B75740" w:rsidRPr="003951A6" w:rsidRDefault="00B75740" w:rsidP="003951A6">
      <w:pPr>
        <w:autoSpaceDE w:val="0"/>
        <w:autoSpaceDN w:val="0"/>
        <w:adjustRightInd w:val="0"/>
        <w:spacing w:line="240" w:lineRule="auto"/>
        <w:ind w:right="181"/>
        <w:jc w:val="both"/>
        <w:rPr>
          <w:rFonts w:cs="Arial"/>
          <w:color w:val="000000"/>
          <w:szCs w:val="20"/>
        </w:rPr>
      </w:pPr>
    </w:p>
    <w:p w14:paraId="6FA11531" w14:textId="066F2F0D" w:rsidR="00B75740" w:rsidRPr="003951A6" w:rsidRDefault="00B75740" w:rsidP="003951A6">
      <w:pPr>
        <w:pStyle w:val="Neotevilenodstavek"/>
        <w:spacing w:before="0" w:after="0" w:line="240" w:lineRule="auto"/>
        <w:rPr>
          <w:iCs/>
          <w:sz w:val="20"/>
          <w:szCs w:val="20"/>
        </w:rPr>
      </w:pPr>
      <w:bookmarkStart w:id="0" w:name="_Hlk100779298"/>
      <w:r w:rsidRPr="003951A6">
        <w:rPr>
          <w:iCs/>
          <w:sz w:val="20"/>
          <w:szCs w:val="20"/>
        </w:rPr>
        <w:t>Vlada je določila besedilo predloga Zakona o preprečevanju omejevanja konkurence ter ga pošlje Državnemu zboru Republike Slovenije v obravnavo in sprejetje po nujnem zakonodajnem postopku.</w:t>
      </w:r>
    </w:p>
    <w:p w14:paraId="11B6F004" w14:textId="77777777" w:rsidR="00B75740" w:rsidRPr="003951A6" w:rsidRDefault="00B75740" w:rsidP="003951A6">
      <w:pPr>
        <w:autoSpaceDE w:val="0"/>
        <w:autoSpaceDN w:val="0"/>
        <w:adjustRightInd w:val="0"/>
        <w:spacing w:line="240" w:lineRule="auto"/>
        <w:jc w:val="both"/>
        <w:rPr>
          <w:rFonts w:cs="Arial"/>
          <w:b/>
          <w:szCs w:val="20"/>
        </w:rPr>
      </w:pPr>
    </w:p>
    <w:p w14:paraId="32227CA1" w14:textId="77777777" w:rsidR="00B75740" w:rsidRPr="003951A6" w:rsidRDefault="00B75740" w:rsidP="003951A6">
      <w:pPr>
        <w:spacing w:line="240" w:lineRule="auto"/>
        <w:jc w:val="both"/>
        <w:rPr>
          <w:rFonts w:eastAsia="Calibri" w:cs="Arial"/>
          <w:color w:val="000000"/>
          <w:szCs w:val="20"/>
        </w:rPr>
      </w:pPr>
      <w:r w:rsidRPr="003951A6">
        <w:rPr>
          <w:rFonts w:eastAsia="Calibri" w:cs="Arial"/>
          <w:color w:val="000000"/>
          <w:szCs w:val="20"/>
        </w:rPr>
        <w:t xml:space="preserve">Predlog Zakona o preprečevanju omejevanja konkurence (v nadaljnjem besedilu: predlog zakona) prenaša v slovenski pravni red Direktivo 2019/1 Evropskega parlamenta in Sveta z dne 11. decembra 2018 o krepitvi vloge organov držav članic, pristojnih za konkurenco, da bodo učinkoviteje uveljavljali pravila konkurence, in o zagotavljanju pravilnega delovanja notranjega trga (v nadaljnjem besedilu: Direktiva 2019/1). </w:t>
      </w:r>
    </w:p>
    <w:p w14:paraId="701408A6" w14:textId="77777777" w:rsidR="00B75740" w:rsidRPr="003951A6" w:rsidRDefault="00B75740" w:rsidP="003951A6">
      <w:pPr>
        <w:spacing w:line="240" w:lineRule="auto"/>
        <w:jc w:val="both"/>
        <w:rPr>
          <w:rFonts w:eastAsia="Calibri" w:cs="Arial"/>
          <w:color w:val="000000"/>
          <w:szCs w:val="20"/>
        </w:rPr>
      </w:pPr>
    </w:p>
    <w:bookmarkEnd w:id="0"/>
    <w:p w14:paraId="4B9CB22E" w14:textId="77777777" w:rsidR="00B75740" w:rsidRPr="003951A6" w:rsidRDefault="00B75740" w:rsidP="003951A6">
      <w:pPr>
        <w:spacing w:line="240" w:lineRule="auto"/>
        <w:jc w:val="both"/>
        <w:rPr>
          <w:rFonts w:eastAsia="Calibri" w:cs="Arial"/>
          <w:color w:val="000000"/>
          <w:szCs w:val="20"/>
        </w:rPr>
      </w:pPr>
      <w:r w:rsidRPr="003951A6">
        <w:rPr>
          <w:rFonts w:eastAsia="Calibri" w:cs="Arial"/>
          <w:color w:val="000000"/>
          <w:szCs w:val="20"/>
        </w:rPr>
        <w:t>Glavni cilj Direktive 2019/1 je zagotoviti nacionalnim organom, pristojnim za varstvo konkurence, da učinkoviteje izvajajo pravila varstva konkurence Evropske unije ter ureja minimalni nabor skupnih orodij in pooblastil za izvajanje pravil varstva konkurence, ki bodo nacionalnim organom, pristojnim za varstvo konkurence, omogočila, da bodo delovali neodvisno in nepristransko, da bodo imeli potrebne finančne in človeške vire, da bodo imeli potrebna pooblastila za pridobivanje vseh pomembnih dokazov, da bodo imeli zadostna orodja za naložitev sorazmernih in odvračilnih sankcij za kršitev pravil varstva konkurence, ter da se programi za prizanesljivost v državah članicah poenotijo.</w:t>
      </w:r>
    </w:p>
    <w:p w14:paraId="556C5B83" w14:textId="77777777" w:rsidR="00B75740" w:rsidRPr="003951A6" w:rsidRDefault="00B75740" w:rsidP="003951A6">
      <w:pPr>
        <w:spacing w:line="240" w:lineRule="auto"/>
        <w:jc w:val="both"/>
        <w:rPr>
          <w:rFonts w:eastAsia="Calibri" w:cs="Arial"/>
          <w:color w:val="000000"/>
          <w:szCs w:val="20"/>
        </w:rPr>
      </w:pPr>
    </w:p>
    <w:p w14:paraId="38FF9166" w14:textId="77777777" w:rsidR="00B75740" w:rsidRPr="003951A6" w:rsidRDefault="00B75740" w:rsidP="003951A6">
      <w:pPr>
        <w:spacing w:line="240" w:lineRule="auto"/>
        <w:jc w:val="both"/>
        <w:rPr>
          <w:rFonts w:eastAsia="Calibri" w:cs="Arial"/>
          <w:color w:val="000000"/>
          <w:szCs w:val="20"/>
        </w:rPr>
      </w:pPr>
      <w:r w:rsidRPr="003951A6">
        <w:rPr>
          <w:rFonts w:eastAsia="Calibri" w:cs="Arial"/>
          <w:color w:val="000000"/>
          <w:szCs w:val="20"/>
        </w:rPr>
        <w:t xml:space="preserve">S predlogom zakona se uvaja administrativno sankcioniranje podjetij, na podlagi katerega bo agencija, ki je pristojna za izvrševanje nadzora nad izvajanjem predloga zakona ter 101. ali 102. člena Pogodbe o delovanju Evropske unije (v nadaljnjem besedilu: agencija) izrekla administrativno sankcijo v upravnem postopku. </w:t>
      </w:r>
    </w:p>
    <w:p w14:paraId="3F79C39B" w14:textId="77777777" w:rsidR="00B75740" w:rsidRPr="003951A6" w:rsidRDefault="00B75740" w:rsidP="003951A6">
      <w:pPr>
        <w:spacing w:line="240" w:lineRule="auto"/>
        <w:jc w:val="both"/>
        <w:rPr>
          <w:rFonts w:eastAsia="Calibri" w:cs="Arial"/>
          <w:color w:val="000000"/>
          <w:szCs w:val="20"/>
        </w:rPr>
      </w:pPr>
    </w:p>
    <w:p w14:paraId="3D51EB13" w14:textId="77777777" w:rsidR="00B75740" w:rsidRPr="003951A6" w:rsidRDefault="00B75740" w:rsidP="003951A6">
      <w:pPr>
        <w:spacing w:line="240" w:lineRule="auto"/>
        <w:jc w:val="both"/>
        <w:rPr>
          <w:rFonts w:eastAsia="Calibri" w:cs="Arial"/>
          <w:szCs w:val="20"/>
        </w:rPr>
      </w:pPr>
      <w:r w:rsidRPr="003951A6">
        <w:rPr>
          <w:rFonts w:eastAsia="Calibri" w:cs="Arial"/>
          <w:color w:val="000000"/>
          <w:szCs w:val="20"/>
        </w:rPr>
        <w:t xml:space="preserve">To pomeni, da </w:t>
      </w:r>
      <w:r w:rsidRPr="003951A6">
        <w:rPr>
          <w:rFonts w:eastAsia="Calibri" w:cs="Arial"/>
          <w:szCs w:val="20"/>
        </w:rPr>
        <w:t xml:space="preserve">agencija za kršitve določb predloga zakona ali 101. ali 102. člena PDEU, ki jih bodo izvršila podjetja, ne bo več vodila </w:t>
      </w:r>
      <w:proofErr w:type="spellStart"/>
      <w:r w:rsidRPr="003951A6">
        <w:rPr>
          <w:rFonts w:eastAsia="Calibri" w:cs="Arial"/>
          <w:szCs w:val="20"/>
        </w:rPr>
        <w:t>prekrškovnih</w:t>
      </w:r>
      <w:proofErr w:type="spellEnd"/>
      <w:r w:rsidRPr="003951A6">
        <w:rPr>
          <w:rFonts w:eastAsia="Calibri" w:cs="Arial"/>
          <w:szCs w:val="20"/>
        </w:rPr>
        <w:t xml:space="preserve"> postopkov, temveč le en postopek, to je upravni postopek, v katerem bo ugotavljala obstoj kršitve določb predloga zakona ali 101. ali 102. člena PDEU in v primeru ugotovitve obstoja kršitve v istem postopku bo stranki tudi naložila plačilo administrativne sankcije. Ker bo agencija zoper podjetje vodila le en postopek, bo podjetje v primeru ne strinjanja z odločitvijo agencije vložilo pravno sredstvo zoper eno odločbo. </w:t>
      </w:r>
    </w:p>
    <w:p w14:paraId="0AB4029C" w14:textId="77777777" w:rsidR="00B75740" w:rsidRPr="003951A6" w:rsidRDefault="00B75740" w:rsidP="003951A6">
      <w:pPr>
        <w:spacing w:line="240" w:lineRule="auto"/>
        <w:jc w:val="both"/>
        <w:rPr>
          <w:rFonts w:eastAsia="Calibri" w:cs="Arial"/>
          <w:color w:val="000000"/>
          <w:szCs w:val="20"/>
        </w:rPr>
      </w:pPr>
    </w:p>
    <w:p w14:paraId="36D4D1D2" w14:textId="77777777" w:rsidR="00B75740" w:rsidRPr="003951A6" w:rsidRDefault="00B75740" w:rsidP="003951A6">
      <w:pPr>
        <w:spacing w:line="240" w:lineRule="auto"/>
        <w:jc w:val="both"/>
        <w:rPr>
          <w:rFonts w:eastAsia="Calibri" w:cs="Arial"/>
          <w:color w:val="000000"/>
          <w:szCs w:val="20"/>
        </w:rPr>
      </w:pPr>
      <w:r w:rsidRPr="003951A6">
        <w:rPr>
          <w:rFonts w:eastAsia="Calibri" w:cs="Arial"/>
          <w:color w:val="000000"/>
          <w:szCs w:val="20"/>
        </w:rPr>
        <w:t>S prenosom direktive in z izboljšanjem postopka sankcioniranja se želi zagotoviti učinkovitejšo in večjo konkurenco med podjetji, kar ima koristi ne samo za podjetja, ampak tudi za potrošnike, saj imajo z večjo konkurenco večjo izbiro in boljše proizvode.</w:t>
      </w:r>
    </w:p>
    <w:p w14:paraId="1D823324" w14:textId="77777777" w:rsidR="00B75740" w:rsidRPr="003951A6" w:rsidRDefault="00B75740" w:rsidP="003951A6">
      <w:pPr>
        <w:spacing w:line="240" w:lineRule="auto"/>
        <w:jc w:val="both"/>
        <w:rPr>
          <w:rFonts w:eastAsia="Calibri" w:cs="Arial"/>
          <w:color w:val="000000"/>
          <w:szCs w:val="20"/>
        </w:rPr>
      </w:pPr>
    </w:p>
    <w:p w14:paraId="26F0BB5B" w14:textId="77777777" w:rsidR="00B75740" w:rsidRPr="003951A6" w:rsidRDefault="00B75740" w:rsidP="003951A6">
      <w:pPr>
        <w:spacing w:line="240" w:lineRule="auto"/>
        <w:jc w:val="both"/>
        <w:rPr>
          <w:rFonts w:cs="Arial"/>
          <w:szCs w:val="20"/>
        </w:rPr>
      </w:pPr>
      <w:r w:rsidRPr="003951A6">
        <w:rPr>
          <w:rFonts w:cs="Arial"/>
          <w:szCs w:val="20"/>
        </w:rPr>
        <w:t xml:space="preserve">Obravnavo zakona po  nujnem postopku  se predlaga zaradi zamude pri prenosu </w:t>
      </w:r>
      <w:r w:rsidRPr="003951A6">
        <w:rPr>
          <w:rFonts w:eastAsia="Calibri" w:cs="Arial"/>
          <w:color w:val="000000"/>
          <w:szCs w:val="20"/>
        </w:rPr>
        <w:t>Direktive 2019/1</w:t>
      </w:r>
      <w:r w:rsidRPr="003951A6">
        <w:rPr>
          <w:rFonts w:cs="Arial"/>
          <w:szCs w:val="20"/>
        </w:rPr>
        <w:t xml:space="preserve"> zaradi česar je Slovenija dne 19. 3. 2021 že prejela uradni opomin Evropske komisije zaradi </w:t>
      </w:r>
      <w:proofErr w:type="spellStart"/>
      <w:r w:rsidRPr="003951A6">
        <w:rPr>
          <w:rFonts w:cs="Arial"/>
          <w:szCs w:val="20"/>
        </w:rPr>
        <w:t>nenotifikacije</w:t>
      </w:r>
      <w:proofErr w:type="spellEnd"/>
      <w:r w:rsidRPr="003951A6">
        <w:rPr>
          <w:rFonts w:cs="Arial"/>
          <w:szCs w:val="20"/>
        </w:rPr>
        <w:t xml:space="preserve"> predpisov. Rok za prenos </w:t>
      </w:r>
      <w:r w:rsidRPr="003951A6">
        <w:rPr>
          <w:rFonts w:eastAsia="Calibri" w:cs="Arial"/>
          <w:color w:val="000000"/>
          <w:szCs w:val="20"/>
        </w:rPr>
        <w:t>Direktive 2019/1</w:t>
      </w:r>
      <w:r w:rsidRPr="003951A6">
        <w:rPr>
          <w:rFonts w:cs="Arial"/>
          <w:szCs w:val="20"/>
        </w:rPr>
        <w:t xml:space="preserve">se je iztekel  4. 2. 2021, v primeru prenosa po razpisanih volitvah v Državni zbor, pa Sloveniji grozi izrek denarne kazni. </w:t>
      </w:r>
    </w:p>
    <w:p w14:paraId="7C504C46" w14:textId="77777777" w:rsidR="00B75740" w:rsidRPr="003951A6" w:rsidRDefault="00B75740" w:rsidP="003951A6">
      <w:pPr>
        <w:spacing w:line="240" w:lineRule="auto"/>
        <w:jc w:val="both"/>
        <w:rPr>
          <w:rFonts w:cs="Arial"/>
          <w:szCs w:val="20"/>
        </w:rPr>
      </w:pPr>
    </w:p>
    <w:p w14:paraId="2F8B1ECE" w14:textId="77777777" w:rsidR="00B75740" w:rsidRPr="003951A6" w:rsidRDefault="00B75740" w:rsidP="003951A6">
      <w:pPr>
        <w:spacing w:line="240" w:lineRule="auto"/>
        <w:jc w:val="both"/>
        <w:rPr>
          <w:rFonts w:cs="Arial"/>
          <w:szCs w:val="20"/>
        </w:rPr>
      </w:pPr>
      <w:r w:rsidRPr="003951A6">
        <w:rPr>
          <w:rFonts w:cs="Arial"/>
          <w:szCs w:val="20"/>
        </w:rPr>
        <w:t>Razlog zamude je nesprejetje Zakona o Javni agenciji Republike Slovenije za trg, varnost prometa in potrošnike in Javni agenciji Republike Slovenije za finančne trge,  s katerim je bil predviden delni prenos direktive in dolgotrajno usklajevanje zaradi uvedbe administrativnega sankcioniranja podjetij.</w:t>
      </w:r>
    </w:p>
    <w:p w14:paraId="0729849B" w14:textId="77777777" w:rsidR="00B75740" w:rsidRPr="003951A6" w:rsidRDefault="00B75740" w:rsidP="003951A6">
      <w:pPr>
        <w:autoSpaceDE w:val="0"/>
        <w:autoSpaceDN w:val="0"/>
        <w:adjustRightInd w:val="0"/>
        <w:spacing w:line="240" w:lineRule="auto"/>
        <w:ind w:right="181"/>
        <w:jc w:val="both"/>
        <w:rPr>
          <w:rFonts w:cs="Arial"/>
          <w:szCs w:val="20"/>
        </w:rPr>
      </w:pPr>
    </w:p>
    <w:p w14:paraId="5ED0D186" w14:textId="325565D4" w:rsidR="00B75740" w:rsidRDefault="00B75740" w:rsidP="003951A6">
      <w:pPr>
        <w:autoSpaceDE w:val="0"/>
        <w:autoSpaceDN w:val="0"/>
        <w:adjustRightInd w:val="0"/>
        <w:spacing w:line="240" w:lineRule="auto"/>
        <w:ind w:right="181"/>
        <w:jc w:val="both"/>
        <w:rPr>
          <w:rFonts w:cs="Arial"/>
          <w:szCs w:val="20"/>
        </w:rPr>
      </w:pPr>
      <w:r w:rsidRPr="003951A6">
        <w:rPr>
          <w:rFonts w:cs="Arial"/>
          <w:szCs w:val="20"/>
        </w:rPr>
        <w:t>Vir: M</w:t>
      </w:r>
      <w:r w:rsidR="003951A6">
        <w:rPr>
          <w:rFonts w:cs="Arial"/>
          <w:szCs w:val="20"/>
        </w:rPr>
        <w:t>inistrstvo za gospodarski razvoj in tehnologijo</w:t>
      </w:r>
    </w:p>
    <w:p w14:paraId="11304691" w14:textId="77777777" w:rsidR="003951A6" w:rsidRPr="003951A6" w:rsidRDefault="003951A6" w:rsidP="003951A6">
      <w:pPr>
        <w:autoSpaceDE w:val="0"/>
        <w:autoSpaceDN w:val="0"/>
        <w:adjustRightInd w:val="0"/>
        <w:spacing w:line="240" w:lineRule="auto"/>
        <w:ind w:right="181"/>
        <w:jc w:val="both"/>
        <w:rPr>
          <w:rFonts w:cs="Arial"/>
          <w:szCs w:val="20"/>
        </w:rPr>
      </w:pPr>
    </w:p>
    <w:p w14:paraId="2137CC6D" w14:textId="43441569" w:rsidR="00112D27" w:rsidRPr="003951A6" w:rsidRDefault="00112D27" w:rsidP="003951A6">
      <w:pPr>
        <w:autoSpaceDE w:val="0"/>
        <w:autoSpaceDN w:val="0"/>
        <w:adjustRightInd w:val="0"/>
        <w:spacing w:line="240" w:lineRule="auto"/>
        <w:jc w:val="both"/>
        <w:rPr>
          <w:rFonts w:cs="Arial"/>
          <w:b/>
          <w:bCs/>
          <w:color w:val="000000"/>
          <w:szCs w:val="20"/>
        </w:rPr>
      </w:pPr>
    </w:p>
    <w:p w14:paraId="53DE4BBC" w14:textId="77777777" w:rsidR="003951A6" w:rsidRDefault="003951A6" w:rsidP="003951A6">
      <w:pPr>
        <w:spacing w:line="240" w:lineRule="auto"/>
        <w:jc w:val="both"/>
        <w:rPr>
          <w:rFonts w:cs="Arial"/>
          <w:b/>
          <w:bCs/>
          <w:color w:val="000000"/>
          <w:szCs w:val="20"/>
          <w:lang w:eastAsia="sl-SI"/>
        </w:rPr>
      </w:pPr>
    </w:p>
    <w:p w14:paraId="457AC3FF" w14:textId="670C09BB" w:rsidR="00B75740" w:rsidRPr="003951A6" w:rsidRDefault="00B75740" w:rsidP="003951A6">
      <w:pPr>
        <w:spacing w:line="240" w:lineRule="auto"/>
        <w:jc w:val="both"/>
        <w:rPr>
          <w:rFonts w:cs="Arial"/>
          <w:b/>
          <w:bCs/>
          <w:color w:val="000000"/>
          <w:szCs w:val="20"/>
          <w:lang w:eastAsia="sl-SI"/>
        </w:rPr>
      </w:pPr>
      <w:bookmarkStart w:id="1" w:name="_Hlk100779438"/>
      <w:r w:rsidRPr="003951A6">
        <w:rPr>
          <w:rFonts w:cs="Arial"/>
          <w:b/>
          <w:bCs/>
          <w:color w:val="000000"/>
          <w:szCs w:val="20"/>
          <w:lang w:eastAsia="sl-SI"/>
        </w:rPr>
        <w:lastRenderedPageBreak/>
        <w:t xml:space="preserve">Uredba o ocenjevanju in urejanju hrupa v okolju </w:t>
      </w:r>
    </w:p>
    <w:bookmarkEnd w:id="1"/>
    <w:p w14:paraId="11BDDB31" w14:textId="77777777" w:rsidR="00B75740" w:rsidRPr="003951A6" w:rsidRDefault="00B75740" w:rsidP="003951A6">
      <w:pPr>
        <w:spacing w:line="240" w:lineRule="auto"/>
        <w:jc w:val="both"/>
        <w:rPr>
          <w:rFonts w:cs="Arial"/>
          <w:b/>
          <w:bCs/>
          <w:color w:val="000000"/>
          <w:szCs w:val="20"/>
          <w:lang w:eastAsia="sl-SI"/>
        </w:rPr>
      </w:pPr>
    </w:p>
    <w:p w14:paraId="3B8E9A34" w14:textId="120C4E5B" w:rsidR="00B75740" w:rsidRDefault="00B75740" w:rsidP="003951A6">
      <w:pPr>
        <w:spacing w:line="240" w:lineRule="auto"/>
        <w:jc w:val="both"/>
        <w:rPr>
          <w:rFonts w:cs="Arial"/>
          <w:szCs w:val="20"/>
        </w:rPr>
      </w:pPr>
      <w:r w:rsidRPr="003951A6">
        <w:rPr>
          <w:rFonts w:cs="Arial"/>
          <w:szCs w:val="20"/>
        </w:rPr>
        <w:t xml:space="preserve">Vlada je izdala Uredbo o spremembah Uredbe o ocenjevanju in urejanju hrupa v okolju. </w:t>
      </w:r>
    </w:p>
    <w:p w14:paraId="7D26B17A" w14:textId="77777777" w:rsidR="003951A6" w:rsidRPr="003951A6" w:rsidRDefault="003951A6" w:rsidP="003951A6">
      <w:pPr>
        <w:spacing w:line="240" w:lineRule="auto"/>
        <w:jc w:val="both"/>
        <w:rPr>
          <w:rFonts w:cs="Arial"/>
          <w:szCs w:val="20"/>
        </w:rPr>
      </w:pPr>
    </w:p>
    <w:p w14:paraId="68BE8798" w14:textId="50738CE8" w:rsidR="00B75740" w:rsidRDefault="00B75740" w:rsidP="003951A6">
      <w:pPr>
        <w:spacing w:line="240" w:lineRule="auto"/>
        <w:jc w:val="both"/>
        <w:rPr>
          <w:rFonts w:cs="Arial"/>
          <w:szCs w:val="20"/>
        </w:rPr>
      </w:pPr>
      <w:r w:rsidRPr="003951A6">
        <w:rPr>
          <w:rFonts w:cs="Arial"/>
          <w:szCs w:val="20"/>
        </w:rPr>
        <w:t xml:space="preserve">S spremembo uredbe se bo v pravni red Republike Slovenije prenesla Delegirana direktiva Komisije (EU) 2021/1226 z dne 21. decembra 2020 o spremembi Priloge II k Direktivi 2002/49/ES Evropskega parlamenta in Sveta glede skupnih metod ocenjevanja hrupa zaradi prilagoditve znanstvenemu in tehničnemu napredku in Direktivo Komisije (EU) 2020/367 z dne 4. marca 2020 o spremembi Priloge III k Direktivi 2002/49/ES Evropskega parlamenta in Sveta v zvezi z določitvijo metod ocenjevanja škodljivih učinkov </w:t>
      </w:r>
      <w:proofErr w:type="spellStart"/>
      <w:r w:rsidRPr="003951A6">
        <w:rPr>
          <w:rFonts w:cs="Arial"/>
          <w:szCs w:val="20"/>
        </w:rPr>
        <w:t>okoljskega</w:t>
      </w:r>
      <w:proofErr w:type="spellEnd"/>
      <w:r w:rsidRPr="003951A6">
        <w:rPr>
          <w:rFonts w:cs="Arial"/>
          <w:szCs w:val="20"/>
        </w:rPr>
        <w:t xml:space="preserve"> hrupa.</w:t>
      </w:r>
    </w:p>
    <w:p w14:paraId="7BF17638" w14:textId="77777777" w:rsidR="003951A6" w:rsidRPr="003951A6" w:rsidRDefault="003951A6" w:rsidP="003951A6">
      <w:pPr>
        <w:spacing w:line="240" w:lineRule="auto"/>
        <w:jc w:val="both"/>
        <w:rPr>
          <w:rFonts w:cs="Arial"/>
          <w:szCs w:val="20"/>
        </w:rPr>
      </w:pPr>
    </w:p>
    <w:p w14:paraId="7064AFBA" w14:textId="79514FA8" w:rsidR="00B75740" w:rsidRDefault="00B75740" w:rsidP="003951A6">
      <w:pPr>
        <w:tabs>
          <w:tab w:val="left" w:pos="708"/>
        </w:tabs>
        <w:spacing w:line="240" w:lineRule="auto"/>
        <w:ind w:right="-7"/>
        <w:jc w:val="both"/>
        <w:rPr>
          <w:rFonts w:cs="Arial"/>
          <w:szCs w:val="20"/>
        </w:rPr>
      </w:pPr>
      <w:r w:rsidRPr="003951A6">
        <w:rPr>
          <w:rFonts w:cs="Arial"/>
          <w:szCs w:val="20"/>
        </w:rPr>
        <w:t xml:space="preserve">Priloga II k Direktivi 2002/49/ES določa skupne metode ocenjevanja, ki jih morajo države članice uporabljati za informacije o </w:t>
      </w:r>
      <w:proofErr w:type="spellStart"/>
      <w:r w:rsidRPr="003951A6">
        <w:rPr>
          <w:rFonts w:cs="Arial"/>
          <w:szCs w:val="20"/>
        </w:rPr>
        <w:t>okoljskem</w:t>
      </w:r>
      <w:proofErr w:type="spellEnd"/>
      <w:r w:rsidRPr="003951A6">
        <w:rPr>
          <w:rFonts w:cs="Arial"/>
          <w:szCs w:val="20"/>
        </w:rPr>
        <w:t xml:space="preserve"> hrupu in njegovih učinkih na zdravje, zlasti za kartiranje hrupa, in sprejemanje operativnih programov na podlagi rezultatov kartiranja hrupa. V prilogi II so določene potrebne prilagoditve skupnih metod ocenjevanja, ki vključujejo pojasnitev formul za izračun širjenja hrupa, prilagoditev preglednic najnovejšemu znanju in izboljšave v opisu korakov izračunov. To vpliva na izračun hrupa cestnega prometa, hrupa železniškega prometa, industrijskega hrupa in hrupa zrakoplovov. Priloga II je bila spremenjena zaradi prilagoditve tehničnemu in znanstvenem napredku.</w:t>
      </w:r>
    </w:p>
    <w:p w14:paraId="3F69D00D" w14:textId="77777777" w:rsidR="003951A6" w:rsidRPr="003951A6" w:rsidRDefault="003951A6" w:rsidP="003951A6">
      <w:pPr>
        <w:tabs>
          <w:tab w:val="left" w:pos="708"/>
        </w:tabs>
        <w:spacing w:line="240" w:lineRule="auto"/>
        <w:ind w:right="-7"/>
        <w:jc w:val="both"/>
        <w:rPr>
          <w:rFonts w:cs="Arial"/>
          <w:szCs w:val="20"/>
        </w:rPr>
      </w:pPr>
    </w:p>
    <w:p w14:paraId="61B666C8" w14:textId="77777777" w:rsidR="00B75740" w:rsidRPr="003951A6" w:rsidRDefault="00B75740" w:rsidP="003951A6">
      <w:pPr>
        <w:autoSpaceDE w:val="0"/>
        <w:autoSpaceDN w:val="0"/>
        <w:adjustRightInd w:val="0"/>
        <w:spacing w:line="240" w:lineRule="auto"/>
        <w:jc w:val="both"/>
        <w:rPr>
          <w:rFonts w:cs="Arial"/>
          <w:color w:val="FF0000"/>
          <w:szCs w:val="20"/>
        </w:rPr>
      </w:pPr>
      <w:r w:rsidRPr="003951A6">
        <w:rPr>
          <w:rFonts w:cs="Arial"/>
          <w:szCs w:val="20"/>
        </w:rPr>
        <w:t xml:space="preserve">Priloga III k Direktivi 2002/49/ES se nanaša na razmerja med odmerkom in učinkom, ki jih je treba uvesti s prilagoditvami navedene priloge tehničnemu in znanstvenemu napredku. Ob sprejetju te direktive so razpoložljive visokokakovostne in statistično značilne informacije izhajale iz smernic Svetovne zdravstvene organizacije (SZO) o </w:t>
      </w:r>
      <w:proofErr w:type="spellStart"/>
      <w:r w:rsidRPr="003951A6">
        <w:rPr>
          <w:rFonts w:cs="Arial"/>
          <w:szCs w:val="20"/>
        </w:rPr>
        <w:t>okoljskem</w:t>
      </w:r>
      <w:proofErr w:type="spellEnd"/>
      <w:r w:rsidRPr="003951A6">
        <w:rPr>
          <w:rFonts w:cs="Arial"/>
          <w:szCs w:val="20"/>
        </w:rPr>
        <w:t xml:space="preserve"> hrupu za evropsko regijo, ki opredeljujejo razmerja med odmerkom in učinkom za škodljive učinke izpostavljenosti </w:t>
      </w:r>
      <w:proofErr w:type="spellStart"/>
      <w:r w:rsidRPr="003951A6">
        <w:rPr>
          <w:rFonts w:cs="Arial"/>
          <w:szCs w:val="20"/>
        </w:rPr>
        <w:t>okoljskemu</w:t>
      </w:r>
      <w:proofErr w:type="spellEnd"/>
      <w:r w:rsidRPr="003951A6">
        <w:rPr>
          <w:rFonts w:cs="Arial"/>
          <w:szCs w:val="20"/>
        </w:rPr>
        <w:t xml:space="preserve"> hrupu. Z uporabo smernice SZO so določene formule, za izračun in oceno škodljivih učinkov za ishemične bolezni srca, veliko motnjo  in veliko motnjo spanca (HSD).</w:t>
      </w:r>
    </w:p>
    <w:p w14:paraId="2D91FC5F" w14:textId="77777777" w:rsidR="00B75740" w:rsidRPr="003951A6" w:rsidRDefault="00B75740" w:rsidP="003951A6">
      <w:pPr>
        <w:spacing w:line="240" w:lineRule="auto"/>
        <w:jc w:val="both"/>
        <w:rPr>
          <w:rFonts w:cs="Arial"/>
          <w:i/>
          <w:iCs/>
          <w:szCs w:val="20"/>
        </w:rPr>
      </w:pPr>
    </w:p>
    <w:p w14:paraId="3CC03BDB" w14:textId="5B46167A" w:rsidR="00B75740" w:rsidRPr="003951A6" w:rsidRDefault="00B75740" w:rsidP="003951A6">
      <w:pPr>
        <w:autoSpaceDE w:val="0"/>
        <w:autoSpaceDN w:val="0"/>
        <w:adjustRightInd w:val="0"/>
        <w:spacing w:line="240" w:lineRule="auto"/>
        <w:jc w:val="both"/>
        <w:rPr>
          <w:rFonts w:cs="Arial"/>
          <w:color w:val="000000"/>
          <w:szCs w:val="20"/>
        </w:rPr>
      </w:pPr>
      <w:r w:rsidRPr="003951A6">
        <w:rPr>
          <w:rFonts w:cs="Arial"/>
          <w:color w:val="000000"/>
          <w:szCs w:val="20"/>
        </w:rPr>
        <w:t>Vir: Ministrstvo za okolje in prostor</w:t>
      </w:r>
    </w:p>
    <w:p w14:paraId="2AD93883" w14:textId="6A59CC89" w:rsidR="00965BD2" w:rsidRPr="003951A6" w:rsidRDefault="00965BD2" w:rsidP="003951A6">
      <w:pPr>
        <w:autoSpaceDE w:val="0"/>
        <w:autoSpaceDN w:val="0"/>
        <w:adjustRightInd w:val="0"/>
        <w:spacing w:line="240" w:lineRule="auto"/>
        <w:jc w:val="both"/>
        <w:rPr>
          <w:rFonts w:cs="Arial"/>
          <w:b/>
          <w:bCs/>
          <w:color w:val="000000"/>
          <w:szCs w:val="20"/>
        </w:rPr>
      </w:pPr>
    </w:p>
    <w:p w14:paraId="2053B515" w14:textId="77777777" w:rsidR="005634B6" w:rsidRPr="003951A6" w:rsidRDefault="005634B6" w:rsidP="003951A6">
      <w:pPr>
        <w:spacing w:line="240" w:lineRule="auto"/>
        <w:jc w:val="both"/>
        <w:rPr>
          <w:rFonts w:cs="Arial"/>
          <w:b/>
          <w:bCs/>
          <w:szCs w:val="20"/>
        </w:rPr>
      </w:pPr>
    </w:p>
    <w:p w14:paraId="28B18BC4" w14:textId="77777777" w:rsidR="004F0BBD" w:rsidRDefault="004F0BBD" w:rsidP="004F0BBD">
      <w:pPr>
        <w:spacing w:line="240" w:lineRule="auto"/>
        <w:jc w:val="both"/>
        <w:rPr>
          <w:rFonts w:cs="Arial"/>
          <w:b/>
          <w:szCs w:val="20"/>
        </w:rPr>
      </w:pPr>
      <w:r>
        <w:rPr>
          <w:rFonts w:cs="Arial"/>
          <w:b/>
          <w:szCs w:val="20"/>
        </w:rPr>
        <w:t xml:space="preserve">Uredba </w:t>
      </w:r>
      <w:r w:rsidRPr="00783C5E">
        <w:rPr>
          <w:rFonts w:cs="Arial"/>
          <w:b/>
          <w:szCs w:val="20"/>
        </w:rPr>
        <w:t>o spremembah in dopolnitvah Ured</w:t>
      </w:r>
      <w:r>
        <w:rPr>
          <w:rFonts w:cs="Arial"/>
          <w:b/>
          <w:szCs w:val="20"/>
        </w:rPr>
        <w:t>be o shemah neposrednih plačil</w:t>
      </w:r>
    </w:p>
    <w:p w14:paraId="3E4B9C8B" w14:textId="77777777" w:rsidR="004F0BBD" w:rsidRPr="00783C5E" w:rsidRDefault="004F0BBD" w:rsidP="004F0BBD">
      <w:pPr>
        <w:spacing w:line="240" w:lineRule="auto"/>
        <w:jc w:val="center"/>
        <w:rPr>
          <w:rFonts w:cs="Arial"/>
          <w:b/>
          <w:szCs w:val="20"/>
        </w:rPr>
      </w:pPr>
    </w:p>
    <w:p w14:paraId="301A718D" w14:textId="76C53F13" w:rsidR="004F0BBD" w:rsidRDefault="004F0BBD" w:rsidP="004F0BBD">
      <w:pPr>
        <w:spacing w:line="240" w:lineRule="auto"/>
        <w:jc w:val="both"/>
        <w:rPr>
          <w:rFonts w:cs="Arial"/>
          <w:szCs w:val="20"/>
        </w:rPr>
      </w:pPr>
      <w:r w:rsidRPr="00AC72CD">
        <w:rPr>
          <w:rFonts w:cs="Arial"/>
          <w:szCs w:val="20"/>
        </w:rPr>
        <w:t xml:space="preserve">Vlada je </w:t>
      </w:r>
      <w:r w:rsidRPr="00783C5E">
        <w:rPr>
          <w:rFonts w:cs="Arial"/>
          <w:szCs w:val="20"/>
        </w:rPr>
        <w:t>izdala Uredbo o spremembah in dopolnitvah Uredbe o shemah neposrednih plačil, ki se objavi v Uradnem listu.</w:t>
      </w:r>
    </w:p>
    <w:p w14:paraId="0182FC01" w14:textId="77777777" w:rsidR="004F0BBD" w:rsidRDefault="004F0BBD" w:rsidP="004F0BBD">
      <w:pPr>
        <w:spacing w:line="240" w:lineRule="auto"/>
        <w:jc w:val="both"/>
        <w:rPr>
          <w:rFonts w:cs="Arial"/>
          <w:szCs w:val="20"/>
        </w:rPr>
      </w:pPr>
    </w:p>
    <w:p w14:paraId="190A544F" w14:textId="77777777" w:rsidR="004F0BBD" w:rsidRPr="00783C5E" w:rsidRDefault="004F0BBD" w:rsidP="004F0BBD">
      <w:pPr>
        <w:autoSpaceDE w:val="0"/>
        <w:autoSpaceDN w:val="0"/>
        <w:adjustRightInd w:val="0"/>
        <w:spacing w:line="240" w:lineRule="auto"/>
        <w:jc w:val="both"/>
        <w:rPr>
          <w:rFonts w:cs="Arial"/>
          <w:szCs w:val="20"/>
        </w:rPr>
      </w:pPr>
      <w:r w:rsidRPr="00783C5E">
        <w:rPr>
          <w:rFonts w:cs="Arial"/>
          <w:szCs w:val="20"/>
        </w:rPr>
        <w:t>V</w:t>
      </w:r>
      <w:r>
        <w:rPr>
          <w:rFonts w:cs="Arial"/>
          <w:szCs w:val="20"/>
        </w:rPr>
        <w:t xml:space="preserve">ojna v Ukrajini je </w:t>
      </w:r>
      <w:r w:rsidRPr="00783C5E">
        <w:rPr>
          <w:rFonts w:cs="Arial"/>
          <w:szCs w:val="20"/>
        </w:rPr>
        <w:t xml:space="preserve">povzročila strm porast cen blaga, vpliva pa tudi na ponudbo kmetijskih proizvodov in povpraševanje po njih. </w:t>
      </w:r>
      <w:r>
        <w:rPr>
          <w:rFonts w:cs="Arial"/>
          <w:szCs w:val="20"/>
        </w:rPr>
        <w:t xml:space="preserve">Evropska komisija </w:t>
      </w:r>
      <w:r w:rsidRPr="00783C5E">
        <w:rPr>
          <w:rFonts w:cs="Arial"/>
          <w:color w:val="000000"/>
          <w:szCs w:val="20"/>
          <w:lang w:eastAsia="sl-SI"/>
        </w:rPr>
        <w:t>je za povečanje potenciala kmetijske proizvodnje Evropske unije</w:t>
      </w:r>
      <w:r>
        <w:rPr>
          <w:rFonts w:cs="Arial"/>
          <w:color w:val="000000"/>
          <w:szCs w:val="20"/>
          <w:lang w:eastAsia="sl-SI"/>
        </w:rPr>
        <w:t xml:space="preserve"> </w:t>
      </w:r>
      <w:r w:rsidRPr="00783C5E">
        <w:rPr>
          <w:rFonts w:cs="Arial"/>
          <w:color w:val="000000"/>
          <w:szCs w:val="20"/>
          <w:lang w:eastAsia="sl-SI"/>
        </w:rPr>
        <w:t xml:space="preserve">za preskrbo s hrano in krmo sprejela določene odstope za </w:t>
      </w:r>
      <w:r w:rsidRPr="00783C5E">
        <w:rPr>
          <w:rFonts w:cs="Arial"/>
          <w:szCs w:val="20"/>
        </w:rPr>
        <w:t xml:space="preserve">plačilo za zeleno komponento, ki veljajo samo za zbirno vlogo za leto 2022. </w:t>
      </w:r>
    </w:p>
    <w:p w14:paraId="3C51190B" w14:textId="77777777" w:rsidR="004F0BBD" w:rsidRPr="00783C5E" w:rsidRDefault="004F0BBD" w:rsidP="004F0BBD">
      <w:pPr>
        <w:autoSpaceDE w:val="0"/>
        <w:autoSpaceDN w:val="0"/>
        <w:adjustRightInd w:val="0"/>
        <w:spacing w:line="240" w:lineRule="auto"/>
        <w:jc w:val="both"/>
        <w:rPr>
          <w:rFonts w:cs="Arial"/>
          <w:szCs w:val="20"/>
        </w:rPr>
      </w:pPr>
    </w:p>
    <w:p w14:paraId="0E3A7EC6" w14:textId="77777777" w:rsidR="004F0BBD" w:rsidRPr="00783C5E" w:rsidRDefault="004F0BBD" w:rsidP="004F0BBD">
      <w:pPr>
        <w:autoSpaceDE w:val="0"/>
        <w:autoSpaceDN w:val="0"/>
        <w:adjustRightInd w:val="0"/>
        <w:spacing w:line="240" w:lineRule="auto"/>
        <w:jc w:val="both"/>
        <w:rPr>
          <w:rFonts w:cs="Arial"/>
          <w:szCs w:val="20"/>
        </w:rPr>
      </w:pPr>
      <w:r w:rsidRPr="00783C5E">
        <w:rPr>
          <w:rFonts w:cs="Arial"/>
          <w:szCs w:val="20"/>
        </w:rPr>
        <w:t xml:space="preserve">Uredba o shemah neposrednih plačil se spreminja zaradi: </w:t>
      </w:r>
    </w:p>
    <w:p w14:paraId="751E1D89" w14:textId="77777777" w:rsidR="004F0BBD" w:rsidRPr="00783C5E" w:rsidRDefault="004F0BBD" w:rsidP="004F0BBD">
      <w:pPr>
        <w:pStyle w:val="Odstavekseznama"/>
        <w:numPr>
          <w:ilvl w:val="0"/>
          <w:numId w:val="25"/>
        </w:numPr>
        <w:tabs>
          <w:tab w:val="left" w:pos="1334"/>
        </w:tabs>
        <w:spacing w:line="240" w:lineRule="auto"/>
        <w:jc w:val="both"/>
        <w:rPr>
          <w:rFonts w:cs="Arial"/>
          <w:color w:val="000000"/>
          <w:szCs w:val="20"/>
          <w:lang w:eastAsia="sl-SI"/>
        </w:rPr>
      </w:pPr>
      <w:r w:rsidRPr="00783C5E">
        <w:rPr>
          <w:rFonts w:cs="Arial"/>
          <w:szCs w:val="20"/>
          <w:lang w:eastAsia="x-none"/>
        </w:rPr>
        <w:t>Izvedbenega sklepa Komisije 2022/484/EU</w:t>
      </w:r>
      <w:r w:rsidRPr="00783C5E">
        <w:rPr>
          <w:rFonts w:cs="Arial"/>
          <w:szCs w:val="20"/>
        </w:rPr>
        <w:t>,  ki omogoča odstopanje od uredb, ki urejajo skupno kmetijsko politiko na način, da se za zbirno vlogo za leto 2022 v okviru kmetijske prakse »div</w:t>
      </w:r>
      <w:r>
        <w:rPr>
          <w:rFonts w:cs="Arial"/>
          <w:szCs w:val="20"/>
        </w:rPr>
        <w:t>erzifikacija kmetijskih rastlin«</w:t>
      </w:r>
      <w:r w:rsidRPr="00783C5E">
        <w:rPr>
          <w:rFonts w:cs="Arial"/>
          <w:szCs w:val="20"/>
        </w:rPr>
        <w:t xml:space="preserve"> </w:t>
      </w:r>
      <w:r w:rsidRPr="00783C5E">
        <w:rPr>
          <w:rFonts w:cs="Arial"/>
          <w:szCs w:val="20"/>
          <w:lang w:eastAsia="x-none"/>
        </w:rPr>
        <w:t xml:space="preserve">zemljišče v prahi šteje za različno kmetijsko rastlino, čeprav </w:t>
      </w:r>
      <w:r w:rsidRPr="00783C5E">
        <w:rPr>
          <w:rFonts w:cs="Arial"/>
          <w:szCs w:val="20"/>
        </w:rPr>
        <w:t>je bila površina uporabljena za pašo, požeta za namene kmetijske proizvodnje ali je bila obdelana</w:t>
      </w:r>
      <w:r>
        <w:rPr>
          <w:rFonts w:cs="Arial"/>
          <w:color w:val="000000"/>
          <w:szCs w:val="20"/>
          <w:lang w:eastAsia="sl-SI"/>
        </w:rPr>
        <w:t>;</w:t>
      </w:r>
    </w:p>
    <w:p w14:paraId="1F600609" w14:textId="77777777" w:rsidR="004F0BBD" w:rsidRPr="00783C5E" w:rsidRDefault="004F0BBD" w:rsidP="004F0BBD">
      <w:pPr>
        <w:tabs>
          <w:tab w:val="left" w:pos="1334"/>
        </w:tabs>
        <w:spacing w:line="240" w:lineRule="auto"/>
        <w:jc w:val="both"/>
        <w:rPr>
          <w:rFonts w:cs="Arial"/>
          <w:szCs w:val="20"/>
        </w:rPr>
      </w:pPr>
    </w:p>
    <w:p w14:paraId="41D44516" w14:textId="77777777" w:rsidR="004F0BBD" w:rsidRPr="00783C5E" w:rsidRDefault="004F0BBD" w:rsidP="004F0BBD">
      <w:pPr>
        <w:pStyle w:val="Odstavekseznama"/>
        <w:numPr>
          <w:ilvl w:val="0"/>
          <w:numId w:val="25"/>
        </w:numPr>
        <w:spacing w:line="240" w:lineRule="auto"/>
        <w:jc w:val="both"/>
        <w:rPr>
          <w:rFonts w:cs="Arial"/>
          <w:szCs w:val="20"/>
        </w:rPr>
      </w:pPr>
      <w:r>
        <w:rPr>
          <w:rFonts w:cs="Arial"/>
          <w:szCs w:val="20"/>
          <w:lang w:eastAsia="x-none"/>
        </w:rPr>
        <w:t>i</w:t>
      </w:r>
      <w:r w:rsidRPr="00783C5E">
        <w:rPr>
          <w:rFonts w:cs="Arial"/>
          <w:szCs w:val="20"/>
          <w:lang w:eastAsia="x-none"/>
        </w:rPr>
        <w:t>zvedbenega sklepa Komisije 2022/484/EU</w:t>
      </w:r>
      <w:r w:rsidRPr="00783C5E">
        <w:rPr>
          <w:rFonts w:cs="Arial"/>
          <w:szCs w:val="20"/>
        </w:rPr>
        <w:t xml:space="preserve">, ki omogoča odstopanje od uredb, ki urejajo skupno kmetijsko politiko na način, da se za zbirno vlogo za leto 2022 v okviru kmetijske prakse »površine z ekološkim pomenom« </w:t>
      </w:r>
      <w:r w:rsidRPr="00783C5E">
        <w:rPr>
          <w:rFonts w:cs="Arial"/>
          <w:szCs w:val="20"/>
          <w:lang w:eastAsia="sl-SI"/>
        </w:rPr>
        <w:t xml:space="preserve">zemljišče v prahi šteje za površino z ekološkim pomenom, </w:t>
      </w:r>
      <w:r w:rsidRPr="00783C5E">
        <w:rPr>
          <w:rFonts w:cs="Arial"/>
          <w:szCs w:val="20"/>
        </w:rPr>
        <w:t xml:space="preserve">čeprav je bilo uporabljeno za pašo ali požeto za namene kmetijske proizvodnje ali je bilo obdelano. Na teh površinah je dovoljena uporaba fitofarmacevtskih sredstev. </w:t>
      </w:r>
      <w:r w:rsidRPr="00783C5E">
        <w:rPr>
          <w:rFonts w:cs="Arial"/>
          <w:color w:val="000000"/>
          <w:szCs w:val="20"/>
          <w:shd w:val="clear" w:color="auto" w:fill="FFFFFF"/>
        </w:rPr>
        <w:t> </w:t>
      </w:r>
    </w:p>
    <w:p w14:paraId="076B3137" w14:textId="77777777" w:rsidR="004F0BBD" w:rsidRDefault="004F0BBD" w:rsidP="004F0BBD">
      <w:pPr>
        <w:spacing w:line="240" w:lineRule="auto"/>
        <w:jc w:val="both"/>
        <w:rPr>
          <w:rFonts w:cs="Arial"/>
          <w:szCs w:val="20"/>
        </w:rPr>
      </w:pPr>
    </w:p>
    <w:p w14:paraId="4CB93834" w14:textId="6F1CD4FE" w:rsidR="004F0BBD" w:rsidRPr="004F0BBD" w:rsidRDefault="004F0BBD" w:rsidP="003951A6">
      <w:pPr>
        <w:spacing w:line="240" w:lineRule="auto"/>
        <w:jc w:val="both"/>
        <w:rPr>
          <w:rFonts w:cs="Arial"/>
          <w:bCs/>
          <w:color w:val="000000"/>
          <w:szCs w:val="20"/>
        </w:rPr>
      </w:pPr>
      <w:r w:rsidRPr="004F0BBD">
        <w:rPr>
          <w:rFonts w:cs="Arial"/>
          <w:bCs/>
          <w:color w:val="000000"/>
          <w:szCs w:val="20"/>
        </w:rPr>
        <w:t>Vir: Ministrstvo za kmetijstvo, gozdarstvo in prehrano</w:t>
      </w:r>
    </w:p>
    <w:p w14:paraId="467D5B54" w14:textId="77777777" w:rsidR="004F0BBD" w:rsidRDefault="004F0BBD" w:rsidP="003951A6">
      <w:pPr>
        <w:spacing w:line="240" w:lineRule="auto"/>
        <w:jc w:val="both"/>
        <w:rPr>
          <w:rFonts w:cs="Arial"/>
          <w:b/>
          <w:color w:val="000000"/>
          <w:szCs w:val="20"/>
        </w:rPr>
      </w:pPr>
    </w:p>
    <w:p w14:paraId="04400FFA" w14:textId="0811AAA6" w:rsidR="004F0BBD" w:rsidRDefault="004F0BBD" w:rsidP="003951A6">
      <w:pPr>
        <w:spacing w:line="240" w:lineRule="auto"/>
        <w:jc w:val="both"/>
        <w:rPr>
          <w:rFonts w:cs="Arial"/>
          <w:b/>
          <w:color w:val="000000"/>
          <w:szCs w:val="20"/>
        </w:rPr>
      </w:pPr>
    </w:p>
    <w:p w14:paraId="28CC67C4" w14:textId="77777777" w:rsidR="004F0BBD" w:rsidRDefault="004F0BBD" w:rsidP="003951A6">
      <w:pPr>
        <w:spacing w:line="240" w:lineRule="auto"/>
        <w:jc w:val="both"/>
        <w:rPr>
          <w:rFonts w:cs="Arial"/>
          <w:b/>
          <w:color w:val="000000"/>
          <w:szCs w:val="20"/>
        </w:rPr>
      </w:pPr>
    </w:p>
    <w:p w14:paraId="5DDEC366" w14:textId="522583D9" w:rsidR="005634B6" w:rsidRPr="003951A6" w:rsidRDefault="005634B6" w:rsidP="003951A6">
      <w:pPr>
        <w:spacing w:line="240" w:lineRule="auto"/>
        <w:jc w:val="both"/>
        <w:rPr>
          <w:rFonts w:cs="Arial"/>
          <w:b/>
          <w:color w:val="000000"/>
          <w:szCs w:val="20"/>
        </w:rPr>
      </w:pPr>
      <w:r w:rsidRPr="003951A6">
        <w:rPr>
          <w:rFonts w:cs="Arial"/>
          <w:b/>
          <w:color w:val="000000"/>
          <w:szCs w:val="20"/>
        </w:rPr>
        <w:lastRenderedPageBreak/>
        <w:t xml:space="preserve">Vlada izdala Odlok o spremembah Odloka o začasnih ukrepih za preprečevanje in </w:t>
      </w:r>
      <w:bookmarkStart w:id="2" w:name="_Hlk100779369"/>
      <w:r w:rsidRPr="003951A6">
        <w:rPr>
          <w:rFonts w:cs="Arial"/>
          <w:b/>
          <w:color w:val="000000"/>
          <w:szCs w:val="20"/>
        </w:rPr>
        <w:t>obvladovanje okužb z nalezljivo boleznijo COVID-19</w:t>
      </w:r>
    </w:p>
    <w:p w14:paraId="45FB0AFA" w14:textId="77777777" w:rsidR="005634B6" w:rsidRPr="003951A6" w:rsidRDefault="005634B6" w:rsidP="003951A6">
      <w:pPr>
        <w:spacing w:line="240" w:lineRule="auto"/>
        <w:jc w:val="both"/>
        <w:rPr>
          <w:rFonts w:cs="Arial"/>
          <w:b/>
          <w:szCs w:val="20"/>
          <w:lang w:eastAsia="sl-SI"/>
        </w:rPr>
      </w:pPr>
    </w:p>
    <w:p w14:paraId="4AE0FA60" w14:textId="77777777" w:rsidR="005634B6" w:rsidRPr="003951A6" w:rsidRDefault="005634B6" w:rsidP="003951A6">
      <w:pPr>
        <w:spacing w:line="240" w:lineRule="auto"/>
        <w:jc w:val="both"/>
        <w:rPr>
          <w:rFonts w:cs="Arial"/>
          <w:szCs w:val="20"/>
        </w:rPr>
      </w:pPr>
      <w:r w:rsidRPr="003951A6">
        <w:rPr>
          <w:rFonts w:cs="Arial"/>
          <w:szCs w:val="20"/>
        </w:rPr>
        <w:t xml:space="preserve">Vlada je določila obvezno uporabo zaščitnih mask le še na področju zdravstvene dejavnosti in pri tistih izvajalcih socialno varstvene dejavnosti, ki izvajajo nastanitev. Določa tudi prenehanje ukrepa vzdrževanja medosebne razdalje in prenehanje ukrepa izpolnjevanja pogoja PCT v zavodih za prestajanje kazni zapora in prevzgojnih domovih.  </w:t>
      </w:r>
    </w:p>
    <w:bookmarkEnd w:id="2"/>
    <w:p w14:paraId="33F221BF" w14:textId="77777777" w:rsidR="005634B6" w:rsidRPr="003951A6" w:rsidRDefault="005634B6" w:rsidP="003951A6">
      <w:pPr>
        <w:spacing w:line="240" w:lineRule="auto"/>
        <w:jc w:val="both"/>
        <w:rPr>
          <w:rFonts w:cs="Arial"/>
          <w:szCs w:val="20"/>
        </w:rPr>
      </w:pPr>
    </w:p>
    <w:p w14:paraId="6B05734D" w14:textId="77777777" w:rsidR="005634B6" w:rsidRPr="003951A6" w:rsidRDefault="005634B6" w:rsidP="003951A6">
      <w:pPr>
        <w:spacing w:line="240" w:lineRule="auto"/>
        <w:jc w:val="both"/>
        <w:rPr>
          <w:rFonts w:cs="Arial"/>
          <w:szCs w:val="20"/>
        </w:rPr>
      </w:pPr>
      <w:r w:rsidRPr="003951A6">
        <w:rPr>
          <w:rFonts w:cs="Arial"/>
          <w:szCs w:val="20"/>
        </w:rPr>
        <w:t>Sproščanje ukrepov je podprla Strokovna svetovalna skupina ministra za zdravje za zajezitev in obvladovanje epidemije COVID-19 (Strokovna skupina), ki je v zapisniku dne 11. 4. 2022 navedla, da je zaradi vodilne covid-19 diagnoze v slovenskih bolnišnicah v intenzivnih terapijah že več kot 7 dni zaporedoma hospitaliziranih manj kot 35 pacientov.</w:t>
      </w:r>
    </w:p>
    <w:p w14:paraId="4B2545C9" w14:textId="77777777" w:rsidR="005634B6" w:rsidRPr="003951A6" w:rsidRDefault="005634B6" w:rsidP="003951A6">
      <w:pPr>
        <w:spacing w:line="240" w:lineRule="auto"/>
        <w:jc w:val="both"/>
        <w:rPr>
          <w:rFonts w:cs="Arial"/>
          <w:szCs w:val="20"/>
        </w:rPr>
      </w:pPr>
    </w:p>
    <w:p w14:paraId="6FF310C0" w14:textId="4FF1EDA9" w:rsidR="005634B6" w:rsidRPr="003951A6" w:rsidRDefault="005634B6" w:rsidP="003951A6">
      <w:pPr>
        <w:spacing w:line="240" w:lineRule="auto"/>
        <w:jc w:val="both"/>
        <w:rPr>
          <w:rFonts w:cs="Arial"/>
          <w:szCs w:val="20"/>
        </w:rPr>
      </w:pPr>
      <w:r w:rsidRPr="003951A6">
        <w:rPr>
          <w:rFonts w:cs="Arial"/>
          <w:szCs w:val="20"/>
        </w:rPr>
        <w:t>To je bil kriterij Strokovne skupine glede sproščanja ukrepa uporabe zaščitnih obraznih mask.</w:t>
      </w:r>
      <w:r w:rsidR="0072535A">
        <w:rPr>
          <w:rFonts w:cs="Arial"/>
          <w:szCs w:val="20"/>
        </w:rPr>
        <w:t xml:space="preserve"> </w:t>
      </w:r>
      <w:r w:rsidRPr="003951A6">
        <w:rPr>
          <w:rFonts w:cs="Arial"/>
          <w:szCs w:val="20"/>
        </w:rPr>
        <w:t xml:space="preserve">Skupina je zato predlagala, </w:t>
      </w:r>
      <w:bookmarkStart w:id="3" w:name="_Hlk100779405"/>
      <w:r w:rsidRPr="003951A6">
        <w:rPr>
          <w:rFonts w:cs="Arial"/>
          <w:szCs w:val="20"/>
        </w:rPr>
        <w:t>da zaščitne obrazne maske v zaprtih javnih prostorih ostajajo kot priporočilo,</w:t>
      </w:r>
      <w:bookmarkEnd w:id="3"/>
      <w:r w:rsidRPr="003951A6">
        <w:rPr>
          <w:rFonts w:cs="Arial"/>
          <w:szCs w:val="20"/>
        </w:rPr>
        <w:t xml:space="preserve"> niso pa več obvezne. V primeru, da ni možno zagotavljati medosebne varnostne razdalje 1,5 metra v zaprtih javnih prostorih, Strokovna skupina priporoča nošenje zaščitnih obraznih mask. Izjeme pri tem so zdravstvene ustanove, </w:t>
      </w:r>
      <w:r w:rsidR="0072535A">
        <w:rPr>
          <w:rFonts w:cs="Arial"/>
          <w:szCs w:val="20"/>
        </w:rPr>
        <w:t>domovi starejših občanov (DSO) ter socialno-varstveni zavodi (SVZ),</w:t>
      </w:r>
      <w:r w:rsidRPr="003951A6">
        <w:rPr>
          <w:rFonts w:cs="Arial"/>
          <w:szCs w:val="20"/>
        </w:rPr>
        <w:t xml:space="preserve"> kjer Strokovna skupina predlaga, da se obvezno nošenje zaščitnih obraznih mask ohrani. Še naprej predlagajo ohranitev izpolnjevanja pogoja PCT za zaposlene, uporabnike in obiskovalce zdravstvenih ustanov, DSO-jev, SVZ-jev, to pa po njihovem mnenju ni več potrebno v zavodih za prestajanje kazni, zaporih in prevzgojnih domovih. Vlada je priporočila Strokovne skupine upoštevala.</w:t>
      </w:r>
    </w:p>
    <w:p w14:paraId="5AD682B2" w14:textId="77777777" w:rsidR="005634B6" w:rsidRPr="003951A6" w:rsidRDefault="005634B6" w:rsidP="003951A6">
      <w:pPr>
        <w:spacing w:line="240" w:lineRule="auto"/>
        <w:jc w:val="both"/>
        <w:rPr>
          <w:rFonts w:cs="Arial"/>
          <w:szCs w:val="20"/>
        </w:rPr>
      </w:pPr>
    </w:p>
    <w:p w14:paraId="7260C4B2" w14:textId="77777777" w:rsidR="005634B6" w:rsidRPr="003951A6" w:rsidRDefault="005634B6" w:rsidP="003951A6">
      <w:pPr>
        <w:spacing w:line="240" w:lineRule="auto"/>
        <w:jc w:val="both"/>
        <w:rPr>
          <w:rFonts w:cs="Arial"/>
          <w:bCs/>
          <w:szCs w:val="20"/>
          <w:lang w:eastAsia="sl-SI"/>
        </w:rPr>
      </w:pPr>
      <w:r w:rsidRPr="003951A6">
        <w:rPr>
          <w:rFonts w:cs="Arial"/>
          <w:bCs/>
          <w:szCs w:val="20"/>
          <w:lang w:eastAsia="sl-SI"/>
        </w:rPr>
        <w:t xml:space="preserve">Odlok začne veljati naslednji dan po objavi v Uradnem listu Republike Slovenije.  </w:t>
      </w:r>
    </w:p>
    <w:p w14:paraId="0566DF4C" w14:textId="77777777" w:rsidR="005634B6" w:rsidRPr="003951A6" w:rsidRDefault="005634B6" w:rsidP="003951A6">
      <w:pPr>
        <w:spacing w:line="240" w:lineRule="auto"/>
        <w:jc w:val="both"/>
        <w:rPr>
          <w:rFonts w:cs="Arial"/>
          <w:bCs/>
          <w:szCs w:val="20"/>
          <w:lang w:eastAsia="sl-SI"/>
        </w:rPr>
      </w:pPr>
    </w:p>
    <w:p w14:paraId="04F53D61" w14:textId="17B04FFB" w:rsidR="005634B6" w:rsidRPr="0072535A" w:rsidRDefault="005634B6" w:rsidP="003951A6">
      <w:pPr>
        <w:spacing w:line="240" w:lineRule="auto"/>
        <w:jc w:val="both"/>
        <w:rPr>
          <w:rFonts w:cs="Arial"/>
          <w:szCs w:val="20"/>
        </w:rPr>
      </w:pPr>
      <w:r w:rsidRPr="0072535A">
        <w:rPr>
          <w:rFonts w:cs="Arial"/>
          <w:szCs w:val="20"/>
        </w:rPr>
        <w:t>Vir: Ministrstvo za zdravje</w:t>
      </w:r>
    </w:p>
    <w:p w14:paraId="55468C36" w14:textId="77777777" w:rsidR="0072535A" w:rsidRDefault="0072535A" w:rsidP="003951A6">
      <w:pPr>
        <w:spacing w:line="240" w:lineRule="auto"/>
        <w:jc w:val="both"/>
        <w:rPr>
          <w:rFonts w:cs="Arial"/>
          <w:b/>
          <w:bCs/>
          <w:szCs w:val="20"/>
        </w:rPr>
      </w:pPr>
    </w:p>
    <w:p w14:paraId="03D3D4AB" w14:textId="77777777" w:rsidR="004F0BBD" w:rsidRDefault="004F0BBD" w:rsidP="003951A6">
      <w:pPr>
        <w:spacing w:line="240" w:lineRule="auto"/>
        <w:jc w:val="both"/>
        <w:rPr>
          <w:rFonts w:cs="Arial"/>
          <w:b/>
          <w:bCs/>
          <w:szCs w:val="20"/>
        </w:rPr>
      </w:pPr>
    </w:p>
    <w:p w14:paraId="5866F245" w14:textId="44B58C4A" w:rsidR="00965BD2" w:rsidRPr="00965BD2" w:rsidRDefault="00965BD2" w:rsidP="003951A6">
      <w:pPr>
        <w:spacing w:line="240" w:lineRule="auto"/>
        <w:jc w:val="both"/>
        <w:rPr>
          <w:rFonts w:cs="Arial"/>
          <w:b/>
          <w:bCs/>
          <w:szCs w:val="20"/>
        </w:rPr>
      </w:pPr>
      <w:r w:rsidRPr="00965BD2">
        <w:rPr>
          <w:rFonts w:cs="Arial"/>
          <w:b/>
          <w:bCs/>
          <w:szCs w:val="20"/>
        </w:rPr>
        <w:t xml:space="preserve">Odlok o razglasitvi Grobišča Barbara rov v Hudi Jami za kulturni spomenik državnega pomena </w:t>
      </w:r>
    </w:p>
    <w:p w14:paraId="00692985" w14:textId="77777777" w:rsidR="00965BD2" w:rsidRPr="00965BD2" w:rsidRDefault="00965BD2" w:rsidP="003951A6">
      <w:pPr>
        <w:spacing w:line="240" w:lineRule="auto"/>
        <w:jc w:val="both"/>
        <w:rPr>
          <w:rFonts w:cs="Arial"/>
          <w:b/>
          <w:bCs/>
          <w:szCs w:val="20"/>
        </w:rPr>
      </w:pPr>
    </w:p>
    <w:p w14:paraId="5D6A8EBC" w14:textId="77777777" w:rsidR="00965BD2" w:rsidRPr="00965BD2" w:rsidRDefault="00965BD2" w:rsidP="003951A6">
      <w:pPr>
        <w:spacing w:line="240" w:lineRule="auto"/>
        <w:jc w:val="both"/>
        <w:rPr>
          <w:rFonts w:cs="Arial"/>
          <w:szCs w:val="20"/>
        </w:rPr>
      </w:pPr>
      <w:bookmarkStart w:id="4" w:name="_Hlk100779427"/>
      <w:r w:rsidRPr="00965BD2">
        <w:rPr>
          <w:rFonts w:cs="Arial"/>
          <w:szCs w:val="20"/>
        </w:rPr>
        <w:t>Vlada je na današnji seji izdala Odlok o razglasitvi Grobišča Barbara rov v Hudi Jami za kulturni spomenik državnega pomena.</w:t>
      </w:r>
    </w:p>
    <w:bookmarkEnd w:id="4"/>
    <w:p w14:paraId="5BF29DB6" w14:textId="77777777" w:rsidR="00965BD2" w:rsidRPr="00965BD2" w:rsidRDefault="00965BD2" w:rsidP="003951A6">
      <w:pPr>
        <w:spacing w:line="240" w:lineRule="auto"/>
        <w:jc w:val="both"/>
        <w:rPr>
          <w:rFonts w:cs="Arial"/>
          <w:szCs w:val="20"/>
        </w:rPr>
      </w:pPr>
    </w:p>
    <w:p w14:paraId="05992810" w14:textId="77777777" w:rsidR="00965BD2" w:rsidRPr="00965BD2" w:rsidRDefault="00965BD2" w:rsidP="003951A6">
      <w:pPr>
        <w:spacing w:line="240" w:lineRule="auto"/>
        <w:jc w:val="both"/>
        <w:rPr>
          <w:rFonts w:cs="Arial"/>
          <w:szCs w:val="20"/>
        </w:rPr>
      </w:pPr>
      <w:r w:rsidRPr="00965BD2">
        <w:rPr>
          <w:rFonts w:cs="Arial"/>
          <w:szCs w:val="20"/>
        </w:rPr>
        <w:t>Opuščeni del nekdanjega rudnika rjavega premoga, ki je deloval med letoma 1902 in 1942, je avtentični prostor, kjer so maja in junija 1945 usmrtili najmanj 1410 žrtev, večinoma pripadnikov vojaških sil NDH, domobrancev in civilistov. Obsega prostor pred vhodom v rov, vhod v obliki rekonstruiranega portala z napisom in letnicama delovanja, več kot 350-metrski rov, vklesan v kamnit masiv hriba, ki se po 300 metrih odcepi v desni krak, ki vodi v prostor nekdanje strojnice Barbara, in nadaljuje v rov t. i. kostnice, kjer so bili ob raziskavah začasno hranjeni posmrtni ostanki žrtev. Po 320 metrih se osrednji vhodni rov odcepi v levi krak, dolg približno 400 metrov, kjer so na polovici dejansko usmrtili žrtve in jih z več lesenimi in betonskimi pregradami zazidali. Kljub odstranitvi pregrad v fazi odkrivanja in raziskovanja ostankov žrtev so ostaline pregrad še vidne, prav tako vse strukturne sestavine nekdanjega rudnika razen tehnične opreme, ki je bila že pred časom odstranjena. Posmrtni ostanki žrtev so pokopani v spominskem parku Dobrava pri Mariboru. Vhod v rov je bil 2021 rekonstruiran v stanje iz leta 1920.</w:t>
      </w:r>
    </w:p>
    <w:p w14:paraId="5FA2923A" w14:textId="77777777" w:rsidR="00965BD2" w:rsidRPr="00965BD2" w:rsidRDefault="00965BD2" w:rsidP="003951A6">
      <w:pPr>
        <w:spacing w:line="240" w:lineRule="auto"/>
        <w:jc w:val="both"/>
        <w:rPr>
          <w:rFonts w:cs="Arial"/>
          <w:szCs w:val="20"/>
        </w:rPr>
      </w:pPr>
    </w:p>
    <w:p w14:paraId="12088089" w14:textId="0DF1A348" w:rsidR="00965BD2" w:rsidRPr="0072535A" w:rsidRDefault="00965BD2" w:rsidP="003951A6">
      <w:pPr>
        <w:autoSpaceDE w:val="0"/>
        <w:autoSpaceDN w:val="0"/>
        <w:adjustRightInd w:val="0"/>
        <w:spacing w:line="240" w:lineRule="auto"/>
        <w:jc w:val="both"/>
        <w:rPr>
          <w:rFonts w:cs="Arial"/>
          <w:color w:val="000000"/>
          <w:szCs w:val="20"/>
        </w:rPr>
      </w:pPr>
      <w:r w:rsidRPr="0072535A">
        <w:rPr>
          <w:rFonts w:cs="Arial"/>
          <w:color w:val="000000"/>
          <w:szCs w:val="20"/>
        </w:rPr>
        <w:t>Vir: Ministrstvo za kulturo</w:t>
      </w:r>
    </w:p>
    <w:p w14:paraId="0A11BD8D" w14:textId="65A18D22" w:rsidR="00965BD2" w:rsidRPr="003951A6" w:rsidRDefault="00965BD2" w:rsidP="003951A6">
      <w:pPr>
        <w:autoSpaceDE w:val="0"/>
        <w:autoSpaceDN w:val="0"/>
        <w:adjustRightInd w:val="0"/>
        <w:spacing w:line="240" w:lineRule="auto"/>
        <w:jc w:val="both"/>
        <w:rPr>
          <w:rFonts w:cs="Arial"/>
          <w:b/>
          <w:bCs/>
          <w:color w:val="000000"/>
          <w:szCs w:val="20"/>
        </w:rPr>
      </w:pPr>
    </w:p>
    <w:p w14:paraId="0C98C3A9" w14:textId="77777777" w:rsidR="0072535A" w:rsidRDefault="0072535A" w:rsidP="003951A6">
      <w:pPr>
        <w:spacing w:line="240" w:lineRule="auto"/>
        <w:jc w:val="both"/>
        <w:rPr>
          <w:rFonts w:cs="Arial"/>
          <w:b/>
          <w:bCs/>
          <w:szCs w:val="20"/>
        </w:rPr>
      </w:pPr>
    </w:p>
    <w:p w14:paraId="2ACCD2AE" w14:textId="0E7DD673" w:rsidR="00965BD2" w:rsidRPr="00965BD2" w:rsidRDefault="00965BD2" w:rsidP="003951A6">
      <w:pPr>
        <w:spacing w:line="240" w:lineRule="auto"/>
        <w:jc w:val="both"/>
        <w:rPr>
          <w:rFonts w:cs="Arial"/>
          <w:b/>
          <w:bCs/>
          <w:szCs w:val="20"/>
        </w:rPr>
      </w:pPr>
      <w:r w:rsidRPr="00965BD2">
        <w:rPr>
          <w:rFonts w:cs="Arial"/>
          <w:b/>
          <w:bCs/>
          <w:szCs w:val="20"/>
        </w:rPr>
        <w:t xml:space="preserve">Sklep o spremembah Sklepa o ustanovitvi javnega zavoda Prirodoslovni muzej Slovenije </w:t>
      </w:r>
    </w:p>
    <w:p w14:paraId="0EBB3328" w14:textId="77777777" w:rsidR="00965BD2" w:rsidRPr="00965BD2" w:rsidRDefault="00965BD2" w:rsidP="003951A6">
      <w:pPr>
        <w:spacing w:line="240" w:lineRule="auto"/>
        <w:jc w:val="both"/>
        <w:rPr>
          <w:rFonts w:cs="Arial"/>
          <w:b/>
          <w:bCs/>
          <w:szCs w:val="20"/>
        </w:rPr>
      </w:pPr>
    </w:p>
    <w:p w14:paraId="3EA6461F" w14:textId="77777777" w:rsidR="00965BD2" w:rsidRPr="00965BD2" w:rsidRDefault="00965BD2" w:rsidP="003951A6">
      <w:pPr>
        <w:spacing w:line="240" w:lineRule="auto"/>
        <w:jc w:val="both"/>
        <w:rPr>
          <w:rFonts w:cs="Arial"/>
          <w:szCs w:val="20"/>
        </w:rPr>
      </w:pPr>
      <w:r w:rsidRPr="00965BD2">
        <w:rPr>
          <w:rFonts w:cs="Arial"/>
          <w:szCs w:val="20"/>
        </w:rPr>
        <w:t>Vlada je na današnji seji sprejela Sklep o spremembah Sklepa o ustanovitvi javnega zavoda Prirodoslovni muzej Slovenije.</w:t>
      </w:r>
    </w:p>
    <w:p w14:paraId="0BDCDCC5" w14:textId="77777777" w:rsidR="00965BD2" w:rsidRPr="00965BD2" w:rsidRDefault="00965BD2" w:rsidP="003951A6">
      <w:pPr>
        <w:spacing w:line="240" w:lineRule="auto"/>
        <w:jc w:val="both"/>
        <w:rPr>
          <w:rFonts w:cs="Arial"/>
          <w:szCs w:val="20"/>
        </w:rPr>
      </w:pPr>
    </w:p>
    <w:p w14:paraId="330E2C50" w14:textId="77777777" w:rsidR="00965BD2" w:rsidRPr="00965BD2" w:rsidRDefault="00965BD2" w:rsidP="003951A6">
      <w:pPr>
        <w:spacing w:line="240" w:lineRule="auto"/>
        <w:jc w:val="both"/>
        <w:rPr>
          <w:rFonts w:cs="Arial"/>
          <w:szCs w:val="20"/>
        </w:rPr>
      </w:pPr>
      <w:r w:rsidRPr="00965BD2">
        <w:rPr>
          <w:rFonts w:cs="Arial"/>
          <w:szCs w:val="20"/>
        </w:rPr>
        <w:t xml:space="preserve">S predlogom sklepa se spreminja člen, ki določa pogoje za direktorja javnega zavoda. Predlaga se razširitev izpolnjevanja pogoja izobrazbe, in sicer tako, da je pogoj vezan samo na stopnjo izobrazbe in ne več na smer izobrazbe. Prav tako se črta pogoj poznavanje področja dela muzeja. V skladu z drugim odstavkom 36. člena ZUJIK je za direktorja javnega zavoda lahko imenovan </w:t>
      </w:r>
      <w:r w:rsidRPr="00965BD2">
        <w:rPr>
          <w:rFonts w:cs="Arial"/>
          <w:szCs w:val="20"/>
        </w:rPr>
        <w:lastRenderedPageBreak/>
        <w:t>tudi, kdor ima vodstvene izkušnje, v primeru da ima javni zavod v skladu z drugim odstavkom 33. člena ZUJIK za vodenje strokovnega dela pomočnika direktorja. Direktor Prirodoslovnega muzeja Slovenije ima lahko v skladu s Sklepom o ustanovitvi javnega zavoda Prirodoslovni muzej Slovenije med drugim tudi pomočnika za področje strokovnega dela, zato po oceni predlagatelja tudi ni potrebno, da ima direktor izobrazbo ene izmed strok, zastopanih v dejavnosti muzeja, prav tako pa ne, da izpolnjuje pogoj poznavanja področja dela muzeja. Spreminja se tudi zastarela terminologija glede znanja tujih jezikov. Zaradi spremembe pogojev za direktorja javnega zavoda se s predlogom sklepa določa tudi, da mora direktor, v primeru da nima strokovnega poznavanja področja dela javnega zavoda, imeti pomočnika direktorja za področje strokovnega dela javnega zavoda.</w:t>
      </w:r>
    </w:p>
    <w:p w14:paraId="465A3F38" w14:textId="77777777" w:rsidR="0072535A" w:rsidRDefault="0072535A" w:rsidP="003951A6">
      <w:pPr>
        <w:autoSpaceDE w:val="0"/>
        <w:autoSpaceDN w:val="0"/>
        <w:adjustRightInd w:val="0"/>
        <w:spacing w:line="240" w:lineRule="auto"/>
        <w:jc w:val="both"/>
        <w:rPr>
          <w:rFonts w:cs="Arial"/>
          <w:b/>
          <w:bCs/>
          <w:color w:val="000000"/>
          <w:szCs w:val="20"/>
        </w:rPr>
      </w:pPr>
    </w:p>
    <w:p w14:paraId="6059B580" w14:textId="5B96E19E" w:rsidR="00965BD2" w:rsidRPr="0072535A" w:rsidRDefault="00965BD2" w:rsidP="003951A6">
      <w:pPr>
        <w:autoSpaceDE w:val="0"/>
        <w:autoSpaceDN w:val="0"/>
        <w:adjustRightInd w:val="0"/>
        <w:spacing w:line="240" w:lineRule="auto"/>
        <w:jc w:val="both"/>
        <w:rPr>
          <w:rFonts w:cs="Arial"/>
          <w:color w:val="000000"/>
          <w:szCs w:val="20"/>
        </w:rPr>
      </w:pPr>
      <w:r w:rsidRPr="0072535A">
        <w:rPr>
          <w:rFonts w:cs="Arial"/>
          <w:color w:val="000000"/>
          <w:szCs w:val="20"/>
        </w:rPr>
        <w:t>Vir: Ministrstvo za kulturo</w:t>
      </w:r>
    </w:p>
    <w:p w14:paraId="41C6BC20" w14:textId="77777777" w:rsidR="00965BD2" w:rsidRPr="00965BD2" w:rsidRDefault="00965BD2" w:rsidP="003951A6">
      <w:pPr>
        <w:spacing w:line="240" w:lineRule="auto"/>
        <w:jc w:val="both"/>
        <w:rPr>
          <w:rFonts w:cs="Arial"/>
          <w:b/>
          <w:bCs/>
          <w:szCs w:val="20"/>
        </w:rPr>
      </w:pPr>
    </w:p>
    <w:p w14:paraId="25F63C61" w14:textId="727729E8" w:rsidR="00B75740" w:rsidRPr="003951A6" w:rsidRDefault="00B75740" w:rsidP="003951A6">
      <w:pPr>
        <w:autoSpaceDE w:val="0"/>
        <w:autoSpaceDN w:val="0"/>
        <w:adjustRightInd w:val="0"/>
        <w:spacing w:line="240" w:lineRule="auto"/>
        <w:jc w:val="both"/>
        <w:rPr>
          <w:rFonts w:cs="Arial"/>
          <w:b/>
          <w:bCs/>
          <w:color w:val="000000"/>
          <w:szCs w:val="20"/>
        </w:rPr>
      </w:pPr>
    </w:p>
    <w:p w14:paraId="73F89301" w14:textId="77777777" w:rsidR="00B75740" w:rsidRPr="003951A6" w:rsidRDefault="00B75740" w:rsidP="003951A6">
      <w:pPr>
        <w:overflowPunct w:val="0"/>
        <w:autoSpaceDE w:val="0"/>
        <w:autoSpaceDN w:val="0"/>
        <w:adjustRightInd w:val="0"/>
        <w:spacing w:line="240" w:lineRule="auto"/>
        <w:jc w:val="both"/>
        <w:textAlignment w:val="baseline"/>
        <w:rPr>
          <w:rFonts w:cs="Arial"/>
          <w:b/>
          <w:bCs/>
          <w:szCs w:val="20"/>
          <w:lang w:eastAsia="sl-SI"/>
        </w:rPr>
      </w:pPr>
      <w:r w:rsidRPr="003951A6">
        <w:rPr>
          <w:rFonts w:cs="Arial"/>
          <w:b/>
          <w:bCs/>
          <w:szCs w:val="20"/>
          <w:lang w:eastAsia="sl-SI"/>
        </w:rPr>
        <w:t>Zavrnitev zahteve za dodelitev koncesije za prirejanje posebnih iger na srečo</w:t>
      </w:r>
    </w:p>
    <w:p w14:paraId="222C924A" w14:textId="77777777" w:rsidR="00B75740" w:rsidRPr="003951A6" w:rsidRDefault="00B75740" w:rsidP="003951A6">
      <w:pPr>
        <w:overflowPunct w:val="0"/>
        <w:autoSpaceDE w:val="0"/>
        <w:autoSpaceDN w:val="0"/>
        <w:adjustRightInd w:val="0"/>
        <w:spacing w:line="240" w:lineRule="auto"/>
        <w:jc w:val="both"/>
        <w:textAlignment w:val="baseline"/>
        <w:rPr>
          <w:rFonts w:cs="Arial"/>
          <w:b/>
          <w:bCs/>
          <w:szCs w:val="20"/>
          <w:lang w:eastAsia="sl-SI"/>
        </w:rPr>
      </w:pPr>
    </w:p>
    <w:p w14:paraId="22F4DD5A" w14:textId="77777777" w:rsidR="00B75740" w:rsidRPr="0072535A" w:rsidRDefault="00B75740" w:rsidP="003951A6">
      <w:pPr>
        <w:overflowPunct w:val="0"/>
        <w:autoSpaceDE w:val="0"/>
        <w:autoSpaceDN w:val="0"/>
        <w:adjustRightInd w:val="0"/>
        <w:spacing w:line="240" w:lineRule="auto"/>
        <w:jc w:val="both"/>
        <w:textAlignment w:val="baseline"/>
        <w:rPr>
          <w:rFonts w:cs="Arial"/>
          <w:szCs w:val="20"/>
          <w:lang w:eastAsia="sl-SI"/>
        </w:rPr>
      </w:pPr>
      <w:r w:rsidRPr="0072535A">
        <w:rPr>
          <w:rFonts w:cs="Arial"/>
          <w:szCs w:val="20"/>
          <w:lang w:eastAsia="sl-SI"/>
        </w:rPr>
        <w:t>Vlada je danes izdala odločbo, s katero je družbi P &amp; P Marketing zavrnila zahtevo za dodelitev koncesije za prirejanje posebnih iger na srečo v igralnem salonu v Kranju.</w:t>
      </w:r>
    </w:p>
    <w:p w14:paraId="26DC8F94" w14:textId="77777777" w:rsidR="00B75740" w:rsidRPr="003951A6" w:rsidRDefault="00B75740" w:rsidP="003951A6">
      <w:pPr>
        <w:overflowPunct w:val="0"/>
        <w:autoSpaceDE w:val="0"/>
        <w:autoSpaceDN w:val="0"/>
        <w:adjustRightInd w:val="0"/>
        <w:spacing w:line="240" w:lineRule="auto"/>
        <w:jc w:val="both"/>
        <w:textAlignment w:val="baseline"/>
        <w:rPr>
          <w:rFonts w:cs="Arial"/>
          <w:szCs w:val="20"/>
          <w:lang w:eastAsia="sl-SI"/>
        </w:rPr>
      </w:pPr>
    </w:p>
    <w:p w14:paraId="767CD7FC" w14:textId="77777777" w:rsidR="00B75740" w:rsidRPr="003951A6" w:rsidRDefault="00B75740" w:rsidP="003951A6">
      <w:pPr>
        <w:overflowPunct w:val="0"/>
        <w:autoSpaceDE w:val="0"/>
        <w:autoSpaceDN w:val="0"/>
        <w:adjustRightInd w:val="0"/>
        <w:spacing w:line="240" w:lineRule="auto"/>
        <w:jc w:val="both"/>
        <w:textAlignment w:val="baseline"/>
        <w:rPr>
          <w:rFonts w:cs="Arial"/>
          <w:szCs w:val="20"/>
        </w:rPr>
      </w:pPr>
      <w:r w:rsidRPr="003951A6">
        <w:rPr>
          <w:rFonts w:cs="Arial"/>
          <w:color w:val="000000"/>
          <w:szCs w:val="20"/>
        </w:rPr>
        <w:t>Na odločitev o zavrnitvi zahteve je vplivala zlasti presoja kriterijev glede vpliva na socialno, kulturno in naravno okolje ter posameznika in glede dopolnjevanja turistične ponudbe.</w:t>
      </w:r>
    </w:p>
    <w:p w14:paraId="752A7317" w14:textId="77777777" w:rsidR="0072535A" w:rsidRDefault="0072535A" w:rsidP="003951A6">
      <w:pPr>
        <w:autoSpaceDE w:val="0"/>
        <w:autoSpaceDN w:val="0"/>
        <w:adjustRightInd w:val="0"/>
        <w:spacing w:line="240" w:lineRule="auto"/>
        <w:jc w:val="both"/>
        <w:rPr>
          <w:rFonts w:cs="Arial"/>
          <w:b/>
          <w:bCs/>
          <w:color w:val="000000"/>
          <w:szCs w:val="20"/>
        </w:rPr>
      </w:pPr>
    </w:p>
    <w:p w14:paraId="608F8CDC" w14:textId="0F381280" w:rsidR="00B75740" w:rsidRPr="0072535A" w:rsidRDefault="00B75740" w:rsidP="003951A6">
      <w:pPr>
        <w:autoSpaceDE w:val="0"/>
        <w:autoSpaceDN w:val="0"/>
        <w:adjustRightInd w:val="0"/>
        <w:spacing w:line="240" w:lineRule="auto"/>
        <w:jc w:val="both"/>
        <w:rPr>
          <w:rFonts w:cs="Arial"/>
          <w:color w:val="000000"/>
          <w:szCs w:val="20"/>
        </w:rPr>
      </w:pPr>
      <w:r w:rsidRPr="0072535A">
        <w:rPr>
          <w:rFonts w:cs="Arial"/>
          <w:color w:val="000000"/>
          <w:szCs w:val="20"/>
        </w:rPr>
        <w:t>Vir: Ministrstvo za finance</w:t>
      </w:r>
    </w:p>
    <w:p w14:paraId="3F3B0D6F" w14:textId="788E3B34" w:rsidR="00F0626B" w:rsidRPr="004F0BBD" w:rsidRDefault="00F0626B" w:rsidP="004F0BBD">
      <w:pPr>
        <w:autoSpaceDE w:val="0"/>
        <w:autoSpaceDN w:val="0"/>
        <w:adjustRightInd w:val="0"/>
        <w:spacing w:line="240" w:lineRule="auto"/>
        <w:jc w:val="both"/>
        <w:rPr>
          <w:rFonts w:cs="Arial"/>
          <w:b/>
          <w:bCs/>
          <w:color w:val="000000"/>
          <w:szCs w:val="20"/>
        </w:rPr>
      </w:pPr>
    </w:p>
    <w:p w14:paraId="176C8B7F" w14:textId="77777777" w:rsidR="004F0BBD" w:rsidRPr="004F0BBD" w:rsidRDefault="004F0BBD" w:rsidP="004F0BBD">
      <w:pPr>
        <w:autoSpaceDE w:val="0"/>
        <w:autoSpaceDN w:val="0"/>
        <w:adjustRightInd w:val="0"/>
        <w:spacing w:line="240" w:lineRule="auto"/>
        <w:jc w:val="both"/>
        <w:rPr>
          <w:rFonts w:cs="Arial"/>
          <w:b/>
          <w:bCs/>
          <w:color w:val="000000"/>
          <w:szCs w:val="20"/>
          <w:lang w:eastAsia="sl-SI"/>
        </w:rPr>
      </w:pPr>
    </w:p>
    <w:p w14:paraId="477FC869" w14:textId="77777777" w:rsidR="004F0BBD" w:rsidRPr="004F0BBD" w:rsidRDefault="004F0BBD" w:rsidP="004F0BBD">
      <w:pPr>
        <w:spacing w:line="240" w:lineRule="auto"/>
        <w:jc w:val="both"/>
        <w:rPr>
          <w:rFonts w:cs="Arial"/>
          <w:b/>
          <w:szCs w:val="20"/>
        </w:rPr>
      </w:pPr>
      <w:r w:rsidRPr="004F0BBD">
        <w:rPr>
          <w:rFonts w:cs="Arial"/>
          <w:b/>
          <w:szCs w:val="20"/>
        </w:rPr>
        <w:t>Pravila družbe Slovenski državni gozdovi, d. o. o., o načinu in merilih za prodajo gozdnih lesnih sortimentov</w:t>
      </w:r>
    </w:p>
    <w:p w14:paraId="0C383AFD" w14:textId="77777777" w:rsidR="004F0BBD" w:rsidRPr="004F0BBD" w:rsidRDefault="004F0BBD" w:rsidP="004F0BBD">
      <w:pPr>
        <w:spacing w:line="240" w:lineRule="auto"/>
        <w:jc w:val="both"/>
        <w:rPr>
          <w:rFonts w:cs="Arial"/>
          <w:b/>
          <w:szCs w:val="20"/>
        </w:rPr>
      </w:pPr>
    </w:p>
    <w:p w14:paraId="667AC969" w14:textId="4ABF6B36" w:rsidR="004F0BBD" w:rsidRDefault="004F0BBD" w:rsidP="004F0BBD">
      <w:pPr>
        <w:overflowPunct w:val="0"/>
        <w:autoSpaceDE w:val="0"/>
        <w:autoSpaceDN w:val="0"/>
        <w:adjustRightInd w:val="0"/>
        <w:spacing w:line="240" w:lineRule="auto"/>
        <w:jc w:val="both"/>
        <w:textAlignment w:val="baseline"/>
        <w:rPr>
          <w:rFonts w:cs="Arial"/>
          <w:szCs w:val="20"/>
        </w:rPr>
      </w:pPr>
      <w:r w:rsidRPr="004F0BBD">
        <w:rPr>
          <w:rFonts w:cs="Arial"/>
          <w:iCs/>
          <w:szCs w:val="20"/>
          <w:lang w:eastAsia="sl-SI"/>
        </w:rPr>
        <w:t xml:space="preserve">Vlada je sprejela </w:t>
      </w:r>
      <w:r w:rsidRPr="004F0BBD">
        <w:rPr>
          <w:rFonts w:cs="Arial"/>
          <w:szCs w:val="20"/>
          <w:lang w:eastAsia="sl-SI"/>
        </w:rPr>
        <w:t>Pravila družbe Slovenski državni gozdovi, d. o. o. (</w:t>
      </w:r>
      <w:proofErr w:type="spellStart"/>
      <w:r w:rsidRPr="004F0BBD">
        <w:rPr>
          <w:rFonts w:cs="Arial"/>
          <w:szCs w:val="20"/>
          <w:lang w:eastAsia="sl-SI"/>
        </w:rPr>
        <w:t>SiDG</w:t>
      </w:r>
      <w:proofErr w:type="spellEnd"/>
      <w:r w:rsidRPr="004F0BBD">
        <w:rPr>
          <w:rFonts w:cs="Arial"/>
          <w:szCs w:val="20"/>
          <w:lang w:eastAsia="sl-SI"/>
        </w:rPr>
        <w:t>), o načinu in merilih za prodajo gozdnih lesnih sortimentov</w:t>
      </w:r>
      <w:r w:rsidRPr="004F0BBD">
        <w:rPr>
          <w:rFonts w:cs="Arial"/>
          <w:szCs w:val="20"/>
        </w:rPr>
        <w:t xml:space="preserve">. </w:t>
      </w:r>
    </w:p>
    <w:p w14:paraId="2C80C9DD" w14:textId="77777777" w:rsidR="004F0BBD" w:rsidRPr="004F0BBD" w:rsidRDefault="004F0BBD" w:rsidP="004F0BBD">
      <w:pPr>
        <w:overflowPunct w:val="0"/>
        <w:autoSpaceDE w:val="0"/>
        <w:autoSpaceDN w:val="0"/>
        <w:adjustRightInd w:val="0"/>
        <w:spacing w:line="240" w:lineRule="auto"/>
        <w:jc w:val="both"/>
        <w:textAlignment w:val="baseline"/>
        <w:rPr>
          <w:rFonts w:cs="Arial"/>
          <w:szCs w:val="20"/>
        </w:rPr>
      </w:pPr>
    </w:p>
    <w:p w14:paraId="0F8DA6AD" w14:textId="77777777" w:rsidR="004F0BBD" w:rsidRPr="004F0BBD" w:rsidRDefault="004F0BBD" w:rsidP="004F0BBD">
      <w:pPr>
        <w:spacing w:line="240" w:lineRule="auto"/>
        <w:jc w:val="both"/>
        <w:rPr>
          <w:rFonts w:cs="Arial"/>
          <w:szCs w:val="20"/>
        </w:rPr>
      </w:pPr>
      <w:r w:rsidRPr="004F0BBD">
        <w:rPr>
          <w:rFonts w:cs="Arial"/>
          <w:szCs w:val="20"/>
        </w:rPr>
        <w:t xml:space="preserve">Pravila določajo pet možnih načinov prodaje gozdnih lesnih sortimentov (GLS), ki jih lahko izvaja družbe </w:t>
      </w:r>
      <w:proofErr w:type="spellStart"/>
      <w:r w:rsidRPr="004F0BBD">
        <w:rPr>
          <w:rFonts w:cs="Arial"/>
          <w:szCs w:val="20"/>
        </w:rPr>
        <w:t>SiDG</w:t>
      </w:r>
      <w:proofErr w:type="spellEnd"/>
      <w:r w:rsidRPr="004F0BBD">
        <w:rPr>
          <w:rFonts w:cs="Arial"/>
          <w:szCs w:val="20"/>
        </w:rPr>
        <w:t xml:space="preserve"> ob upoštevanju kriterijev in meril iz pravil, in sicer:</w:t>
      </w:r>
    </w:p>
    <w:p w14:paraId="483FF30B" w14:textId="77777777" w:rsidR="004F0BBD" w:rsidRPr="004F0BBD" w:rsidRDefault="004F0BBD" w:rsidP="004F0BBD">
      <w:pPr>
        <w:pStyle w:val="Odstavekseznama"/>
        <w:numPr>
          <w:ilvl w:val="0"/>
          <w:numId w:val="28"/>
        </w:numPr>
        <w:spacing w:line="240" w:lineRule="auto"/>
        <w:jc w:val="both"/>
        <w:rPr>
          <w:rFonts w:cs="Arial"/>
          <w:szCs w:val="20"/>
        </w:rPr>
      </w:pPr>
      <w:r w:rsidRPr="004F0BBD">
        <w:rPr>
          <w:rFonts w:cs="Arial"/>
          <w:szCs w:val="20"/>
        </w:rPr>
        <w:t>na javnih dražbah</w:t>
      </w:r>
    </w:p>
    <w:p w14:paraId="585BCFAD" w14:textId="77777777" w:rsidR="004F0BBD" w:rsidRPr="004F0BBD" w:rsidRDefault="004F0BBD" w:rsidP="004F0BBD">
      <w:pPr>
        <w:pStyle w:val="Odstavekseznama"/>
        <w:numPr>
          <w:ilvl w:val="0"/>
          <w:numId w:val="28"/>
        </w:numPr>
        <w:spacing w:line="240" w:lineRule="auto"/>
        <w:jc w:val="both"/>
        <w:rPr>
          <w:rFonts w:cs="Arial"/>
          <w:szCs w:val="20"/>
        </w:rPr>
      </w:pPr>
      <w:r w:rsidRPr="004F0BBD">
        <w:rPr>
          <w:rFonts w:cs="Arial"/>
          <w:szCs w:val="20"/>
        </w:rPr>
        <w:t>z javnim zbiranjem ponudb</w:t>
      </w:r>
    </w:p>
    <w:p w14:paraId="553B0227" w14:textId="77777777" w:rsidR="004F0BBD" w:rsidRPr="004F0BBD" w:rsidRDefault="004F0BBD" w:rsidP="004F0BBD">
      <w:pPr>
        <w:pStyle w:val="Odstavekseznama"/>
        <w:numPr>
          <w:ilvl w:val="0"/>
          <w:numId w:val="28"/>
        </w:numPr>
        <w:spacing w:line="240" w:lineRule="auto"/>
        <w:jc w:val="both"/>
        <w:rPr>
          <w:rFonts w:cs="Arial"/>
          <w:szCs w:val="20"/>
        </w:rPr>
      </w:pPr>
      <w:r w:rsidRPr="004F0BBD">
        <w:rPr>
          <w:rFonts w:cs="Arial"/>
          <w:szCs w:val="20"/>
        </w:rPr>
        <w:t xml:space="preserve">direktna prodaja </w:t>
      </w:r>
    </w:p>
    <w:p w14:paraId="53CE77FF" w14:textId="77777777" w:rsidR="004F0BBD" w:rsidRPr="004F0BBD" w:rsidRDefault="004F0BBD" w:rsidP="004F0BBD">
      <w:pPr>
        <w:pStyle w:val="Odstavekseznama"/>
        <w:numPr>
          <w:ilvl w:val="0"/>
          <w:numId w:val="28"/>
        </w:numPr>
        <w:spacing w:line="240" w:lineRule="auto"/>
        <w:jc w:val="both"/>
        <w:rPr>
          <w:rFonts w:cs="Arial"/>
          <w:szCs w:val="20"/>
        </w:rPr>
      </w:pPr>
      <w:r w:rsidRPr="004F0BBD">
        <w:rPr>
          <w:rFonts w:cs="Arial"/>
          <w:szCs w:val="20"/>
        </w:rPr>
        <w:t xml:space="preserve">prodaja GLS z javnim razpisom za sklepanje dolgoročnih pogodb </w:t>
      </w:r>
    </w:p>
    <w:p w14:paraId="32DE45B5" w14:textId="77777777" w:rsidR="004F0BBD" w:rsidRPr="004F0BBD" w:rsidRDefault="004F0BBD" w:rsidP="004F0BBD">
      <w:pPr>
        <w:pStyle w:val="Odstavekseznama"/>
        <w:numPr>
          <w:ilvl w:val="0"/>
          <w:numId w:val="28"/>
        </w:numPr>
        <w:spacing w:line="240" w:lineRule="auto"/>
        <w:jc w:val="both"/>
        <w:rPr>
          <w:rFonts w:cs="Arial"/>
          <w:szCs w:val="20"/>
        </w:rPr>
      </w:pPr>
      <w:r w:rsidRPr="004F0BBD">
        <w:rPr>
          <w:rFonts w:cs="Arial"/>
          <w:szCs w:val="20"/>
        </w:rPr>
        <w:t xml:space="preserve">prodaja lesa na panju. </w:t>
      </w:r>
    </w:p>
    <w:p w14:paraId="788C1295" w14:textId="77777777" w:rsidR="004F0BBD" w:rsidRDefault="004F0BBD" w:rsidP="004F0BBD">
      <w:pPr>
        <w:spacing w:line="240" w:lineRule="auto"/>
        <w:jc w:val="both"/>
        <w:rPr>
          <w:rFonts w:cs="Arial"/>
          <w:szCs w:val="20"/>
        </w:rPr>
      </w:pPr>
    </w:p>
    <w:p w14:paraId="142502F4" w14:textId="607EB900" w:rsidR="004F0BBD" w:rsidRPr="004F0BBD" w:rsidRDefault="004F0BBD" w:rsidP="004F0BBD">
      <w:pPr>
        <w:spacing w:line="240" w:lineRule="auto"/>
        <w:jc w:val="both"/>
        <w:rPr>
          <w:rFonts w:cs="Arial"/>
          <w:szCs w:val="20"/>
        </w:rPr>
      </w:pPr>
      <w:r w:rsidRPr="004F0BBD">
        <w:rPr>
          <w:rFonts w:cs="Arial"/>
          <w:szCs w:val="20"/>
        </w:rPr>
        <w:t xml:space="preserve">Družba </w:t>
      </w:r>
      <w:proofErr w:type="spellStart"/>
      <w:r w:rsidRPr="004F0BBD">
        <w:rPr>
          <w:rFonts w:cs="Arial"/>
          <w:szCs w:val="20"/>
        </w:rPr>
        <w:t>SiDG</w:t>
      </w:r>
      <w:proofErr w:type="spellEnd"/>
      <w:r w:rsidRPr="004F0BBD">
        <w:rPr>
          <w:rFonts w:cs="Arial"/>
          <w:szCs w:val="20"/>
        </w:rPr>
        <w:t xml:space="preserve"> s sklepanjem dolgoročnih pogodb za prodajo GLS zasleduje naslednje cilje:</w:t>
      </w:r>
    </w:p>
    <w:p w14:paraId="6AEF0814" w14:textId="77777777" w:rsidR="004F0BBD" w:rsidRPr="004F0BBD" w:rsidRDefault="004F0BBD" w:rsidP="004F0BBD">
      <w:pPr>
        <w:spacing w:line="240" w:lineRule="auto"/>
        <w:jc w:val="both"/>
        <w:rPr>
          <w:rFonts w:cs="Arial"/>
          <w:szCs w:val="20"/>
        </w:rPr>
      </w:pPr>
      <w:r w:rsidRPr="004F0BBD">
        <w:rPr>
          <w:rFonts w:cs="Arial"/>
          <w:szCs w:val="20"/>
        </w:rPr>
        <w:t>1. prispeva k vzpostavitvi in razvoju gozdno-lesnih verig, promociji lesa in lesnih proizvodov ter oblikovanju zelenih delovnih mest,</w:t>
      </w:r>
    </w:p>
    <w:p w14:paraId="6F15E55E" w14:textId="77777777" w:rsidR="004F0BBD" w:rsidRPr="004F0BBD" w:rsidRDefault="004F0BBD" w:rsidP="004F0BBD">
      <w:pPr>
        <w:spacing w:line="240" w:lineRule="auto"/>
        <w:jc w:val="both"/>
        <w:rPr>
          <w:rFonts w:cs="Arial"/>
          <w:szCs w:val="20"/>
        </w:rPr>
      </w:pPr>
      <w:r w:rsidRPr="004F0BBD">
        <w:rPr>
          <w:rFonts w:cs="Arial"/>
          <w:szCs w:val="20"/>
        </w:rPr>
        <w:t>2. prispeva k doseganju ciljev razvoja podeželja, zlasti ohranjanja kmetij in podeželja v gorskem in hribovitem svetu z omejenimi možnostmi gospodarjenja.</w:t>
      </w:r>
    </w:p>
    <w:p w14:paraId="360D3BF6" w14:textId="77777777" w:rsidR="004F0BBD" w:rsidRPr="004F0BBD" w:rsidRDefault="004F0BBD" w:rsidP="004F0BBD">
      <w:pPr>
        <w:spacing w:line="240" w:lineRule="auto"/>
        <w:jc w:val="both"/>
        <w:rPr>
          <w:rFonts w:cs="Arial"/>
          <w:szCs w:val="20"/>
        </w:rPr>
      </w:pPr>
      <w:r w:rsidRPr="004F0BBD">
        <w:rPr>
          <w:rFonts w:cs="Arial"/>
          <w:szCs w:val="20"/>
        </w:rPr>
        <w:t>Z dnem uveljavitve teh pravil prenehajo veljati Pravila družbe Slovenski državni gozdovi, d. o. o., o načinu in merilih za prodajo gozdnih lesnih sortimentov  z dne 20. 8. 2020, ki pa se še naprej uporabljajo za pogodbena razmerja, sklenjena pred uveljavitvijo teh pravil, do izteka pogodbenih razmerij.</w:t>
      </w:r>
    </w:p>
    <w:p w14:paraId="6B41DCCB" w14:textId="3B6C49D5" w:rsidR="004F0BBD" w:rsidRPr="004F0BBD" w:rsidRDefault="004F0BBD" w:rsidP="004F0BBD">
      <w:pPr>
        <w:autoSpaceDE w:val="0"/>
        <w:autoSpaceDN w:val="0"/>
        <w:adjustRightInd w:val="0"/>
        <w:spacing w:line="240" w:lineRule="auto"/>
        <w:jc w:val="both"/>
        <w:rPr>
          <w:rFonts w:cs="Arial"/>
          <w:b/>
          <w:bCs/>
          <w:color w:val="000000"/>
          <w:szCs w:val="20"/>
          <w:lang w:eastAsia="sl-SI"/>
        </w:rPr>
      </w:pPr>
    </w:p>
    <w:p w14:paraId="44594114" w14:textId="26986CF4"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Vir: Ministrstvo za kmetijstvo, gozdarstvo in prehrano</w:t>
      </w:r>
    </w:p>
    <w:p w14:paraId="652340A6" w14:textId="77777777" w:rsidR="004F0BBD" w:rsidRPr="004F0BBD" w:rsidRDefault="004F0BBD" w:rsidP="004F0BBD">
      <w:pPr>
        <w:autoSpaceDE w:val="0"/>
        <w:autoSpaceDN w:val="0"/>
        <w:adjustRightInd w:val="0"/>
        <w:spacing w:line="240" w:lineRule="auto"/>
        <w:jc w:val="both"/>
        <w:rPr>
          <w:rFonts w:cs="Arial"/>
          <w:b/>
          <w:bCs/>
          <w:color w:val="000000"/>
          <w:szCs w:val="20"/>
          <w:lang w:eastAsia="sl-SI"/>
        </w:rPr>
      </w:pPr>
    </w:p>
    <w:p w14:paraId="40924C24" w14:textId="77777777" w:rsidR="004F0BBD" w:rsidRPr="004F0BBD" w:rsidRDefault="004F0BBD" w:rsidP="004F0BBD">
      <w:pPr>
        <w:autoSpaceDE w:val="0"/>
        <w:autoSpaceDN w:val="0"/>
        <w:adjustRightInd w:val="0"/>
        <w:spacing w:line="240" w:lineRule="auto"/>
        <w:jc w:val="both"/>
        <w:rPr>
          <w:rFonts w:cs="Arial"/>
          <w:b/>
          <w:bCs/>
          <w:color w:val="000000"/>
          <w:szCs w:val="20"/>
          <w:lang w:eastAsia="sl-SI"/>
        </w:rPr>
      </w:pPr>
    </w:p>
    <w:p w14:paraId="2109271D" w14:textId="1473FBDF" w:rsidR="004F0BBD" w:rsidRPr="004F0BBD" w:rsidRDefault="004F0BBD" w:rsidP="004F0BBD">
      <w:pPr>
        <w:autoSpaceDE w:val="0"/>
        <w:autoSpaceDN w:val="0"/>
        <w:adjustRightInd w:val="0"/>
        <w:spacing w:line="240" w:lineRule="auto"/>
        <w:jc w:val="both"/>
        <w:rPr>
          <w:rFonts w:cs="Arial"/>
          <w:b/>
          <w:bCs/>
          <w:color w:val="000000"/>
          <w:szCs w:val="20"/>
          <w:lang w:eastAsia="sl-SI"/>
        </w:rPr>
      </w:pPr>
      <w:r w:rsidRPr="004F0BBD">
        <w:rPr>
          <w:rFonts w:cs="Arial"/>
          <w:b/>
          <w:bCs/>
          <w:color w:val="000000"/>
          <w:szCs w:val="20"/>
          <w:lang w:eastAsia="sl-SI"/>
        </w:rPr>
        <w:t xml:space="preserve">Sprejet Načrt ukrepov na podlagi Priporočila Sveta o dostopu delavcev in samozaposlenih oseb do socialne zaščite </w:t>
      </w:r>
    </w:p>
    <w:p w14:paraId="680481FE" w14:textId="44A2DA06" w:rsidR="004F0BBD" w:rsidRPr="004F0BBD" w:rsidRDefault="004F0BBD" w:rsidP="004F0BBD">
      <w:pPr>
        <w:autoSpaceDE w:val="0"/>
        <w:autoSpaceDN w:val="0"/>
        <w:adjustRightInd w:val="0"/>
        <w:spacing w:line="240" w:lineRule="auto"/>
        <w:jc w:val="both"/>
        <w:rPr>
          <w:rFonts w:cs="Arial"/>
          <w:color w:val="000000"/>
          <w:szCs w:val="20"/>
          <w:lang w:eastAsia="sl-SI"/>
        </w:rPr>
      </w:pPr>
    </w:p>
    <w:p w14:paraId="0FFBD1FB" w14:textId="52914175"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 xml:space="preserve">Vlada je sprejela Načrt ukrepov na podlagi Priporočila Sveta z dne 8. novembra 2019 o dostopu delavcev in samozaposlenih oseb do socialne zaščite 2019/C 387/01 (priporočilo). </w:t>
      </w:r>
    </w:p>
    <w:p w14:paraId="4AB34274"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p>
    <w:p w14:paraId="5A0945CA"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 </w:t>
      </w:r>
    </w:p>
    <w:p w14:paraId="30C73492"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p>
    <w:p w14:paraId="653884E0"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lastRenderedPageBreak/>
        <w:t xml:space="preserve">Priporočilo predvideva, da bi se vsem delavcem in samozaposlenim osebam zagotovilo formalno kritje iz socialne zaščite, dejansko kritje, ustreznost socialne zaščite in preglednost pravic do socialne zaščite. Priporočilo se uporablja za delavce in samozaposlene osebe, vključno z osebami, ki prehajajo med obema statusoma ali imajo oba statusa, pa tudi za osebe, ki so prekinile delo zaradi nastopa enega izmed tveganj, ki jih krije socialna zaščita. Priporočilo državam članicam nalaga, da predložijo načrt, ki določa zadevne ukrepe, sprejete na nacionalni ravni. </w:t>
      </w:r>
    </w:p>
    <w:p w14:paraId="444E7C49"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p>
    <w:p w14:paraId="74169E58" w14:textId="093CB32F"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 xml:space="preserve">V Sloveniji so do vseh navedenih področij socialne zaščite iz priporočila upravičeni vsi delavci v delovnem razmerju, ne glede na obliko delovnega razmerja, prav tako pa je vzpostavljeno formalno kritje za samozaposlene osebe v Republiki Sloveniji, in sicer na način obvezne vključitve za obe vrsti formalnega kritja za samozaposlene osebe. Statistični podatki med drugim izkazujejo da je v Republiki Sloveniji relativno visoko število oseb s standardno zaposlitvijo, 71 % vseh delovno aktivnih v letu 2019. Primerjava s povprečjem EU ne kaže večjih odstopanj v porazdelitvi oseb med različnimi nestandardnimi oblikami dela, opazno nižji kot v EU je pri nas le delež zaposlenih za nedoločen čas s krajšim delovnim časom. Podatki tudi izkazujejo, da je relativno, glede na povprečje EU, visok delež odvisnih samozaposlenih, ki so pretežno odvisni od enega naročnika ter da je stopnja tveganja revščine višja za osebe v nestandardnih oblikah zaposlitve. </w:t>
      </w:r>
    </w:p>
    <w:p w14:paraId="22C596C6"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p>
    <w:p w14:paraId="404875F9" w14:textId="78B2D834"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 xml:space="preserve"> Republika Slovenija je v letu 2017 pristopila k izvedbi raziskovalnega projekta »MAPA: Multidisciplinarna Analiza </w:t>
      </w:r>
      <w:proofErr w:type="spellStart"/>
      <w:r w:rsidRPr="004F0BBD">
        <w:rPr>
          <w:rFonts w:cs="Arial"/>
          <w:color w:val="000000"/>
          <w:szCs w:val="20"/>
          <w:lang w:eastAsia="sl-SI"/>
        </w:rPr>
        <w:t>Prekarnega</w:t>
      </w:r>
      <w:proofErr w:type="spellEnd"/>
      <w:r w:rsidRPr="004F0BBD">
        <w:rPr>
          <w:rFonts w:cs="Arial"/>
          <w:color w:val="000000"/>
          <w:szCs w:val="20"/>
          <w:lang w:eastAsia="sl-SI"/>
        </w:rPr>
        <w:t xml:space="preserve"> dela - pravni, ekonomski, socialni in zdravstveno varstveni vidiki«, ki temelji na multidisciplinarnem pristopu raziskovanja v vseh fazah raziskovanja in predstavlja rezultate najnovejše, edinstvene empirične analize stanja na slovenskem trgu dela. Na tej osnovi so raziskovalci identificirali morebitne vrzeli različnih komponent varnosti pri negotovih oblikah dela in oblikovali možne predloge za omejevanje negativnih učinkov za posameznika in družbo v celoti. Bili so ustvarjeni pogoji tudi za učinkovitejše ukrepanje Inšpektorata Republike Slovenije za delo ter večjo pravno varnost zaposlenih v primerih, ko gre za opravljanje dela na podlagi pogodb civilnega prava, kadar so podani elementi delovnega razmerja,</w:t>
      </w:r>
    </w:p>
    <w:p w14:paraId="36E2A7C6" w14:textId="77777777" w:rsidR="004F0BBD" w:rsidRPr="004F0BBD" w:rsidRDefault="004F0BBD" w:rsidP="004F0BBD">
      <w:pPr>
        <w:autoSpaceDE w:val="0"/>
        <w:autoSpaceDN w:val="0"/>
        <w:adjustRightInd w:val="0"/>
        <w:spacing w:line="240" w:lineRule="auto"/>
        <w:jc w:val="both"/>
        <w:rPr>
          <w:rFonts w:cs="Arial"/>
          <w:color w:val="000000"/>
          <w:szCs w:val="20"/>
          <w:lang w:eastAsia="sl-SI"/>
        </w:rPr>
      </w:pPr>
    </w:p>
    <w:p w14:paraId="038231DB" w14:textId="001D43B2" w:rsidR="0072535A"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 Kot izhaja iz načrta ukrepov, bo Republika Slovenija ESS predlagala, da na podlagi veljavnega obsega socialne zaščite, podane statistične podatke in ugotovitev iz projekta MAPA, v socialnem dialogu oblikuje ukrepe za zmanjšanje vrzeli pri dostopu do socialne zaščite za zaposlene v nestandardnih oblikah in samozaposlene ter da se na področju inšpekcijskega nadzora v okviru programskih usmeritev Inšpektorata Republike Slovenije za delo še naprej posebno pozornost namenja uporabi atipičnih, civilnopravnih in drugih manj varnih oblik dela ter jih obravnavala v okviru pristojnosti in v skladu s pooblastili.</w:t>
      </w:r>
    </w:p>
    <w:p w14:paraId="679D1987" w14:textId="10E95079" w:rsidR="004F0BBD" w:rsidRPr="004F0BBD" w:rsidRDefault="004F0BBD" w:rsidP="004F0BBD">
      <w:pPr>
        <w:autoSpaceDE w:val="0"/>
        <w:autoSpaceDN w:val="0"/>
        <w:adjustRightInd w:val="0"/>
        <w:spacing w:line="240" w:lineRule="auto"/>
        <w:jc w:val="both"/>
        <w:rPr>
          <w:rFonts w:cs="Arial"/>
          <w:color w:val="000000"/>
          <w:szCs w:val="20"/>
          <w:lang w:eastAsia="sl-SI"/>
        </w:rPr>
      </w:pPr>
    </w:p>
    <w:p w14:paraId="4B7A619B" w14:textId="1E68F926" w:rsidR="004F0BBD" w:rsidRPr="004F0BBD" w:rsidRDefault="004F0BBD" w:rsidP="004F0BBD">
      <w:pPr>
        <w:autoSpaceDE w:val="0"/>
        <w:autoSpaceDN w:val="0"/>
        <w:adjustRightInd w:val="0"/>
        <w:spacing w:line="240" w:lineRule="auto"/>
        <w:jc w:val="both"/>
        <w:rPr>
          <w:rFonts w:cs="Arial"/>
          <w:color w:val="000000"/>
          <w:szCs w:val="20"/>
          <w:lang w:eastAsia="sl-SI"/>
        </w:rPr>
      </w:pPr>
      <w:r w:rsidRPr="004F0BBD">
        <w:rPr>
          <w:rFonts w:cs="Arial"/>
          <w:color w:val="000000"/>
          <w:szCs w:val="20"/>
          <w:lang w:eastAsia="sl-SI"/>
        </w:rPr>
        <w:t>Vir: Ministrstvo za delo, družino, socialne zadeve in enake možnosti</w:t>
      </w:r>
    </w:p>
    <w:p w14:paraId="29A1419E" w14:textId="2A5F11A8" w:rsidR="0072535A" w:rsidRPr="004F0BBD" w:rsidRDefault="0072535A" w:rsidP="004F0BBD">
      <w:pPr>
        <w:autoSpaceDE w:val="0"/>
        <w:autoSpaceDN w:val="0"/>
        <w:adjustRightInd w:val="0"/>
        <w:spacing w:line="240" w:lineRule="auto"/>
        <w:jc w:val="both"/>
        <w:rPr>
          <w:rFonts w:cs="Arial"/>
          <w:b/>
          <w:bCs/>
          <w:color w:val="000000"/>
          <w:szCs w:val="20"/>
        </w:rPr>
      </w:pPr>
    </w:p>
    <w:p w14:paraId="1C3529E8" w14:textId="77777777" w:rsidR="0072535A" w:rsidRPr="004F0BBD" w:rsidRDefault="0072535A" w:rsidP="004F0BBD">
      <w:pPr>
        <w:autoSpaceDE w:val="0"/>
        <w:autoSpaceDN w:val="0"/>
        <w:adjustRightInd w:val="0"/>
        <w:spacing w:line="240" w:lineRule="auto"/>
        <w:jc w:val="both"/>
        <w:rPr>
          <w:rFonts w:cs="Arial"/>
          <w:b/>
          <w:bCs/>
          <w:color w:val="000000"/>
          <w:szCs w:val="20"/>
        </w:rPr>
      </w:pPr>
    </w:p>
    <w:p w14:paraId="02CCA9EC" w14:textId="77777777" w:rsidR="00F0626B" w:rsidRPr="004F0BBD" w:rsidRDefault="00F0626B" w:rsidP="004F0BBD">
      <w:pPr>
        <w:spacing w:line="240" w:lineRule="auto"/>
        <w:jc w:val="both"/>
        <w:rPr>
          <w:rFonts w:cs="Arial"/>
          <w:b/>
          <w:color w:val="000000"/>
          <w:szCs w:val="20"/>
        </w:rPr>
      </w:pPr>
      <w:r w:rsidRPr="004F0BBD">
        <w:rPr>
          <w:rFonts w:cs="Arial"/>
          <w:b/>
          <w:color w:val="000000"/>
          <w:szCs w:val="20"/>
        </w:rPr>
        <w:t>Vlada sprejela Letni načrt investicij za leto 2022 na podlagi Zakona o zagotavljanju finančnih sredstev za investicije v slovensko zdravstvo v letih od 2021 do 2031</w:t>
      </w:r>
    </w:p>
    <w:p w14:paraId="009F69B4" w14:textId="77777777" w:rsidR="00F0626B" w:rsidRPr="004F0BBD" w:rsidRDefault="00F0626B" w:rsidP="004F0BBD">
      <w:pPr>
        <w:spacing w:line="240" w:lineRule="auto"/>
        <w:jc w:val="both"/>
        <w:rPr>
          <w:rFonts w:cs="Arial"/>
          <w:b/>
          <w:szCs w:val="20"/>
          <w:lang w:eastAsia="sl-SI"/>
        </w:rPr>
      </w:pPr>
    </w:p>
    <w:p w14:paraId="7EA6BCE3" w14:textId="3E9574E2" w:rsidR="00F0626B" w:rsidRPr="004F0BBD" w:rsidRDefault="00F0626B" w:rsidP="004F0BBD">
      <w:pPr>
        <w:spacing w:line="240" w:lineRule="auto"/>
        <w:jc w:val="both"/>
        <w:rPr>
          <w:rFonts w:cs="Arial"/>
          <w:szCs w:val="20"/>
        </w:rPr>
      </w:pPr>
      <w:r w:rsidRPr="004F0BBD">
        <w:rPr>
          <w:rFonts w:cs="Arial"/>
          <w:szCs w:val="20"/>
        </w:rPr>
        <w:t>Vlada je v skladu z Zakonom o zagotavljanju finančnih sredstev za investicije v slovensko zdravstvo v letih od 2021 do 2031, sprejela letni načrt investicij za leto 2022, v katerega so vključeni projekti, ki se financirajo iz predmetnega zakona.</w:t>
      </w:r>
    </w:p>
    <w:p w14:paraId="5DA93E87" w14:textId="77777777" w:rsidR="00F0626B" w:rsidRPr="004F0BBD" w:rsidRDefault="00F0626B" w:rsidP="004F0BBD">
      <w:pPr>
        <w:spacing w:line="240" w:lineRule="auto"/>
        <w:jc w:val="both"/>
        <w:rPr>
          <w:rFonts w:cs="Arial"/>
          <w:szCs w:val="20"/>
        </w:rPr>
      </w:pPr>
    </w:p>
    <w:p w14:paraId="40D0A79F" w14:textId="77777777" w:rsidR="00F0626B" w:rsidRPr="004F0BBD" w:rsidRDefault="00F0626B" w:rsidP="004F0BBD">
      <w:pPr>
        <w:spacing w:line="240" w:lineRule="auto"/>
        <w:jc w:val="both"/>
        <w:rPr>
          <w:rFonts w:cs="Arial"/>
          <w:szCs w:val="20"/>
        </w:rPr>
      </w:pPr>
      <w:r w:rsidRPr="004F0BBD">
        <w:rPr>
          <w:rFonts w:cs="Arial"/>
          <w:szCs w:val="20"/>
        </w:rPr>
        <w:t>Zakon o zagotavljanju finančnih sredstev za investicije v slovensko zdravstvo v letih od 2021 do 2031 (zakon) ureja zagotavljanje finančnih sredstev za izvedbo najpomembnejših investicij v slovensko zdravstvo v letih od 2021 do 2031 (investicije), ki so določene z Resolucijo o nacionalnem planu zdravstvenega varstva 2016–2025 »Skupaj za družbo zdravja« in načrtom razvojnih programov za področje zdravstvenega varstva in javne srednje in višje strokovne šole ter visokošolske zavode s področja zdravstva, zaradi zagotavljanja vzdržnega in odpornega zdravstvenega sistema za učinkovito uresničevanje pravic do zdravstvenega varstva.</w:t>
      </w:r>
    </w:p>
    <w:p w14:paraId="1FBB4BCA" w14:textId="77777777" w:rsidR="00F0626B" w:rsidRPr="004F0BBD" w:rsidRDefault="00F0626B" w:rsidP="004F0BBD">
      <w:pPr>
        <w:spacing w:line="240" w:lineRule="auto"/>
        <w:jc w:val="both"/>
        <w:rPr>
          <w:rFonts w:cs="Arial"/>
          <w:szCs w:val="20"/>
        </w:rPr>
      </w:pPr>
    </w:p>
    <w:p w14:paraId="6F5753BB" w14:textId="77777777" w:rsidR="00F0626B" w:rsidRPr="004F0BBD" w:rsidRDefault="00F0626B" w:rsidP="004F0BBD">
      <w:pPr>
        <w:spacing w:line="240" w:lineRule="auto"/>
        <w:jc w:val="both"/>
        <w:rPr>
          <w:rFonts w:cs="Arial"/>
          <w:szCs w:val="20"/>
        </w:rPr>
      </w:pPr>
      <w:r w:rsidRPr="004F0BBD">
        <w:rPr>
          <w:rFonts w:cs="Arial"/>
          <w:szCs w:val="20"/>
        </w:rPr>
        <w:t>V letni načrt investicij za leto 2022 se vključijo projekti, s katerimi se zagotavljajo operativne zmogljivosti zdravstvene dejavnosti (na primarni, sekundarni in terciarni ravni) ter izobraževalnih zavodov s področja zdravstva zaradi povečanja števila vpisnih mest v programe medicinske, farmacevtske in zdravstvene smeri.</w:t>
      </w:r>
    </w:p>
    <w:p w14:paraId="0434147D" w14:textId="77777777" w:rsidR="00F0626B" w:rsidRPr="004F0BBD" w:rsidRDefault="00F0626B" w:rsidP="004F0BBD">
      <w:pPr>
        <w:spacing w:line="240" w:lineRule="auto"/>
        <w:jc w:val="both"/>
        <w:rPr>
          <w:rFonts w:cs="Arial"/>
          <w:szCs w:val="20"/>
        </w:rPr>
      </w:pPr>
    </w:p>
    <w:p w14:paraId="5D02B415" w14:textId="77777777" w:rsidR="00F0626B" w:rsidRPr="004F0BBD" w:rsidRDefault="00F0626B" w:rsidP="004F0BBD">
      <w:pPr>
        <w:spacing w:line="240" w:lineRule="auto"/>
        <w:jc w:val="both"/>
        <w:rPr>
          <w:rFonts w:cs="Arial"/>
          <w:b/>
          <w:szCs w:val="20"/>
          <w:lang w:eastAsia="sl-SI"/>
        </w:rPr>
      </w:pPr>
      <w:r w:rsidRPr="004F0BBD">
        <w:rPr>
          <w:rFonts w:cs="Arial"/>
          <w:szCs w:val="20"/>
        </w:rPr>
        <w:t>Letni načrt investicij za leto 2022 je usklajen z Načrtom razvojnih programov 2022−2025. V letni načrt so vključeni investicijski projekti, ki se financirajo iz proračunskih postavk Ministrstva za zdravje ter postavk Evropske unije in slovenske udeležbe.</w:t>
      </w:r>
    </w:p>
    <w:p w14:paraId="25C8365B" w14:textId="77777777" w:rsidR="00F0626B" w:rsidRPr="004F0BBD" w:rsidRDefault="00F0626B" w:rsidP="004F0BBD">
      <w:pPr>
        <w:spacing w:line="240" w:lineRule="auto"/>
        <w:jc w:val="both"/>
        <w:rPr>
          <w:rFonts w:cs="Arial"/>
          <w:bCs/>
          <w:szCs w:val="20"/>
          <w:lang w:eastAsia="sl-SI"/>
        </w:rPr>
      </w:pPr>
    </w:p>
    <w:p w14:paraId="4746D0FF" w14:textId="289EE123" w:rsidR="00F0626B" w:rsidRPr="004F0BBD" w:rsidRDefault="00F0626B" w:rsidP="004F0BBD">
      <w:pPr>
        <w:autoSpaceDE w:val="0"/>
        <w:autoSpaceDN w:val="0"/>
        <w:adjustRightInd w:val="0"/>
        <w:spacing w:line="240" w:lineRule="auto"/>
        <w:jc w:val="both"/>
        <w:rPr>
          <w:rFonts w:cs="Arial"/>
          <w:color w:val="000000"/>
          <w:szCs w:val="20"/>
        </w:rPr>
      </w:pPr>
      <w:r w:rsidRPr="004F0BBD">
        <w:rPr>
          <w:rFonts w:cs="Arial"/>
          <w:color w:val="000000"/>
          <w:szCs w:val="20"/>
        </w:rPr>
        <w:t>Vir: Ministrstvo za zdravje</w:t>
      </w:r>
    </w:p>
    <w:p w14:paraId="45C8CA8E" w14:textId="430F8406" w:rsidR="00B75740" w:rsidRPr="003951A6" w:rsidRDefault="00B75740" w:rsidP="003951A6">
      <w:pPr>
        <w:autoSpaceDE w:val="0"/>
        <w:autoSpaceDN w:val="0"/>
        <w:adjustRightInd w:val="0"/>
        <w:spacing w:line="240" w:lineRule="auto"/>
        <w:jc w:val="both"/>
        <w:rPr>
          <w:rFonts w:cs="Arial"/>
          <w:b/>
          <w:bCs/>
          <w:color w:val="000000"/>
          <w:szCs w:val="20"/>
        </w:rPr>
      </w:pPr>
    </w:p>
    <w:p w14:paraId="71E4CBFC" w14:textId="77777777" w:rsidR="0072535A" w:rsidRDefault="0072535A" w:rsidP="003951A6">
      <w:pPr>
        <w:spacing w:line="240" w:lineRule="auto"/>
        <w:jc w:val="both"/>
        <w:rPr>
          <w:rFonts w:cs="Arial"/>
          <w:b/>
          <w:bCs/>
          <w:szCs w:val="20"/>
        </w:rPr>
      </w:pPr>
    </w:p>
    <w:p w14:paraId="12908596" w14:textId="06B1E682" w:rsidR="00B75740" w:rsidRPr="003951A6" w:rsidRDefault="00B75740" w:rsidP="003951A6">
      <w:pPr>
        <w:spacing w:line="240" w:lineRule="auto"/>
        <w:jc w:val="both"/>
        <w:rPr>
          <w:rFonts w:cs="Arial"/>
          <w:b/>
          <w:bCs/>
          <w:szCs w:val="20"/>
        </w:rPr>
      </w:pPr>
      <w:r w:rsidRPr="003951A6">
        <w:rPr>
          <w:rFonts w:cs="Arial"/>
          <w:b/>
          <w:bCs/>
          <w:szCs w:val="20"/>
        </w:rPr>
        <w:t>Vlada prerazporedila sredstva državnega proračuna</w:t>
      </w:r>
    </w:p>
    <w:p w14:paraId="4D61765A" w14:textId="77777777" w:rsidR="00B75740" w:rsidRPr="003951A6" w:rsidRDefault="00B75740" w:rsidP="003951A6">
      <w:pPr>
        <w:spacing w:line="240" w:lineRule="auto"/>
        <w:jc w:val="both"/>
        <w:rPr>
          <w:rFonts w:cs="Arial"/>
          <w:b/>
          <w:bCs/>
          <w:szCs w:val="20"/>
        </w:rPr>
      </w:pPr>
    </w:p>
    <w:p w14:paraId="2F0630A4" w14:textId="77777777" w:rsidR="00B75740" w:rsidRPr="003951A6" w:rsidRDefault="00B75740" w:rsidP="003951A6">
      <w:pPr>
        <w:spacing w:line="240" w:lineRule="auto"/>
        <w:jc w:val="both"/>
        <w:rPr>
          <w:rFonts w:cs="Arial"/>
          <w:i/>
          <w:iCs/>
          <w:szCs w:val="20"/>
        </w:rPr>
      </w:pPr>
      <w:r w:rsidRPr="003951A6">
        <w:rPr>
          <w:rFonts w:cs="Arial"/>
          <w:szCs w:val="20"/>
        </w:rPr>
        <w:t>V okviru finančnega načrta Ministrstva za delo, družino, socialne zadeve in enake možnosti je vlada prerazporedila 11,3 milijona evrov za investicije na področju domov za starostnike. S tem se zagotavljajo nujno potrebna dodatna sredstva za izvajanje investicij (novogradnje, prizidave, rekonstrukcije objektov). Pravilnik o minimalnih tehničnih pogojih za izvajalce socialnovarstvenih storitev določa, da morajo socialnovarstveni zavodi do leta 2026 svoje prostore prilagoditi zahtevam pravilnika. To pomeni odpravo več posteljnih sob, ureditev čistih in nečistih delov (z vidika preprečevanja širjenja okužb), ureditev spremljajočih prostorov, oddelkov za stanovalce z demenco in sorodnimi stanji. Za potrebe prilagajanja obstoječe infrastrukture ima vsaj 25 zavodov izdelano dokumentacijo ter pridobljena gradbena dovoljenja, zato bi bilo potrebno v čim krajšem času pričeti z deli. Dodatna sredstva so potrebna za uvrstitev pripravljenih projektov v načrt razvojnih programov</w:t>
      </w:r>
      <w:r w:rsidRPr="003951A6">
        <w:rPr>
          <w:rFonts w:cs="Arial"/>
          <w:i/>
          <w:iCs/>
          <w:szCs w:val="20"/>
        </w:rPr>
        <w:t>.</w:t>
      </w:r>
    </w:p>
    <w:p w14:paraId="1B84C42B" w14:textId="77777777" w:rsidR="00B75740" w:rsidRPr="003951A6" w:rsidRDefault="00B75740" w:rsidP="003951A6">
      <w:pPr>
        <w:spacing w:line="240" w:lineRule="auto"/>
        <w:jc w:val="both"/>
        <w:rPr>
          <w:rFonts w:cs="Arial"/>
          <w:szCs w:val="20"/>
        </w:rPr>
      </w:pPr>
    </w:p>
    <w:p w14:paraId="4F666F20" w14:textId="77777777" w:rsidR="00B75740" w:rsidRPr="003951A6" w:rsidRDefault="00B75740" w:rsidP="003951A6">
      <w:pPr>
        <w:spacing w:line="240" w:lineRule="auto"/>
        <w:jc w:val="both"/>
        <w:rPr>
          <w:rFonts w:cs="Arial"/>
          <w:szCs w:val="20"/>
        </w:rPr>
      </w:pPr>
      <w:r w:rsidRPr="003951A6">
        <w:rPr>
          <w:rFonts w:cs="Arial"/>
          <w:szCs w:val="20"/>
        </w:rPr>
        <w:t>Vlada je med drugim Ministrstvu za izobraževanje, znanost in šport razporedila 1,38 milijona evrov za financiranje zaščitne opreme in dezinfekcije prostorov izvajalcem storitev na področju vzgoje in izobraževanja ter znanosti za mesec februar 2022.</w:t>
      </w:r>
    </w:p>
    <w:p w14:paraId="27C1FFBC" w14:textId="77777777" w:rsidR="00B75740" w:rsidRPr="003951A6" w:rsidRDefault="00B75740" w:rsidP="003951A6">
      <w:pPr>
        <w:spacing w:line="240" w:lineRule="auto"/>
        <w:jc w:val="both"/>
        <w:rPr>
          <w:rFonts w:cs="Arial"/>
          <w:szCs w:val="20"/>
        </w:rPr>
      </w:pPr>
    </w:p>
    <w:p w14:paraId="587C925B" w14:textId="77777777" w:rsidR="00B75740" w:rsidRPr="003951A6" w:rsidRDefault="00B75740" w:rsidP="003951A6">
      <w:pPr>
        <w:spacing w:line="240" w:lineRule="auto"/>
        <w:jc w:val="both"/>
        <w:rPr>
          <w:rFonts w:cs="Arial"/>
          <w:szCs w:val="20"/>
        </w:rPr>
      </w:pPr>
      <w:r w:rsidRPr="003951A6">
        <w:rPr>
          <w:rFonts w:cs="Arial"/>
          <w:szCs w:val="20"/>
        </w:rPr>
        <w:t>Ministrstvo za infrastrukturo pa bo v finančni načrt Ministrstva za gospodarski razvoj in tehnologijo prerazporedilo pravice porabe v višini 2,04 milijona evrov.</w:t>
      </w:r>
      <w:r w:rsidRPr="003951A6">
        <w:rPr>
          <w:rFonts w:cs="Arial"/>
          <w:color w:val="000000"/>
          <w:szCs w:val="20"/>
        </w:rPr>
        <w:t xml:space="preserve"> Sredstva bodo med drugim namenili za sofinanciranje projekta Medgeneracijski športni kompleks Ribnica.</w:t>
      </w:r>
    </w:p>
    <w:p w14:paraId="3E079CB4" w14:textId="77777777" w:rsidR="00B75740" w:rsidRPr="003951A6" w:rsidRDefault="00B75740" w:rsidP="003951A6">
      <w:pPr>
        <w:spacing w:line="240" w:lineRule="auto"/>
        <w:jc w:val="both"/>
        <w:rPr>
          <w:rFonts w:cs="Arial"/>
          <w:szCs w:val="20"/>
        </w:rPr>
      </w:pPr>
    </w:p>
    <w:p w14:paraId="7AA7DB14" w14:textId="77777777" w:rsidR="00B75740" w:rsidRPr="0072535A" w:rsidRDefault="00B75740" w:rsidP="003951A6">
      <w:pPr>
        <w:autoSpaceDE w:val="0"/>
        <w:autoSpaceDN w:val="0"/>
        <w:adjustRightInd w:val="0"/>
        <w:spacing w:line="240" w:lineRule="auto"/>
        <w:jc w:val="both"/>
        <w:rPr>
          <w:rFonts w:cs="Arial"/>
          <w:color w:val="000000"/>
          <w:szCs w:val="20"/>
        </w:rPr>
      </w:pPr>
      <w:r w:rsidRPr="0072535A">
        <w:rPr>
          <w:rFonts w:cs="Arial"/>
          <w:color w:val="000000"/>
          <w:szCs w:val="20"/>
        </w:rPr>
        <w:t>Vir: Ministrstvo za finance</w:t>
      </w:r>
    </w:p>
    <w:p w14:paraId="5025FC0C" w14:textId="77777777" w:rsidR="0072535A" w:rsidRDefault="0072535A" w:rsidP="003951A6">
      <w:pPr>
        <w:spacing w:line="240" w:lineRule="auto"/>
        <w:jc w:val="both"/>
        <w:rPr>
          <w:rFonts w:cs="Arial"/>
          <w:b/>
          <w:bCs/>
          <w:szCs w:val="20"/>
        </w:rPr>
      </w:pPr>
    </w:p>
    <w:p w14:paraId="193A1C95" w14:textId="77777777" w:rsidR="0072535A" w:rsidRDefault="0072535A" w:rsidP="003951A6">
      <w:pPr>
        <w:spacing w:line="240" w:lineRule="auto"/>
        <w:jc w:val="both"/>
        <w:rPr>
          <w:rFonts w:cs="Arial"/>
          <w:b/>
          <w:bCs/>
          <w:szCs w:val="20"/>
        </w:rPr>
      </w:pPr>
    </w:p>
    <w:p w14:paraId="7137CA9D" w14:textId="5C43344C" w:rsidR="00B75740" w:rsidRPr="003951A6" w:rsidRDefault="00B75740" w:rsidP="003951A6">
      <w:pPr>
        <w:spacing w:line="240" w:lineRule="auto"/>
        <w:jc w:val="both"/>
        <w:rPr>
          <w:rFonts w:cs="Arial"/>
          <w:b/>
          <w:bCs/>
          <w:szCs w:val="20"/>
          <w:lang w:bidi="en-US"/>
        </w:rPr>
      </w:pPr>
      <w:r w:rsidRPr="003951A6">
        <w:rPr>
          <w:rFonts w:cs="Arial"/>
          <w:b/>
          <w:bCs/>
          <w:szCs w:val="20"/>
        </w:rPr>
        <w:t xml:space="preserve">Nova proračunska postavka pri </w:t>
      </w:r>
      <w:r w:rsidRPr="003951A6">
        <w:rPr>
          <w:rFonts w:cs="Arial"/>
          <w:b/>
          <w:bCs/>
          <w:szCs w:val="20"/>
          <w:lang w:bidi="en-US"/>
        </w:rPr>
        <w:t>uradu za oskrbo in integracijo migrantov</w:t>
      </w:r>
    </w:p>
    <w:p w14:paraId="0464D131" w14:textId="77777777" w:rsidR="00B75740" w:rsidRPr="003951A6" w:rsidRDefault="00B75740" w:rsidP="003951A6">
      <w:pPr>
        <w:spacing w:line="240" w:lineRule="auto"/>
        <w:jc w:val="both"/>
        <w:rPr>
          <w:rFonts w:cs="Arial"/>
          <w:b/>
          <w:bCs/>
          <w:szCs w:val="20"/>
        </w:rPr>
      </w:pPr>
    </w:p>
    <w:p w14:paraId="2AB9E47F" w14:textId="77777777" w:rsidR="00B75740" w:rsidRPr="0072535A" w:rsidRDefault="00B75740" w:rsidP="003951A6">
      <w:pPr>
        <w:spacing w:line="240" w:lineRule="auto"/>
        <w:jc w:val="both"/>
        <w:rPr>
          <w:rFonts w:cs="Arial"/>
          <w:szCs w:val="20"/>
          <w:lang w:bidi="en-US"/>
        </w:rPr>
      </w:pPr>
      <w:r w:rsidRPr="0072535A">
        <w:rPr>
          <w:rFonts w:cs="Arial"/>
          <w:szCs w:val="20"/>
        </w:rPr>
        <w:t>Vlada je danes odločila, da p</w:t>
      </w:r>
      <w:r w:rsidRPr="0072535A">
        <w:rPr>
          <w:rFonts w:cs="Arial"/>
          <w:szCs w:val="20"/>
          <w:lang w:bidi="en-US"/>
        </w:rPr>
        <w:t xml:space="preserve">ri proračunskemu uporabniku Urad Vlade Republike Slovenije za oskrbo in integracijo migrantov odpre proračunsko postavko Begunci iz Ukrajine. Ob tem mu </w:t>
      </w:r>
      <w:r w:rsidRPr="0072535A">
        <w:rPr>
          <w:rFonts w:cs="Arial"/>
          <w:iCs/>
          <w:szCs w:val="20"/>
          <w:lang w:eastAsia="sl-SI"/>
        </w:rPr>
        <w:t>iz splošne proračunske rezerve zagotavljamo dodatna finančna sredstva.</w:t>
      </w:r>
    </w:p>
    <w:p w14:paraId="387FAF9C" w14:textId="77777777" w:rsidR="00B75740" w:rsidRPr="003951A6" w:rsidRDefault="00B75740" w:rsidP="003951A6">
      <w:pPr>
        <w:spacing w:line="240" w:lineRule="auto"/>
        <w:jc w:val="both"/>
        <w:rPr>
          <w:rFonts w:cs="Arial"/>
          <w:szCs w:val="20"/>
          <w:lang w:bidi="en-US"/>
        </w:rPr>
      </w:pPr>
    </w:p>
    <w:p w14:paraId="1580B47D" w14:textId="77777777" w:rsidR="00B75740" w:rsidRPr="003951A6" w:rsidRDefault="00B75740" w:rsidP="003951A6">
      <w:pPr>
        <w:spacing w:line="240" w:lineRule="auto"/>
        <w:jc w:val="both"/>
        <w:rPr>
          <w:rFonts w:cs="Arial"/>
          <w:iCs/>
          <w:szCs w:val="20"/>
          <w:lang w:eastAsia="sl-SI"/>
        </w:rPr>
      </w:pPr>
      <w:r w:rsidRPr="003951A6">
        <w:rPr>
          <w:rFonts w:cs="Arial"/>
          <w:iCs/>
          <w:szCs w:val="20"/>
          <w:lang w:eastAsia="sl-SI"/>
        </w:rPr>
        <w:t xml:space="preserve">Z aktivacijo Zakona o začasni zaščiti razseljenih oseb, ki predvideva množičen prihod beguncev iz Ukrajine, je urad za oskrbo in integracijo migrantov prevzel novo področje delovanja. Za izvrševanje nalog iz zakona, predvidoma za tri mesece oziroma do porabe sredstev, mu zato iz splošne proračunske rezerve zagotavljamo dodatna finančna sredstva v višini 22.132.434 evrov za leto 2022, deloma na postavko </w:t>
      </w:r>
      <w:r w:rsidRPr="003951A6">
        <w:rPr>
          <w:rFonts w:cs="Arial"/>
          <w:szCs w:val="20"/>
          <w:lang w:bidi="en-US"/>
        </w:rPr>
        <w:t>Begunci iz Ukrajine, deloma pa na postavko Plače</w:t>
      </w:r>
      <w:r w:rsidRPr="003951A6">
        <w:rPr>
          <w:rFonts w:cs="Arial"/>
          <w:iCs/>
          <w:szCs w:val="20"/>
          <w:lang w:eastAsia="sl-SI"/>
        </w:rPr>
        <w:t>.</w:t>
      </w:r>
    </w:p>
    <w:p w14:paraId="0598D776" w14:textId="77777777" w:rsidR="00B75740" w:rsidRPr="003951A6" w:rsidRDefault="00B75740" w:rsidP="003951A6">
      <w:pPr>
        <w:spacing w:line="240" w:lineRule="auto"/>
        <w:jc w:val="both"/>
        <w:rPr>
          <w:rFonts w:cs="Arial"/>
          <w:szCs w:val="20"/>
        </w:rPr>
      </w:pPr>
    </w:p>
    <w:p w14:paraId="65B6A08E" w14:textId="77777777" w:rsidR="00B75740" w:rsidRPr="0072535A" w:rsidRDefault="00B75740" w:rsidP="003951A6">
      <w:pPr>
        <w:autoSpaceDE w:val="0"/>
        <w:autoSpaceDN w:val="0"/>
        <w:adjustRightInd w:val="0"/>
        <w:spacing w:line="240" w:lineRule="auto"/>
        <w:jc w:val="both"/>
        <w:rPr>
          <w:rFonts w:cs="Arial"/>
          <w:color w:val="000000"/>
          <w:szCs w:val="20"/>
        </w:rPr>
      </w:pPr>
      <w:r w:rsidRPr="0072535A">
        <w:rPr>
          <w:rFonts w:cs="Arial"/>
          <w:color w:val="000000"/>
          <w:szCs w:val="20"/>
        </w:rPr>
        <w:t>Vir: Ministrstvo za finance</w:t>
      </w:r>
    </w:p>
    <w:p w14:paraId="45137198" w14:textId="77777777" w:rsidR="00B75740" w:rsidRPr="003951A6" w:rsidRDefault="00B75740" w:rsidP="003951A6">
      <w:pPr>
        <w:spacing w:line="240" w:lineRule="auto"/>
        <w:jc w:val="both"/>
        <w:rPr>
          <w:rFonts w:cs="Arial"/>
          <w:szCs w:val="20"/>
        </w:rPr>
      </w:pPr>
    </w:p>
    <w:p w14:paraId="4548BD3C" w14:textId="77777777" w:rsidR="00B75740" w:rsidRPr="003951A6" w:rsidRDefault="00B75740" w:rsidP="003951A6">
      <w:pPr>
        <w:autoSpaceDE w:val="0"/>
        <w:autoSpaceDN w:val="0"/>
        <w:adjustRightInd w:val="0"/>
        <w:spacing w:line="240" w:lineRule="auto"/>
        <w:jc w:val="both"/>
        <w:rPr>
          <w:rFonts w:cs="Arial"/>
          <w:b/>
          <w:bCs/>
          <w:color w:val="000000"/>
          <w:szCs w:val="20"/>
        </w:rPr>
      </w:pPr>
    </w:p>
    <w:p w14:paraId="78FF2774" w14:textId="77777777" w:rsidR="00B75740" w:rsidRPr="003951A6" w:rsidRDefault="00B75740" w:rsidP="003951A6">
      <w:pPr>
        <w:widowControl w:val="0"/>
        <w:tabs>
          <w:tab w:val="left" w:pos="1474"/>
        </w:tabs>
        <w:autoSpaceDE w:val="0"/>
        <w:autoSpaceDN w:val="0"/>
        <w:adjustRightInd w:val="0"/>
        <w:spacing w:line="240" w:lineRule="auto"/>
        <w:jc w:val="both"/>
        <w:rPr>
          <w:rFonts w:cs="Arial"/>
          <w:b/>
          <w:iCs/>
          <w:szCs w:val="20"/>
        </w:rPr>
      </w:pPr>
      <w:r w:rsidRPr="003951A6">
        <w:rPr>
          <w:rFonts w:cs="Arial"/>
          <w:b/>
          <w:iCs/>
          <w:szCs w:val="20"/>
        </w:rPr>
        <w:t xml:space="preserve">Povečanje namenskega premoženja in kapitala Stanovanjskega sklada </w:t>
      </w:r>
    </w:p>
    <w:p w14:paraId="4316D446" w14:textId="77777777" w:rsidR="0072535A" w:rsidRDefault="0072535A" w:rsidP="003951A6">
      <w:pPr>
        <w:widowControl w:val="0"/>
        <w:tabs>
          <w:tab w:val="left" w:pos="1474"/>
        </w:tabs>
        <w:autoSpaceDE w:val="0"/>
        <w:autoSpaceDN w:val="0"/>
        <w:adjustRightInd w:val="0"/>
        <w:spacing w:line="240" w:lineRule="auto"/>
        <w:jc w:val="both"/>
        <w:rPr>
          <w:rFonts w:cs="Arial"/>
          <w:iCs/>
          <w:szCs w:val="20"/>
        </w:rPr>
      </w:pPr>
    </w:p>
    <w:p w14:paraId="6F99822D" w14:textId="656732DA" w:rsidR="00B75740" w:rsidRPr="003951A6" w:rsidRDefault="00B75740" w:rsidP="003951A6">
      <w:pPr>
        <w:widowControl w:val="0"/>
        <w:tabs>
          <w:tab w:val="left" w:pos="1474"/>
        </w:tabs>
        <w:autoSpaceDE w:val="0"/>
        <w:autoSpaceDN w:val="0"/>
        <w:adjustRightInd w:val="0"/>
        <w:spacing w:line="240" w:lineRule="auto"/>
        <w:jc w:val="both"/>
        <w:rPr>
          <w:rFonts w:cs="Arial"/>
          <w:szCs w:val="20"/>
        </w:rPr>
      </w:pPr>
      <w:r w:rsidRPr="003951A6">
        <w:rPr>
          <w:rFonts w:cs="Arial"/>
          <w:iCs/>
          <w:szCs w:val="20"/>
        </w:rPr>
        <w:t>Vlada je sklenila, da se n</w:t>
      </w:r>
      <w:r w:rsidRPr="003951A6">
        <w:rPr>
          <w:rFonts w:cs="Arial"/>
          <w:szCs w:val="20"/>
        </w:rPr>
        <w:t>amensko premoženje in kapital Stanovanjskega sklada Republike Slovenije (SSRS), javnega sklada, povečata z izplačilom sredstev v višini 1.500.000 evrov s proračunske postavke 221083 -Dokapitalizacija Stanovanjskega sklada RS.</w:t>
      </w:r>
    </w:p>
    <w:p w14:paraId="6F23EE0F" w14:textId="77777777" w:rsidR="00B75740" w:rsidRPr="003951A6" w:rsidRDefault="00B75740" w:rsidP="003951A6">
      <w:pPr>
        <w:spacing w:line="240" w:lineRule="auto"/>
        <w:jc w:val="both"/>
        <w:rPr>
          <w:rFonts w:cs="Arial"/>
          <w:szCs w:val="20"/>
        </w:rPr>
      </w:pPr>
    </w:p>
    <w:p w14:paraId="50709D13" w14:textId="5DDA5DAA" w:rsidR="00B75740" w:rsidRPr="003951A6" w:rsidRDefault="00B75740" w:rsidP="003951A6">
      <w:pPr>
        <w:spacing w:line="240" w:lineRule="auto"/>
        <w:jc w:val="both"/>
        <w:rPr>
          <w:rFonts w:cs="Arial"/>
          <w:iCs/>
          <w:szCs w:val="20"/>
        </w:rPr>
      </w:pPr>
      <w:r w:rsidRPr="003951A6">
        <w:rPr>
          <w:rFonts w:cs="Arial"/>
          <w:szCs w:val="20"/>
        </w:rPr>
        <w:t xml:space="preserve">SSRS bo sredstva namenil hčerinski družbi Spekter </w:t>
      </w:r>
      <w:proofErr w:type="spellStart"/>
      <w:r w:rsidRPr="003951A6">
        <w:rPr>
          <w:rFonts w:cs="Arial"/>
          <w:szCs w:val="20"/>
        </w:rPr>
        <w:t>d.o.o</w:t>
      </w:r>
      <w:proofErr w:type="spellEnd"/>
      <w:r w:rsidRPr="003951A6">
        <w:rPr>
          <w:rFonts w:cs="Arial"/>
          <w:szCs w:val="20"/>
        </w:rPr>
        <w:t xml:space="preserve">. za gradnjo oskrbovanih stanovanj. Spekter </w:t>
      </w:r>
      <w:proofErr w:type="spellStart"/>
      <w:r w:rsidRPr="003951A6">
        <w:rPr>
          <w:rFonts w:cs="Arial"/>
          <w:szCs w:val="20"/>
        </w:rPr>
        <w:t>d.o.o</w:t>
      </w:r>
      <w:proofErr w:type="spellEnd"/>
      <w:r w:rsidRPr="003951A6">
        <w:rPr>
          <w:rFonts w:cs="Arial"/>
          <w:szCs w:val="20"/>
        </w:rPr>
        <w:t>. v sodelovanju SSRS načrtuje pridob</w:t>
      </w:r>
      <w:r w:rsidR="0072535A">
        <w:rPr>
          <w:rFonts w:cs="Arial"/>
          <w:szCs w:val="20"/>
        </w:rPr>
        <w:t>i</w:t>
      </w:r>
      <w:r w:rsidRPr="003951A6">
        <w:rPr>
          <w:rFonts w:cs="Arial"/>
          <w:szCs w:val="20"/>
        </w:rPr>
        <w:t>tev 18 oskrbovanih  stanovanj, namenjenih najemu. Oskrbovana stanovanja bodo pridobili z rekonstrukcijo bivše upravne stavbe RTH v Trbovljah, ki se nahaja v središču mesta. Vsa pomembnejša infrastruktura je že zagotovljena (trgovine, banke, avtobusna postaja).</w:t>
      </w:r>
    </w:p>
    <w:p w14:paraId="093608E0" w14:textId="22CD2E18" w:rsidR="00B75740" w:rsidRPr="003951A6" w:rsidRDefault="00B75740" w:rsidP="003951A6">
      <w:pPr>
        <w:autoSpaceDE w:val="0"/>
        <w:autoSpaceDN w:val="0"/>
        <w:adjustRightInd w:val="0"/>
        <w:spacing w:line="240" w:lineRule="auto"/>
        <w:jc w:val="both"/>
        <w:rPr>
          <w:rFonts w:cs="Arial"/>
          <w:b/>
          <w:bCs/>
          <w:color w:val="000000"/>
          <w:szCs w:val="20"/>
        </w:rPr>
      </w:pPr>
    </w:p>
    <w:p w14:paraId="346E13A7" w14:textId="5DAF07B1" w:rsidR="00B75740" w:rsidRPr="0072535A" w:rsidRDefault="00B75740" w:rsidP="003951A6">
      <w:pPr>
        <w:autoSpaceDE w:val="0"/>
        <w:autoSpaceDN w:val="0"/>
        <w:adjustRightInd w:val="0"/>
        <w:spacing w:line="240" w:lineRule="auto"/>
        <w:jc w:val="both"/>
        <w:rPr>
          <w:rFonts w:cs="Arial"/>
          <w:color w:val="000000"/>
          <w:szCs w:val="20"/>
        </w:rPr>
      </w:pPr>
      <w:r w:rsidRPr="0072535A">
        <w:rPr>
          <w:rFonts w:cs="Arial"/>
          <w:color w:val="000000"/>
          <w:szCs w:val="20"/>
        </w:rPr>
        <w:lastRenderedPageBreak/>
        <w:t>Vir: Ministrstvo za okolje in prostor</w:t>
      </w:r>
    </w:p>
    <w:p w14:paraId="1EC6FCAD" w14:textId="52D8377D" w:rsidR="00B75740" w:rsidRPr="003951A6" w:rsidRDefault="00B75740" w:rsidP="003951A6">
      <w:pPr>
        <w:autoSpaceDE w:val="0"/>
        <w:autoSpaceDN w:val="0"/>
        <w:adjustRightInd w:val="0"/>
        <w:spacing w:line="240" w:lineRule="auto"/>
        <w:jc w:val="both"/>
        <w:rPr>
          <w:rFonts w:cs="Arial"/>
          <w:b/>
          <w:bCs/>
          <w:color w:val="000000"/>
          <w:szCs w:val="20"/>
        </w:rPr>
      </w:pPr>
    </w:p>
    <w:p w14:paraId="75F0638C" w14:textId="77777777" w:rsidR="0072535A" w:rsidRDefault="0072535A" w:rsidP="003951A6">
      <w:pPr>
        <w:spacing w:line="240" w:lineRule="auto"/>
        <w:jc w:val="both"/>
        <w:rPr>
          <w:rFonts w:cs="Arial"/>
          <w:b/>
          <w:szCs w:val="20"/>
        </w:rPr>
      </w:pPr>
    </w:p>
    <w:p w14:paraId="2AE0F8AD" w14:textId="1D48339A" w:rsidR="003B65A4" w:rsidRPr="003951A6" w:rsidRDefault="003B65A4" w:rsidP="003951A6">
      <w:pPr>
        <w:spacing w:line="240" w:lineRule="auto"/>
        <w:jc w:val="both"/>
        <w:rPr>
          <w:rFonts w:cs="Arial"/>
          <w:b/>
          <w:szCs w:val="20"/>
        </w:rPr>
      </w:pPr>
      <w:r w:rsidRPr="003951A6">
        <w:rPr>
          <w:rFonts w:cs="Arial"/>
          <w:b/>
          <w:szCs w:val="20"/>
        </w:rPr>
        <w:t>Vlada je v veljavni Načrt razvojnih programov 2022-2025 uvrstila novi projekt 2430-22-0003 Program postopnega zapiranja RTH 2022 –2023</w:t>
      </w:r>
    </w:p>
    <w:p w14:paraId="13B0D46D" w14:textId="77777777" w:rsidR="003B65A4" w:rsidRPr="003951A6" w:rsidRDefault="003B65A4" w:rsidP="003951A6">
      <w:pPr>
        <w:spacing w:line="240" w:lineRule="auto"/>
        <w:jc w:val="both"/>
        <w:rPr>
          <w:rFonts w:cs="Arial"/>
          <w:b/>
          <w:szCs w:val="20"/>
        </w:rPr>
      </w:pPr>
    </w:p>
    <w:p w14:paraId="01D20955" w14:textId="77777777" w:rsidR="003B65A4" w:rsidRPr="003951A6" w:rsidRDefault="003B65A4" w:rsidP="003951A6">
      <w:pPr>
        <w:spacing w:line="240" w:lineRule="auto"/>
        <w:jc w:val="both"/>
        <w:rPr>
          <w:rFonts w:cs="Arial"/>
          <w:szCs w:val="20"/>
        </w:rPr>
      </w:pPr>
      <w:r w:rsidRPr="003951A6">
        <w:rPr>
          <w:rFonts w:cs="Arial"/>
          <w:szCs w:val="20"/>
        </w:rPr>
        <w:t>Vlada je v veljavni Načrt razvojnih programov 2022-2025 uvrstila novi projekt 2430-22-0003 Program postopnega zapiranja RTH 2022 –2023.</w:t>
      </w:r>
    </w:p>
    <w:p w14:paraId="71BCAA0A" w14:textId="77777777" w:rsidR="003B65A4" w:rsidRPr="003951A6" w:rsidRDefault="003B65A4" w:rsidP="003951A6">
      <w:pPr>
        <w:spacing w:line="240" w:lineRule="auto"/>
        <w:jc w:val="both"/>
        <w:rPr>
          <w:rFonts w:cs="Arial"/>
          <w:szCs w:val="20"/>
        </w:rPr>
      </w:pPr>
    </w:p>
    <w:p w14:paraId="6DD42942" w14:textId="77777777" w:rsidR="003B65A4" w:rsidRPr="003951A6" w:rsidRDefault="003B65A4" w:rsidP="003951A6">
      <w:pPr>
        <w:spacing w:line="240" w:lineRule="auto"/>
        <w:jc w:val="both"/>
        <w:rPr>
          <w:rFonts w:cs="Arial"/>
          <w:color w:val="000000"/>
          <w:szCs w:val="20"/>
        </w:rPr>
      </w:pPr>
      <w:r w:rsidRPr="003951A6">
        <w:rPr>
          <w:rFonts w:cs="Arial"/>
          <w:color w:val="000000"/>
          <w:szCs w:val="20"/>
        </w:rPr>
        <w:t xml:space="preserve">RTH, Rudnik Trbovlje Hrastnik d. o. o. – v likvidaciji je izvajal sanacijo pridobivalnega prostora Trbovlje-Hrastnik na podlagi Zakona o postopnem zapiranju Rudnika Trbovlje–Hrastnik in razvojnem prestrukturiranju regije (v nadaljnjem besedilu: ZPZRTH). ZPZRTH je bil s koncem leta 2020 formalno konzumiran, v okviru razpoložljivih sredstev pa ni bilo mogoče zaključiti vseh predvidenih zapiralnih del za odpravo posledic izkoriščanja, posledično pa tudi ni bilo mogoče zaključiti upravnih postopkov za popolno in trajno opustitev izvajanja rudarskih del ter likvidirati družbo. Z namenom dokončanja del, izvedbe upravnih postopkov in likvidacije družbe je Državni zbor dne 15. 12. 2021 sprejel Zakon o spremembah in dopolnitvah Zakona o postopnem zapiranju Rudnika Trbovlje-Hrastnik (RTH) in razvojnem prestrukturiranju regije, s katerim se rok za izvedbo sanacijskih del podaljšuje do konca leta 2022, rok za dokončanje upravnih postopkov pa do konca leta 2023. </w:t>
      </w:r>
    </w:p>
    <w:p w14:paraId="7F3FC1D5" w14:textId="77777777" w:rsidR="003B65A4" w:rsidRPr="003951A6" w:rsidRDefault="003B65A4" w:rsidP="003951A6">
      <w:pPr>
        <w:spacing w:line="240" w:lineRule="auto"/>
        <w:jc w:val="both"/>
        <w:rPr>
          <w:rFonts w:cs="Arial"/>
          <w:color w:val="000000"/>
          <w:szCs w:val="20"/>
        </w:rPr>
      </w:pPr>
    </w:p>
    <w:p w14:paraId="4BFC0822" w14:textId="77777777" w:rsidR="003B65A4" w:rsidRPr="003951A6" w:rsidRDefault="003B65A4" w:rsidP="003951A6">
      <w:pPr>
        <w:spacing w:line="240" w:lineRule="auto"/>
        <w:jc w:val="both"/>
        <w:rPr>
          <w:rFonts w:cs="Arial"/>
          <w:color w:val="000000"/>
          <w:szCs w:val="20"/>
        </w:rPr>
      </w:pPr>
      <w:r w:rsidRPr="003951A6">
        <w:rPr>
          <w:rFonts w:cs="Arial"/>
          <w:color w:val="000000"/>
          <w:szCs w:val="20"/>
        </w:rPr>
        <w:t>Skladno s četrtim in petim odstavkom 4. člena ZPZRTH – H, je bil izdelan Program postopnega zapiranja (PPZ) Rudnika Trbovlje – Hrastnik za obdobje 2022 – 2023, ki ga je Vlada Republike Slovenije potrdila dne 3. 3. 2022.</w:t>
      </w:r>
    </w:p>
    <w:p w14:paraId="1ED0CEA7" w14:textId="77777777" w:rsidR="003B65A4" w:rsidRPr="003951A6" w:rsidRDefault="003B65A4" w:rsidP="003951A6">
      <w:pPr>
        <w:spacing w:line="240" w:lineRule="auto"/>
        <w:jc w:val="both"/>
        <w:rPr>
          <w:rFonts w:cs="Arial"/>
          <w:color w:val="000000"/>
          <w:szCs w:val="20"/>
        </w:rPr>
      </w:pPr>
    </w:p>
    <w:p w14:paraId="4B94AF63" w14:textId="77777777" w:rsidR="003B65A4" w:rsidRPr="003951A6" w:rsidRDefault="003B65A4" w:rsidP="003951A6">
      <w:pPr>
        <w:spacing w:line="240" w:lineRule="auto"/>
        <w:jc w:val="both"/>
        <w:rPr>
          <w:rFonts w:cs="Arial"/>
          <w:color w:val="000000"/>
          <w:szCs w:val="20"/>
        </w:rPr>
      </w:pPr>
      <w:r w:rsidRPr="003951A6">
        <w:rPr>
          <w:rFonts w:cs="Arial"/>
          <w:color w:val="000000"/>
          <w:szCs w:val="20"/>
        </w:rPr>
        <w:t xml:space="preserve">Program vsebuje nedokončana dela, ki se zaradi pomankanja finančnih sredstev niso končala že v programskem obdobju 2019 do 2020 in s tem posledično tudi ni bilo mogoče likvidirati družbe. </w:t>
      </w:r>
    </w:p>
    <w:p w14:paraId="22195730" w14:textId="77777777" w:rsidR="003B65A4" w:rsidRPr="003951A6" w:rsidRDefault="003B65A4" w:rsidP="003951A6">
      <w:pPr>
        <w:spacing w:line="240" w:lineRule="auto"/>
        <w:jc w:val="both"/>
        <w:rPr>
          <w:rFonts w:cs="Arial"/>
          <w:color w:val="000000"/>
          <w:szCs w:val="20"/>
        </w:rPr>
      </w:pPr>
    </w:p>
    <w:p w14:paraId="41328755" w14:textId="77777777" w:rsidR="003B65A4" w:rsidRPr="003951A6" w:rsidRDefault="003B65A4" w:rsidP="003951A6">
      <w:pPr>
        <w:spacing w:line="240" w:lineRule="auto"/>
        <w:jc w:val="both"/>
        <w:rPr>
          <w:rFonts w:cs="Arial"/>
          <w:color w:val="000000"/>
          <w:szCs w:val="20"/>
        </w:rPr>
      </w:pPr>
      <w:r w:rsidRPr="003951A6">
        <w:rPr>
          <w:rFonts w:cs="Arial"/>
          <w:color w:val="000000"/>
          <w:szCs w:val="20"/>
        </w:rPr>
        <w:t>Določeni so cilji Programa, ki so:</w:t>
      </w:r>
    </w:p>
    <w:p w14:paraId="4A7E98E0" w14:textId="009519BC" w:rsidR="003B65A4" w:rsidRPr="0072535A" w:rsidRDefault="003B65A4" w:rsidP="0072535A">
      <w:pPr>
        <w:pStyle w:val="Odstavekseznama"/>
        <w:numPr>
          <w:ilvl w:val="0"/>
          <w:numId w:val="17"/>
        </w:numPr>
        <w:spacing w:line="240" w:lineRule="auto"/>
        <w:jc w:val="both"/>
        <w:rPr>
          <w:rFonts w:cs="Arial"/>
          <w:color w:val="000000"/>
          <w:szCs w:val="20"/>
        </w:rPr>
      </w:pPr>
      <w:r w:rsidRPr="0072535A">
        <w:rPr>
          <w:rFonts w:cs="Arial"/>
          <w:color w:val="000000"/>
          <w:szCs w:val="20"/>
        </w:rPr>
        <w:t>dokončanje neizvedenih del iz PPZ RTH 2019-2020 in Priloge 1 k PPZ RTH 2019-2020;</w:t>
      </w:r>
    </w:p>
    <w:p w14:paraId="75BBB0C6" w14:textId="512E9085" w:rsidR="003B65A4" w:rsidRPr="0072535A" w:rsidRDefault="003B65A4" w:rsidP="0072535A">
      <w:pPr>
        <w:pStyle w:val="Odstavekseznama"/>
        <w:numPr>
          <w:ilvl w:val="0"/>
          <w:numId w:val="17"/>
        </w:numPr>
        <w:spacing w:line="240" w:lineRule="auto"/>
        <w:jc w:val="both"/>
        <w:rPr>
          <w:rFonts w:cs="Arial"/>
          <w:color w:val="000000"/>
          <w:szCs w:val="20"/>
        </w:rPr>
      </w:pPr>
      <w:r w:rsidRPr="0072535A">
        <w:rPr>
          <w:rFonts w:cs="Arial"/>
          <w:color w:val="000000"/>
          <w:szCs w:val="20"/>
        </w:rPr>
        <w:t>izvedba oziroma dokončanje upravnih postopkov, ki jih predvideva zakon, ki ureja rudarstvo, za izdajo odločbe o prenehanju pravic in obveznosti nosilca rudarske pravice za izkoriščanje;</w:t>
      </w:r>
    </w:p>
    <w:p w14:paraId="3C798F3F" w14:textId="08EF1C56" w:rsidR="003B65A4" w:rsidRPr="0072535A" w:rsidRDefault="003B65A4" w:rsidP="0072535A">
      <w:pPr>
        <w:pStyle w:val="Odstavekseznama"/>
        <w:numPr>
          <w:ilvl w:val="0"/>
          <w:numId w:val="17"/>
        </w:numPr>
        <w:spacing w:line="240" w:lineRule="auto"/>
        <w:jc w:val="both"/>
        <w:rPr>
          <w:rFonts w:cs="Arial"/>
          <w:color w:val="000000"/>
          <w:szCs w:val="20"/>
        </w:rPr>
      </w:pPr>
      <w:r w:rsidRPr="0072535A">
        <w:rPr>
          <w:rFonts w:cs="Arial"/>
          <w:color w:val="000000"/>
          <w:szCs w:val="20"/>
        </w:rPr>
        <w:t>izvajanje monitoringa ter vzdrževanje in odpravljanje škode na saniranih površinah in objektih do uspešno izvede aktivnosti iz prejšnje alineje;</w:t>
      </w:r>
    </w:p>
    <w:p w14:paraId="1E792C58" w14:textId="24C4B0CB" w:rsidR="003B65A4" w:rsidRPr="0072535A" w:rsidRDefault="003B65A4" w:rsidP="0072535A">
      <w:pPr>
        <w:pStyle w:val="Odstavekseznama"/>
        <w:numPr>
          <w:ilvl w:val="0"/>
          <w:numId w:val="17"/>
        </w:numPr>
        <w:spacing w:line="240" w:lineRule="auto"/>
        <w:jc w:val="both"/>
        <w:rPr>
          <w:rFonts w:cs="Arial"/>
          <w:color w:val="000000"/>
          <w:szCs w:val="20"/>
        </w:rPr>
      </w:pPr>
      <w:r w:rsidRPr="0072535A">
        <w:rPr>
          <w:rFonts w:cs="Arial"/>
          <w:color w:val="000000"/>
          <w:szCs w:val="20"/>
        </w:rPr>
        <w:t>vzdrževanje saniranih površin in objektov v smislu preprečevanja nastajanja škode zaradi vplivov rudarjenja oziroma ogrožanja varnosti;</w:t>
      </w:r>
    </w:p>
    <w:p w14:paraId="29A6F83F" w14:textId="2A342DD5" w:rsidR="003B65A4" w:rsidRPr="0072535A" w:rsidRDefault="003B65A4" w:rsidP="0072535A">
      <w:pPr>
        <w:pStyle w:val="Odstavekseznama"/>
        <w:numPr>
          <w:ilvl w:val="0"/>
          <w:numId w:val="17"/>
        </w:numPr>
        <w:spacing w:line="240" w:lineRule="auto"/>
        <w:jc w:val="both"/>
        <w:rPr>
          <w:rFonts w:cs="Arial"/>
          <w:color w:val="000000"/>
          <w:szCs w:val="20"/>
        </w:rPr>
      </w:pPr>
      <w:r w:rsidRPr="0072535A">
        <w:rPr>
          <w:rFonts w:cs="Arial"/>
          <w:color w:val="000000"/>
          <w:szCs w:val="20"/>
        </w:rPr>
        <w:t>vzdrževanje premoženja družbe RTH do njegove prodaje;</w:t>
      </w:r>
    </w:p>
    <w:p w14:paraId="058E5F48" w14:textId="652B2CF6" w:rsidR="003B65A4" w:rsidRPr="0072535A" w:rsidRDefault="003B65A4" w:rsidP="0072535A">
      <w:pPr>
        <w:pStyle w:val="Odstavekseznama"/>
        <w:numPr>
          <w:ilvl w:val="0"/>
          <w:numId w:val="17"/>
        </w:numPr>
        <w:spacing w:line="240" w:lineRule="auto"/>
        <w:jc w:val="both"/>
        <w:rPr>
          <w:rFonts w:cs="Arial"/>
          <w:color w:val="000000"/>
          <w:szCs w:val="20"/>
        </w:rPr>
      </w:pPr>
      <w:r w:rsidRPr="0072535A">
        <w:rPr>
          <w:rFonts w:cs="Arial"/>
          <w:color w:val="000000"/>
          <w:szCs w:val="20"/>
        </w:rPr>
        <w:t>izvajanje aktivnosti za dokončno likvidacijo družbe po poravnavi vseh obveznosti.</w:t>
      </w:r>
    </w:p>
    <w:p w14:paraId="41EA1131" w14:textId="77777777" w:rsidR="003B65A4" w:rsidRPr="003951A6" w:rsidRDefault="003B65A4" w:rsidP="003951A6">
      <w:pPr>
        <w:spacing w:line="240" w:lineRule="auto"/>
        <w:jc w:val="both"/>
        <w:rPr>
          <w:rFonts w:cs="Arial"/>
          <w:color w:val="000000"/>
          <w:szCs w:val="20"/>
        </w:rPr>
      </w:pPr>
    </w:p>
    <w:p w14:paraId="4BA25BF1" w14:textId="77777777" w:rsidR="003B65A4" w:rsidRPr="003951A6" w:rsidRDefault="003B65A4" w:rsidP="003951A6">
      <w:pPr>
        <w:spacing w:line="240" w:lineRule="auto"/>
        <w:jc w:val="both"/>
        <w:rPr>
          <w:rFonts w:cs="Arial"/>
          <w:color w:val="000000"/>
          <w:szCs w:val="20"/>
        </w:rPr>
      </w:pPr>
      <w:r w:rsidRPr="003951A6">
        <w:rPr>
          <w:rFonts w:cs="Arial"/>
          <w:color w:val="000000"/>
          <w:szCs w:val="20"/>
        </w:rPr>
        <w:t xml:space="preserve">Program opredeljuje tudi tveganja, ki bi lahko ogrozila izvedbo v Programu opredeljene aktivnosti in ti so:  </w:t>
      </w:r>
    </w:p>
    <w:p w14:paraId="2EAE0FE8" w14:textId="1447D63F" w:rsidR="003B65A4" w:rsidRPr="0072535A" w:rsidRDefault="003B65A4" w:rsidP="0072535A">
      <w:pPr>
        <w:pStyle w:val="Odstavekseznama"/>
        <w:numPr>
          <w:ilvl w:val="0"/>
          <w:numId w:val="18"/>
        </w:numPr>
        <w:spacing w:line="240" w:lineRule="auto"/>
        <w:jc w:val="both"/>
        <w:rPr>
          <w:rFonts w:cs="Arial"/>
          <w:color w:val="000000"/>
          <w:szCs w:val="20"/>
        </w:rPr>
      </w:pPr>
      <w:r w:rsidRPr="0072535A">
        <w:rPr>
          <w:rFonts w:cs="Arial"/>
          <w:color w:val="000000"/>
          <w:szCs w:val="20"/>
        </w:rPr>
        <w:t>Nepredvideni dogodki: V času izvajanja aktivnosti PPZ RTH 2022-2023 lahko, zaradi obsežnosti in zahtevnosti tako pridobivalnega prostora (PP), ki ga družba RTH sanira kot tudi obsežnosti sanacijskih del, pride do dogodkov, ki povzročajo nevarnost za zdravje in življenje ljudi in živali ali ogrožajo premoženje drugih (npr. plazovi, vdori, deformacije terena, ...). Družba RTH je dolžna posledice teh dogodkov sanirati, kar je tudi načrtovala. Zaradi obsežnosti in zahtevnosti tako PP, ki ga družba RTH sanira, kot tudi obsežnosti sanacijskih del, obstaja veliko tveganje, da obseg nepredvidenih dogodkov odstopa od načrtovanih, kar se je izkazalo tudi v obdobju izvajanja PZ 2019-2020;</w:t>
      </w:r>
    </w:p>
    <w:p w14:paraId="66A50B93" w14:textId="29A2F3CD" w:rsidR="003B65A4" w:rsidRPr="0072535A" w:rsidRDefault="003B65A4" w:rsidP="0072535A">
      <w:pPr>
        <w:pStyle w:val="Odstavekseznama"/>
        <w:numPr>
          <w:ilvl w:val="0"/>
          <w:numId w:val="18"/>
        </w:numPr>
        <w:spacing w:line="240" w:lineRule="auto"/>
        <w:jc w:val="both"/>
        <w:rPr>
          <w:rFonts w:cs="Arial"/>
          <w:color w:val="000000"/>
          <w:szCs w:val="20"/>
        </w:rPr>
      </w:pPr>
      <w:r w:rsidRPr="0072535A">
        <w:rPr>
          <w:rFonts w:cs="Arial"/>
          <w:color w:val="000000"/>
          <w:szCs w:val="20"/>
        </w:rPr>
        <w:t>Tveganje nepravočasne izvedbe del za dokončanje nezaključenih postavk ekološko-prostorske sanacije (EPS);</w:t>
      </w:r>
    </w:p>
    <w:p w14:paraId="64B9ED80" w14:textId="09954158" w:rsidR="003B65A4" w:rsidRPr="0072535A" w:rsidRDefault="003B65A4" w:rsidP="0072535A">
      <w:pPr>
        <w:pStyle w:val="Odstavekseznama"/>
        <w:numPr>
          <w:ilvl w:val="0"/>
          <w:numId w:val="18"/>
        </w:numPr>
        <w:spacing w:line="240" w:lineRule="auto"/>
        <w:jc w:val="both"/>
        <w:rPr>
          <w:rFonts w:cs="Arial"/>
          <w:color w:val="000000"/>
          <w:szCs w:val="20"/>
        </w:rPr>
      </w:pPr>
      <w:r w:rsidRPr="0072535A">
        <w:rPr>
          <w:rFonts w:cs="Arial"/>
          <w:color w:val="000000"/>
          <w:szCs w:val="20"/>
        </w:rPr>
        <w:t>Tveganje nepravočasnosti izvedbe postopkov za pridobitev odločbe prenehanja pravic in obveznosti nosilca rudarske pravice;</w:t>
      </w:r>
    </w:p>
    <w:p w14:paraId="4BD9454E" w14:textId="2FFC1775" w:rsidR="003B65A4" w:rsidRPr="0072535A" w:rsidRDefault="003B65A4" w:rsidP="0072535A">
      <w:pPr>
        <w:pStyle w:val="Odstavekseznama"/>
        <w:numPr>
          <w:ilvl w:val="0"/>
          <w:numId w:val="18"/>
        </w:numPr>
        <w:spacing w:line="240" w:lineRule="auto"/>
        <w:jc w:val="both"/>
        <w:rPr>
          <w:rFonts w:cs="Arial"/>
          <w:color w:val="000000"/>
          <w:szCs w:val="20"/>
        </w:rPr>
      </w:pPr>
      <w:r w:rsidRPr="0072535A">
        <w:rPr>
          <w:rFonts w:cs="Arial"/>
          <w:color w:val="000000"/>
          <w:szCs w:val="20"/>
        </w:rPr>
        <w:t>Tveganje višjih cen storitev;</w:t>
      </w:r>
    </w:p>
    <w:p w14:paraId="69449A33" w14:textId="0A69275E" w:rsidR="003B65A4" w:rsidRPr="0072535A" w:rsidRDefault="003B65A4" w:rsidP="0072535A">
      <w:pPr>
        <w:pStyle w:val="Odstavekseznama"/>
        <w:numPr>
          <w:ilvl w:val="0"/>
          <w:numId w:val="18"/>
        </w:numPr>
        <w:spacing w:line="240" w:lineRule="auto"/>
        <w:jc w:val="both"/>
        <w:rPr>
          <w:rFonts w:cs="Arial"/>
          <w:color w:val="000000"/>
          <w:szCs w:val="20"/>
        </w:rPr>
      </w:pPr>
      <w:r w:rsidRPr="0072535A">
        <w:rPr>
          <w:rFonts w:cs="Arial"/>
          <w:color w:val="000000"/>
          <w:szCs w:val="20"/>
        </w:rPr>
        <w:t>Likvidnostno tveganje: Ob predpostavkah in tudi zaradi stalnih stroškov, ki izhajajo iz lastništva (NUSZ, elektrika, izplačilo rent, ...), bo nepravočasna izvedba vseh aktivnosti lahko družbo pripeljala v stečaj;</w:t>
      </w:r>
    </w:p>
    <w:p w14:paraId="07DC80B4" w14:textId="2A03E6CF" w:rsidR="003B65A4" w:rsidRPr="0072535A" w:rsidRDefault="003B65A4" w:rsidP="0072535A">
      <w:pPr>
        <w:pStyle w:val="Odstavekseznama"/>
        <w:numPr>
          <w:ilvl w:val="0"/>
          <w:numId w:val="18"/>
        </w:numPr>
        <w:spacing w:line="240" w:lineRule="auto"/>
        <w:jc w:val="both"/>
        <w:rPr>
          <w:rFonts w:cs="Arial"/>
          <w:color w:val="000000"/>
          <w:szCs w:val="20"/>
        </w:rPr>
      </w:pPr>
      <w:r w:rsidRPr="0072535A">
        <w:rPr>
          <w:rFonts w:cs="Arial"/>
          <w:color w:val="000000"/>
          <w:szCs w:val="20"/>
        </w:rPr>
        <w:lastRenderedPageBreak/>
        <w:t xml:space="preserve">Tveganje neuspešne redne likvidacije: V primeru zamude pri izvedbi upravnih postopkov za pridobitev odločbe prenehanja pravic in obveznosti nosilca rudarske pravice obstaja veliko tveganje, da postopek redne likvidacije družbe RTH ne bo uspešno izveden. Redna likvidacija se lahko zaključi le v primeru, da so dokončani vsi upravni postopki in pridobljena imenovana odločba. Družba bo morala torej poslovati toliko časa, da bo izpolnjen tudi ta pogoj. </w:t>
      </w:r>
    </w:p>
    <w:p w14:paraId="31423BA1" w14:textId="77777777" w:rsidR="003B65A4" w:rsidRPr="003951A6" w:rsidRDefault="003B65A4" w:rsidP="003951A6">
      <w:pPr>
        <w:spacing w:line="240" w:lineRule="auto"/>
        <w:jc w:val="both"/>
        <w:rPr>
          <w:rFonts w:cs="Arial"/>
          <w:color w:val="000000"/>
          <w:szCs w:val="20"/>
        </w:rPr>
      </w:pPr>
    </w:p>
    <w:p w14:paraId="7E66C010" w14:textId="77777777" w:rsidR="003B65A4" w:rsidRPr="0072535A" w:rsidRDefault="003B65A4" w:rsidP="003951A6">
      <w:pPr>
        <w:autoSpaceDE w:val="0"/>
        <w:autoSpaceDN w:val="0"/>
        <w:adjustRightInd w:val="0"/>
        <w:spacing w:line="240" w:lineRule="auto"/>
        <w:jc w:val="both"/>
        <w:rPr>
          <w:rFonts w:cs="Arial"/>
          <w:color w:val="000000"/>
          <w:szCs w:val="20"/>
        </w:rPr>
      </w:pPr>
      <w:r w:rsidRPr="0072535A">
        <w:rPr>
          <w:rFonts w:cs="Arial"/>
          <w:color w:val="000000"/>
          <w:szCs w:val="20"/>
        </w:rPr>
        <w:t>Vir: Ministrstvo za infrastrukturo</w:t>
      </w:r>
    </w:p>
    <w:p w14:paraId="02E46643" w14:textId="2C0EC224" w:rsidR="00B75740" w:rsidRPr="0072535A" w:rsidRDefault="00B75740" w:rsidP="003951A6">
      <w:pPr>
        <w:spacing w:line="240" w:lineRule="auto"/>
        <w:jc w:val="both"/>
        <w:rPr>
          <w:rFonts w:cs="Arial"/>
          <w:szCs w:val="20"/>
        </w:rPr>
      </w:pPr>
    </w:p>
    <w:p w14:paraId="6000A1E9" w14:textId="77777777" w:rsidR="0072535A" w:rsidRDefault="0072535A" w:rsidP="003951A6">
      <w:pPr>
        <w:spacing w:line="240" w:lineRule="auto"/>
        <w:jc w:val="both"/>
        <w:rPr>
          <w:rFonts w:cs="Arial"/>
          <w:b/>
          <w:color w:val="000000"/>
          <w:szCs w:val="20"/>
        </w:rPr>
      </w:pPr>
    </w:p>
    <w:p w14:paraId="5D28EB55" w14:textId="489A3C1B" w:rsidR="00F0626B" w:rsidRPr="003951A6" w:rsidRDefault="00F0626B" w:rsidP="003951A6">
      <w:pPr>
        <w:spacing w:line="240" w:lineRule="auto"/>
        <w:jc w:val="both"/>
        <w:rPr>
          <w:rFonts w:cs="Arial"/>
          <w:b/>
          <w:color w:val="000000"/>
          <w:szCs w:val="20"/>
        </w:rPr>
      </w:pPr>
      <w:r w:rsidRPr="003951A6">
        <w:rPr>
          <w:rFonts w:cs="Arial"/>
          <w:b/>
          <w:color w:val="000000"/>
          <w:szCs w:val="20"/>
        </w:rPr>
        <w:t xml:space="preserve">Vlada </w:t>
      </w:r>
      <w:r w:rsidRPr="003951A6">
        <w:rPr>
          <w:rFonts w:cs="Arial"/>
          <w:b/>
          <w:szCs w:val="20"/>
          <w:lang w:eastAsia="sl-SI"/>
        </w:rPr>
        <w:t>v Načrt razvojnih programov za obdobje 2022-2025 uvrstita dva projekta</w:t>
      </w:r>
    </w:p>
    <w:p w14:paraId="05D8FA24" w14:textId="77777777" w:rsidR="00F0626B" w:rsidRPr="003951A6" w:rsidRDefault="00F0626B" w:rsidP="003951A6">
      <w:pPr>
        <w:spacing w:line="240" w:lineRule="auto"/>
        <w:jc w:val="both"/>
        <w:rPr>
          <w:rFonts w:cs="Arial"/>
          <w:b/>
          <w:szCs w:val="20"/>
          <w:lang w:eastAsia="sl-SI"/>
        </w:rPr>
      </w:pPr>
    </w:p>
    <w:p w14:paraId="7000FDE2" w14:textId="77777777" w:rsidR="00F0626B" w:rsidRPr="0072535A" w:rsidRDefault="00F0626B" w:rsidP="003951A6">
      <w:pPr>
        <w:spacing w:line="240" w:lineRule="auto"/>
        <w:jc w:val="both"/>
        <w:rPr>
          <w:rFonts w:cs="Arial"/>
          <w:szCs w:val="20"/>
        </w:rPr>
      </w:pPr>
      <w:r w:rsidRPr="0072535A">
        <w:rPr>
          <w:rFonts w:cs="Arial"/>
          <w:szCs w:val="20"/>
        </w:rPr>
        <w:t>Vlada je v Načrt razvojnih programov za obdobje 2022-2025 uvrstita dva nova projekta, in sicer Negovalni dom covid-19 ter Gorenjska regijska bolnišnica.</w:t>
      </w:r>
    </w:p>
    <w:p w14:paraId="7118B9E4" w14:textId="77777777" w:rsidR="00F0626B" w:rsidRPr="003951A6" w:rsidRDefault="00F0626B" w:rsidP="003951A6">
      <w:pPr>
        <w:spacing w:line="240" w:lineRule="auto"/>
        <w:jc w:val="both"/>
        <w:rPr>
          <w:rFonts w:cs="Arial"/>
          <w:szCs w:val="20"/>
        </w:rPr>
      </w:pPr>
    </w:p>
    <w:p w14:paraId="5CA04428" w14:textId="77777777" w:rsidR="00F0626B" w:rsidRPr="003951A6" w:rsidRDefault="00F0626B" w:rsidP="003951A6">
      <w:pPr>
        <w:spacing w:line="240" w:lineRule="auto"/>
        <w:jc w:val="both"/>
        <w:rPr>
          <w:rFonts w:cs="Arial"/>
          <w:szCs w:val="20"/>
        </w:rPr>
      </w:pPr>
      <w:r w:rsidRPr="003951A6">
        <w:rPr>
          <w:rFonts w:cs="Arial"/>
          <w:szCs w:val="20"/>
        </w:rPr>
        <w:t xml:space="preserve">Ocenjena vrednost investicije Negovalni dom COVID-19 znaša 26.528.656,00 EUR z DDV, od tega bi 20.000.000,00 EUR zagotovili iz Mehanizma Evropske Unije za okrevanje in odpornost, preostalo pa bi prispevalo Ministrstvo za zdravje. Predmet investicije je izgradnja negovalnega doma s 300 posteljami za osebe, ki potrebujejo dolgotrajno oskrbo (v nadaljevanju DO). Negovalni dom bo namenjen zagotavljanju celostne obravnave odraslih oseb (tudi mlajših od 65 let, za katere zaradi kompleksnosti njihovih potreb v okviru dosedanjih rešitev nimamo ustreznih odgovorov) in zdravstveni oskrbi ter zagotavljanju storitev s področja rehabilitacije (na domu in v instituciji) za populacijo, upravičeno do </w:t>
      </w:r>
      <w:proofErr w:type="spellStart"/>
      <w:r w:rsidRPr="003951A6">
        <w:rPr>
          <w:rFonts w:cs="Arial"/>
          <w:szCs w:val="20"/>
        </w:rPr>
        <w:t>DO</w:t>
      </w:r>
      <w:proofErr w:type="spellEnd"/>
      <w:r w:rsidRPr="003951A6">
        <w:rPr>
          <w:rFonts w:cs="Arial"/>
          <w:szCs w:val="20"/>
        </w:rPr>
        <w:t>. Ranljivost obstoječe ureditve zagotavljanja storitev, ki spadajo na področje DO, je dodatno izpostavila tudi epidemija covid-19, ki je opozorila na pomanjkljivost obstoječih ureditev na področju institucionalnega varstva (omejene prostorske zmogljivosti, znanje in kadri, potreba po krepitvi sodelovanja z različnimi deležniki v sistemu zdravstva in socialnega varstva itd.) in na področju obravnave oseb, ki potrebujejo DO in jo želijo koristiti doma (odsotnost dostopa do celostne obravnave na domu).</w:t>
      </w:r>
    </w:p>
    <w:p w14:paraId="0B6394C4" w14:textId="77777777" w:rsidR="00F0626B" w:rsidRPr="003951A6" w:rsidRDefault="00F0626B" w:rsidP="003951A6">
      <w:pPr>
        <w:spacing w:line="240" w:lineRule="auto"/>
        <w:jc w:val="both"/>
        <w:rPr>
          <w:rFonts w:cs="Arial"/>
          <w:szCs w:val="20"/>
        </w:rPr>
      </w:pPr>
    </w:p>
    <w:p w14:paraId="064EDBB4" w14:textId="77777777" w:rsidR="00F0626B" w:rsidRPr="003951A6" w:rsidRDefault="00F0626B" w:rsidP="003951A6">
      <w:pPr>
        <w:spacing w:line="240" w:lineRule="auto"/>
        <w:jc w:val="both"/>
        <w:rPr>
          <w:rFonts w:cs="Arial"/>
          <w:szCs w:val="20"/>
        </w:rPr>
      </w:pPr>
      <w:r w:rsidRPr="003951A6">
        <w:rPr>
          <w:rFonts w:cs="Arial"/>
          <w:szCs w:val="20"/>
        </w:rPr>
        <w:t xml:space="preserve">Ocenjena vrednost investicije Gorenjska regijska bolnišnica znaša 305.273.616 EUR z DDV. Vire financiranja bo v celoti zagotovilo Ministrstvo za zdravje. Predmet investicije je investicija v novo Gorenjsko regijsko bolnišnico, s kapaciteto 600 postelj. Namen investicije je pridobitev prostorskih kapacitet, ki bodo omogočale vzpostavitev zahtevanega standarda za izvajanje in širjenje zdravstvene dejavnosti na sekundarnem nivoju. Z investicijo se bo izboljšala kakovost storitev in s tem posledično tudi zadovoljstvo uporabnikov storitev - pacientov. Glavni razlogi za investicijsko namero izhajajo iz nezmožnosti ustrezne širitve na obstoječi lokaciji Jesenic in razdrobljenosti programov oz. dostopov do storitev zdravstvenega varstva v regiji. </w:t>
      </w:r>
    </w:p>
    <w:p w14:paraId="1A4F3A38" w14:textId="77777777" w:rsidR="00F0626B" w:rsidRPr="003951A6" w:rsidRDefault="00F0626B" w:rsidP="003951A6">
      <w:pPr>
        <w:spacing w:line="240" w:lineRule="auto"/>
        <w:jc w:val="both"/>
        <w:rPr>
          <w:rFonts w:cs="Arial"/>
          <w:szCs w:val="20"/>
        </w:rPr>
      </w:pPr>
    </w:p>
    <w:p w14:paraId="6C79482A" w14:textId="77777777" w:rsidR="00F0626B" w:rsidRPr="003951A6" w:rsidRDefault="00F0626B" w:rsidP="003951A6">
      <w:pPr>
        <w:spacing w:line="240" w:lineRule="auto"/>
        <w:jc w:val="both"/>
        <w:rPr>
          <w:rFonts w:cs="Arial"/>
          <w:bCs/>
          <w:szCs w:val="20"/>
          <w:lang w:eastAsia="sl-SI"/>
        </w:rPr>
      </w:pPr>
      <w:r w:rsidRPr="003951A6">
        <w:rPr>
          <w:rFonts w:cs="Arial"/>
          <w:szCs w:val="20"/>
        </w:rPr>
        <w:t>Prioriteta zdravstvenega varstva mora biti težnja k obvladovanju hospitalizacij pacientov in iskanju drugih načinov za reševanje zdravstvenih problemov, kot sta preventiva in boljša oskrba v specialističnih ambulantah, kar bo posledično zmanjšalo in skrajšalo hospitalizacije pacientov, zato je izgradnja nove bolnišnice s 600 posteljami na Gorenjskem nacionalna prioriteta.</w:t>
      </w:r>
    </w:p>
    <w:p w14:paraId="4D3AA06A" w14:textId="6A859A08" w:rsidR="00F0626B" w:rsidRPr="0072535A" w:rsidRDefault="00F0626B" w:rsidP="003951A6">
      <w:pPr>
        <w:spacing w:line="240" w:lineRule="auto"/>
        <w:jc w:val="both"/>
        <w:rPr>
          <w:rFonts w:cs="Arial"/>
          <w:bCs/>
          <w:szCs w:val="20"/>
        </w:rPr>
      </w:pPr>
      <w:r w:rsidRPr="0072535A">
        <w:rPr>
          <w:rFonts w:cs="Arial"/>
          <w:bCs/>
          <w:szCs w:val="20"/>
        </w:rPr>
        <w:t>Vir: Ministrstvo za zdravje</w:t>
      </w:r>
    </w:p>
    <w:p w14:paraId="490AF4A6" w14:textId="77777777" w:rsidR="005B7922" w:rsidRDefault="005B7922" w:rsidP="005B7922">
      <w:pPr>
        <w:tabs>
          <w:tab w:val="left" w:pos="1701"/>
        </w:tabs>
        <w:autoSpaceDE w:val="0"/>
        <w:autoSpaceDN w:val="0"/>
        <w:adjustRightInd w:val="0"/>
        <w:spacing w:after="240" w:line="240" w:lineRule="auto"/>
        <w:jc w:val="both"/>
        <w:rPr>
          <w:rFonts w:cs="Arial"/>
          <w:b/>
          <w:bCs/>
          <w:lang w:eastAsia="sl-SI"/>
        </w:rPr>
      </w:pPr>
    </w:p>
    <w:p w14:paraId="47505187" w14:textId="44585DEB" w:rsidR="005B7922" w:rsidRPr="005B7922" w:rsidRDefault="005B7922" w:rsidP="005B7922">
      <w:pPr>
        <w:tabs>
          <w:tab w:val="left" w:pos="1701"/>
        </w:tabs>
        <w:autoSpaceDE w:val="0"/>
        <w:autoSpaceDN w:val="0"/>
        <w:adjustRightInd w:val="0"/>
        <w:spacing w:after="240" w:line="240" w:lineRule="auto"/>
        <w:jc w:val="both"/>
        <w:rPr>
          <w:rFonts w:cs="Arial"/>
          <w:b/>
          <w:bCs/>
          <w:lang w:eastAsia="sl-SI"/>
        </w:rPr>
      </w:pPr>
      <w:r>
        <w:rPr>
          <w:rFonts w:cs="Arial"/>
          <w:b/>
          <w:bCs/>
          <w:lang w:eastAsia="sl-SI"/>
        </w:rPr>
        <w:t>Sredstva za projekt »Obnova kuhinje – Dijaški dom Lizike Jančar«</w:t>
      </w:r>
    </w:p>
    <w:p w14:paraId="6F547C2F" w14:textId="359787CC" w:rsidR="005B7922" w:rsidRDefault="005B7922" w:rsidP="005B7922">
      <w:pPr>
        <w:spacing w:line="260" w:lineRule="atLeast"/>
        <w:jc w:val="both"/>
        <w:rPr>
          <w:rFonts w:cs="Arial"/>
          <w:szCs w:val="20"/>
        </w:rPr>
      </w:pPr>
      <w:r w:rsidRPr="002B7C1F">
        <w:rPr>
          <w:rFonts w:cs="Arial"/>
          <w:iCs/>
          <w:lang w:eastAsia="sl-SI"/>
        </w:rPr>
        <w:t xml:space="preserve">Vlada je na dopisni seji sklenila, da se v veljavni načrt razvojnih </w:t>
      </w:r>
      <w:r w:rsidRPr="002B7C1F">
        <w:rPr>
          <w:rFonts w:cs="Arial"/>
          <w:szCs w:val="20"/>
        </w:rPr>
        <w:t xml:space="preserve">programov za obdobje 2022-2025 </w:t>
      </w:r>
      <w:r w:rsidRPr="002B7C1F">
        <w:rPr>
          <w:rFonts w:cs="Arial"/>
          <w:iCs/>
          <w:szCs w:val="20"/>
          <w:lang w:eastAsia="sl-SI"/>
        </w:rPr>
        <w:t xml:space="preserve">uvrsti novi projekt </w:t>
      </w:r>
      <w:r w:rsidRPr="002B7C1F">
        <w:rPr>
          <w:rFonts w:eastAsia="Gungsuh" w:cs="Arial"/>
          <w:iCs/>
          <w:szCs w:val="20"/>
          <w:lang w:eastAsia="sl-SI"/>
        </w:rPr>
        <w:t>»</w:t>
      </w:r>
      <w:r w:rsidRPr="002B7C1F">
        <w:rPr>
          <w:rFonts w:cs="Arial"/>
          <w:color w:val="000000"/>
          <w:szCs w:val="20"/>
        </w:rPr>
        <w:t>Obnova kuhinje - Dijaški dom Lizike Jančar</w:t>
      </w:r>
      <w:r w:rsidRPr="002B7C1F">
        <w:rPr>
          <w:rFonts w:cs="Arial"/>
          <w:szCs w:val="20"/>
        </w:rPr>
        <w:t>«.</w:t>
      </w:r>
    </w:p>
    <w:p w14:paraId="1141808B" w14:textId="77777777" w:rsidR="005B7922" w:rsidRPr="002B7C1F" w:rsidRDefault="005B7922" w:rsidP="005B7922">
      <w:pPr>
        <w:spacing w:line="260" w:lineRule="atLeast"/>
        <w:jc w:val="both"/>
        <w:rPr>
          <w:rFonts w:cs="Arial"/>
          <w:szCs w:val="20"/>
        </w:rPr>
      </w:pPr>
    </w:p>
    <w:p w14:paraId="172D169B" w14:textId="18ED1709" w:rsidR="005B7922" w:rsidRDefault="005B7922" w:rsidP="005B7922">
      <w:pPr>
        <w:autoSpaceDE w:val="0"/>
        <w:autoSpaceDN w:val="0"/>
        <w:adjustRightInd w:val="0"/>
        <w:spacing w:line="240" w:lineRule="auto"/>
        <w:jc w:val="both"/>
        <w:rPr>
          <w:rFonts w:cs="Arial"/>
          <w:szCs w:val="20"/>
          <w:lang w:eastAsia="sl-SI"/>
        </w:rPr>
      </w:pPr>
      <w:r w:rsidRPr="002B7C1F">
        <w:rPr>
          <w:rFonts w:cs="Arial"/>
          <w:iCs/>
          <w:szCs w:val="20"/>
          <w:lang w:eastAsia="sl-SI"/>
        </w:rPr>
        <w:t xml:space="preserve">Ker je sedanja </w:t>
      </w:r>
      <w:r w:rsidRPr="002B7C1F">
        <w:rPr>
          <w:rFonts w:cs="Arial"/>
          <w:szCs w:val="20"/>
        </w:rPr>
        <w:t>kuhinja dijaškega doma z vso opremo in infrastrukturo zastarela, kuhinjske naprave pa se pogosto kvarijo, izjema so tiste, ki so bile interventno zamenjane v letu 2021, je n</w:t>
      </w:r>
      <w:r w:rsidRPr="002B7C1F">
        <w:rPr>
          <w:rFonts w:cs="Arial"/>
          <w:szCs w:val="20"/>
          <w:lang w:eastAsia="sl-SI"/>
        </w:rPr>
        <w:t>amen investicije zagotovitvi ustrezno infrastrukturno opremljenost objekta v katerem bivajo srednješolke in srednješolci ter izboljšanje storitev za dijake, študente in zaposlene. Cilj investicije je celovita sanacija kuhinje v Dijaškem domu Lizike Jančar za zagotavljanje 1.300 obrokov dnevno.</w:t>
      </w:r>
    </w:p>
    <w:p w14:paraId="5A997322" w14:textId="77777777" w:rsidR="005B7922" w:rsidRPr="002B7C1F" w:rsidRDefault="005B7922" w:rsidP="005B7922">
      <w:pPr>
        <w:autoSpaceDE w:val="0"/>
        <w:autoSpaceDN w:val="0"/>
        <w:adjustRightInd w:val="0"/>
        <w:spacing w:line="240" w:lineRule="auto"/>
        <w:jc w:val="both"/>
        <w:rPr>
          <w:rFonts w:cs="Arial"/>
          <w:szCs w:val="20"/>
          <w:lang w:eastAsia="sl-SI"/>
        </w:rPr>
      </w:pPr>
    </w:p>
    <w:p w14:paraId="37C8F1C8" w14:textId="4BE2C867" w:rsidR="005B7922" w:rsidRDefault="005B7922" w:rsidP="005B7922">
      <w:pPr>
        <w:autoSpaceDE w:val="0"/>
        <w:autoSpaceDN w:val="0"/>
        <w:adjustRightInd w:val="0"/>
        <w:spacing w:line="240" w:lineRule="auto"/>
        <w:jc w:val="both"/>
        <w:rPr>
          <w:rFonts w:cs="Arial"/>
          <w:szCs w:val="20"/>
        </w:rPr>
      </w:pPr>
      <w:r w:rsidRPr="002B7C1F">
        <w:rPr>
          <w:rFonts w:cs="Arial"/>
          <w:szCs w:val="20"/>
        </w:rPr>
        <w:t>Ocenjena vrednost investicije znaša nekaj več kot 1,1 milijona evrov, ki jih bo zagotovilo Ministrstvo za izobraževanje, znanost in šport v letu 2022.</w:t>
      </w:r>
    </w:p>
    <w:p w14:paraId="562EE438" w14:textId="77777777" w:rsidR="005B7922" w:rsidRPr="002B7C1F" w:rsidRDefault="005B7922" w:rsidP="005B7922">
      <w:pPr>
        <w:autoSpaceDE w:val="0"/>
        <w:autoSpaceDN w:val="0"/>
        <w:adjustRightInd w:val="0"/>
        <w:spacing w:line="240" w:lineRule="auto"/>
        <w:jc w:val="both"/>
        <w:rPr>
          <w:rFonts w:cs="Arial"/>
          <w:iCs/>
          <w:szCs w:val="20"/>
          <w:lang w:eastAsia="sl-SI"/>
        </w:rPr>
      </w:pPr>
    </w:p>
    <w:p w14:paraId="6F2FAA3A" w14:textId="5FF61926" w:rsidR="005B7922" w:rsidRDefault="005B7922" w:rsidP="005B7922">
      <w:pPr>
        <w:autoSpaceDE w:val="0"/>
        <w:autoSpaceDN w:val="0"/>
        <w:adjustRightInd w:val="0"/>
        <w:spacing w:line="240" w:lineRule="auto"/>
        <w:jc w:val="both"/>
        <w:rPr>
          <w:rFonts w:cs="Arial"/>
          <w:color w:val="000000"/>
          <w:szCs w:val="20"/>
        </w:rPr>
      </w:pPr>
      <w:r>
        <w:rPr>
          <w:rFonts w:cs="Arial"/>
          <w:color w:val="000000"/>
          <w:szCs w:val="20"/>
        </w:rPr>
        <w:lastRenderedPageBreak/>
        <w:t>Vir: Ministrstvo za izobraževanje, znanost in šport</w:t>
      </w:r>
    </w:p>
    <w:p w14:paraId="7F2FBAB7" w14:textId="651AFE9B" w:rsidR="005B7922" w:rsidRDefault="005B7922" w:rsidP="005B7922">
      <w:pPr>
        <w:autoSpaceDE w:val="0"/>
        <w:autoSpaceDN w:val="0"/>
        <w:adjustRightInd w:val="0"/>
        <w:spacing w:line="240" w:lineRule="auto"/>
        <w:jc w:val="both"/>
        <w:rPr>
          <w:rFonts w:cs="Arial"/>
          <w:color w:val="000000"/>
          <w:szCs w:val="20"/>
        </w:rPr>
      </w:pPr>
    </w:p>
    <w:p w14:paraId="57A67186" w14:textId="77777777" w:rsidR="005B7922" w:rsidRPr="003C4210" w:rsidRDefault="005B7922" w:rsidP="005B7922">
      <w:pPr>
        <w:autoSpaceDE w:val="0"/>
        <w:autoSpaceDN w:val="0"/>
        <w:adjustRightInd w:val="0"/>
        <w:spacing w:line="240" w:lineRule="auto"/>
        <w:jc w:val="both"/>
        <w:rPr>
          <w:rFonts w:cs="Arial"/>
          <w:color w:val="000000"/>
          <w:szCs w:val="20"/>
        </w:rPr>
      </w:pPr>
    </w:p>
    <w:p w14:paraId="74FA9A2D" w14:textId="77777777" w:rsidR="005B7922" w:rsidRDefault="005B7922" w:rsidP="005B7922">
      <w:pPr>
        <w:overflowPunct w:val="0"/>
        <w:autoSpaceDE w:val="0"/>
        <w:autoSpaceDN w:val="0"/>
        <w:adjustRightInd w:val="0"/>
        <w:jc w:val="both"/>
        <w:textAlignment w:val="baseline"/>
        <w:rPr>
          <w:rFonts w:cs="Arial"/>
          <w:b/>
          <w:iCs/>
          <w:lang w:eastAsia="sl-SI"/>
        </w:rPr>
      </w:pPr>
      <w:r>
        <w:rPr>
          <w:rFonts w:cs="Arial"/>
          <w:b/>
          <w:iCs/>
          <w:lang w:eastAsia="sl-SI"/>
        </w:rPr>
        <w:t>Sprememba vrednosti projekta za reševanje prostorske problematike Srednje šole za gostinstvo in turizem Maribor</w:t>
      </w:r>
    </w:p>
    <w:p w14:paraId="4CF993ED" w14:textId="77777777" w:rsidR="005B7922" w:rsidRPr="002B7C1F" w:rsidRDefault="005B7922" w:rsidP="005B7922">
      <w:pPr>
        <w:overflowPunct w:val="0"/>
        <w:autoSpaceDE w:val="0"/>
        <w:autoSpaceDN w:val="0"/>
        <w:adjustRightInd w:val="0"/>
        <w:jc w:val="both"/>
        <w:textAlignment w:val="baseline"/>
        <w:rPr>
          <w:rFonts w:cs="Arial"/>
          <w:b/>
          <w:iCs/>
          <w:lang w:eastAsia="sl-SI"/>
        </w:rPr>
      </w:pPr>
    </w:p>
    <w:p w14:paraId="1DACD460" w14:textId="5E2A7098" w:rsidR="005B7922" w:rsidRDefault="005B7922" w:rsidP="005B7922">
      <w:pPr>
        <w:spacing w:line="260" w:lineRule="atLeast"/>
        <w:jc w:val="both"/>
        <w:rPr>
          <w:rFonts w:cs="Arial"/>
        </w:rPr>
      </w:pPr>
      <w:r w:rsidRPr="00637A99">
        <w:rPr>
          <w:rFonts w:cs="Arial"/>
          <w:iCs/>
          <w:lang w:eastAsia="sl-SI"/>
        </w:rPr>
        <w:t xml:space="preserve">Vlada je na dopisni seji sklenila, da se v načrtu razvojnih </w:t>
      </w:r>
      <w:r w:rsidRPr="00637A99">
        <w:rPr>
          <w:rFonts w:cs="Arial"/>
        </w:rPr>
        <w:t xml:space="preserve">programov za obdobje 2022-2025 poveča vrednost projekta »Reševanje prostorske problematike SŠGT Maribor«. </w:t>
      </w:r>
    </w:p>
    <w:p w14:paraId="1D2E6D9C" w14:textId="77777777" w:rsidR="005B7922" w:rsidRPr="00637A99" w:rsidRDefault="005B7922" w:rsidP="005B7922">
      <w:pPr>
        <w:spacing w:line="260" w:lineRule="atLeast"/>
        <w:jc w:val="both"/>
        <w:rPr>
          <w:rFonts w:cs="Arial"/>
        </w:rPr>
      </w:pPr>
    </w:p>
    <w:p w14:paraId="0A5C2239" w14:textId="192FACDA" w:rsidR="005B7922" w:rsidRDefault="005B7922" w:rsidP="005B7922">
      <w:pPr>
        <w:spacing w:line="260" w:lineRule="atLeast"/>
        <w:jc w:val="both"/>
        <w:rPr>
          <w:rFonts w:cs="Arial"/>
          <w:iCs/>
          <w:lang w:eastAsia="sl-SI"/>
        </w:rPr>
      </w:pPr>
      <w:r w:rsidRPr="00637A99">
        <w:rPr>
          <w:rFonts w:cs="Arial"/>
          <w:iCs/>
          <w:lang w:eastAsia="sl-SI"/>
        </w:rPr>
        <w:t>Srednja šola</w:t>
      </w:r>
      <w:r>
        <w:rPr>
          <w:rFonts w:cs="Arial"/>
          <w:iCs/>
          <w:lang w:eastAsia="sl-SI"/>
        </w:rPr>
        <w:t xml:space="preserve"> </w:t>
      </w:r>
      <w:r w:rsidRPr="00637A99">
        <w:rPr>
          <w:rFonts w:cs="Arial"/>
          <w:iCs/>
          <w:lang w:eastAsia="sl-SI"/>
        </w:rPr>
        <w:t>za gostinstvo in turizem Maribor (SŠGT Maribor) se srečuje z veliko prostorsko stisko za izvajanje svojih izobraževalnih programov. Med izvajanjem projekta reševanja prostorske problematike šole je prišlo do povečanja njegove vrednosti, in sicer iz nekaj več kot 6,1 milijona evrov na več kot 8,7 milijona evrov. Potrebna dodatna sredstva v višini nekaj več kot 2,3 milijona evrov bo zagotovilo Ministrstvo za izobraževanje, znanost in šport, 361.931 evrov pa Srednja šola za gostinstvo in turizem Maribor.</w:t>
      </w:r>
    </w:p>
    <w:p w14:paraId="5506DCFE" w14:textId="77777777" w:rsidR="005B7922" w:rsidRPr="00637A99" w:rsidRDefault="005B7922" w:rsidP="005B7922">
      <w:pPr>
        <w:spacing w:line="260" w:lineRule="atLeast"/>
        <w:jc w:val="both"/>
        <w:rPr>
          <w:rFonts w:cs="Arial"/>
        </w:rPr>
      </w:pPr>
    </w:p>
    <w:p w14:paraId="0B9992CB" w14:textId="697740E8" w:rsidR="005B7922" w:rsidRDefault="005B7922" w:rsidP="005B7922">
      <w:pPr>
        <w:autoSpaceDE w:val="0"/>
        <w:autoSpaceDN w:val="0"/>
        <w:adjustRightInd w:val="0"/>
        <w:spacing w:line="240" w:lineRule="auto"/>
        <w:jc w:val="both"/>
        <w:rPr>
          <w:rFonts w:cs="Arial"/>
          <w:color w:val="000000"/>
          <w:szCs w:val="20"/>
        </w:rPr>
      </w:pPr>
      <w:r>
        <w:rPr>
          <w:rFonts w:cs="Arial"/>
          <w:color w:val="000000"/>
          <w:szCs w:val="20"/>
        </w:rPr>
        <w:t>Vir: Ministrstvo za izobraževanje, znanost in šport</w:t>
      </w:r>
    </w:p>
    <w:p w14:paraId="1F01E6D0" w14:textId="27008DEF" w:rsidR="00BB2A7B" w:rsidRPr="00BB2A7B" w:rsidRDefault="00BB2A7B" w:rsidP="00BB2A7B">
      <w:pPr>
        <w:autoSpaceDE w:val="0"/>
        <w:autoSpaceDN w:val="0"/>
        <w:adjustRightInd w:val="0"/>
        <w:spacing w:line="240" w:lineRule="auto"/>
        <w:jc w:val="both"/>
        <w:rPr>
          <w:rFonts w:cs="Arial"/>
          <w:color w:val="000000"/>
          <w:szCs w:val="20"/>
        </w:rPr>
      </w:pPr>
    </w:p>
    <w:p w14:paraId="6F807261" w14:textId="77777777" w:rsidR="00BB2A7B" w:rsidRDefault="00BB2A7B" w:rsidP="00BB2A7B">
      <w:pPr>
        <w:spacing w:line="240" w:lineRule="auto"/>
        <w:jc w:val="both"/>
        <w:rPr>
          <w:b/>
          <w:szCs w:val="20"/>
        </w:rPr>
      </w:pPr>
    </w:p>
    <w:p w14:paraId="6CE021B9" w14:textId="06CFDDE6" w:rsidR="00BB2A7B" w:rsidRPr="00BB2A7B" w:rsidRDefault="00BB2A7B" w:rsidP="00BB2A7B">
      <w:pPr>
        <w:spacing w:line="240" w:lineRule="auto"/>
        <w:jc w:val="both"/>
        <w:rPr>
          <w:b/>
          <w:szCs w:val="20"/>
        </w:rPr>
      </w:pPr>
      <w:r w:rsidRPr="00BB2A7B">
        <w:rPr>
          <w:b/>
          <w:szCs w:val="20"/>
        </w:rPr>
        <w:t>V načrt razvojnih programov uvrščeni projekti računalniškega ožičenja objektov, opreme kuhinj in tehničnega varovanja objektov</w:t>
      </w:r>
    </w:p>
    <w:p w14:paraId="6D7AB5CF" w14:textId="77777777" w:rsidR="00BB2A7B" w:rsidRPr="00BB2A7B" w:rsidRDefault="00BB2A7B" w:rsidP="00BB2A7B">
      <w:pPr>
        <w:pStyle w:val="Telobesedila2"/>
        <w:tabs>
          <w:tab w:val="center" w:pos="7371"/>
        </w:tabs>
        <w:spacing w:after="0" w:line="240" w:lineRule="auto"/>
        <w:jc w:val="both"/>
        <w:rPr>
          <w:rFonts w:cs="Arial"/>
          <w:b/>
          <w:bCs/>
          <w:szCs w:val="20"/>
        </w:rPr>
      </w:pPr>
    </w:p>
    <w:p w14:paraId="179DACEE" w14:textId="77777777" w:rsidR="00BB2A7B" w:rsidRPr="00BB2A7B" w:rsidRDefault="00BB2A7B" w:rsidP="00BB2A7B">
      <w:pPr>
        <w:pStyle w:val="Neotevilenodstavek"/>
        <w:spacing w:before="0" w:after="0" w:line="240" w:lineRule="auto"/>
        <w:rPr>
          <w:iCs/>
          <w:sz w:val="20"/>
          <w:szCs w:val="20"/>
        </w:rPr>
      </w:pPr>
      <w:r w:rsidRPr="00BB2A7B">
        <w:rPr>
          <w:iCs/>
          <w:sz w:val="20"/>
          <w:szCs w:val="20"/>
        </w:rPr>
        <w:t>Vlada je na današnji seji sprejela sklep, da se v veljavni Načrt razvojnih programov 2022–2025 uvrstijo novi projekti z nazivi Računalniško ožičenje objektov, Oprema kuhinj in Tehnično varovanje objektov.</w:t>
      </w:r>
    </w:p>
    <w:p w14:paraId="16FFDB23" w14:textId="77777777" w:rsidR="00BB2A7B" w:rsidRPr="00BB2A7B" w:rsidRDefault="00BB2A7B" w:rsidP="00BB2A7B">
      <w:pPr>
        <w:spacing w:line="240" w:lineRule="auto"/>
        <w:jc w:val="both"/>
        <w:rPr>
          <w:szCs w:val="20"/>
        </w:rPr>
      </w:pPr>
    </w:p>
    <w:p w14:paraId="70869BCA" w14:textId="77777777" w:rsidR="00BB2A7B" w:rsidRPr="00BB2A7B" w:rsidRDefault="00BB2A7B" w:rsidP="00BB2A7B">
      <w:pPr>
        <w:pStyle w:val="Naslovpredpisa"/>
        <w:spacing w:before="0" w:after="0" w:line="240" w:lineRule="auto"/>
        <w:jc w:val="both"/>
        <w:rPr>
          <w:b w:val="0"/>
        </w:rPr>
      </w:pPr>
      <w:r w:rsidRPr="00BB2A7B">
        <w:rPr>
          <w:b w:val="0"/>
        </w:rPr>
        <w:t xml:space="preserve">Vrednost projekta </w:t>
      </w:r>
      <w:r w:rsidRPr="00BB2A7B">
        <w:rPr>
          <w:b w:val="0"/>
          <w:iCs/>
        </w:rPr>
        <w:t>Računalniško ožičenje objektov je 2.008.340</w:t>
      </w:r>
      <w:r w:rsidRPr="00BB2A7B">
        <w:rPr>
          <w:b w:val="0"/>
        </w:rPr>
        <w:t xml:space="preserve"> evrov. Objekti Slovenske vojske in Ministrstva za obrambo so že delno opremljeni z računalniškim ožičenjem. Zaradi tehnološkega razvoja, vzpostavitve ustreznega stanja ter zagotavljanja delovanja hitrih komunikacij in računalniških aplikacij, ki delujejo na računalniški mreži Ministrstva za obrambo in Slovenske vojske, je obstoječe računalniško ožičenje treba nadgraditi in posodobiti ter vgraditi ustrezno novo opremo. Predmet projekta so tako ožičenje in pripadajoča oprema znotraj objektov kot tudi povezave med objekti oziroma kompleksi. </w:t>
      </w:r>
    </w:p>
    <w:p w14:paraId="7713788F" w14:textId="77777777" w:rsidR="00BB2A7B" w:rsidRPr="00BB2A7B" w:rsidRDefault="00BB2A7B" w:rsidP="00BB2A7B">
      <w:pPr>
        <w:pStyle w:val="Naslovpredpisa"/>
        <w:spacing w:before="0" w:after="0" w:line="240" w:lineRule="auto"/>
        <w:jc w:val="both"/>
        <w:rPr>
          <w:b w:val="0"/>
        </w:rPr>
      </w:pPr>
    </w:p>
    <w:p w14:paraId="4105009B" w14:textId="77777777" w:rsidR="00BB2A7B" w:rsidRPr="00BB2A7B" w:rsidRDefault="00BB2A7B" w:rsidP="00BB2A7B">
      <w:pPr>
        <w:autoSpaceDE w:val="0"/>
        <w:autoSpaceDN w:val="0"/>
        <w:spacing w:line="240" w:lineRule="auto"/>
        <w:jc w:val="both"/>
        <w:rPr>
          <w:szCs w:val="20"/>
          <w:lang w:eastAsia="sl-SI"/>
        </w:rPr>
      </w:pPr>
      <w:r w:rsidRPr="00BB2A7B">
        <w:rPr>
          <w:szCs w:val="20"/>
          <w:lang w:eastAsia="sl-SI"/>
        </w:rPr>
        <w:t xml:space="preserve">V sklopu obravnavane investicije bodo izvedena gradbena in elektroinštalacijska dela ter vgrajena nova oprema. Cilj investicije je ohranjanje, vzdrževanje in izboljševanje zmogljivosti obstoječega računalniškega ožičenja, ki bo lahko zagotavljalo optimalno delovanje drugih sistemov računalniške in komunikacijske infrastrukture. </w:t>
      </w:r>
    </w:p>
    <w:p w14:paraId="77F5217B" w14:textId="77777777" w:rsidR="00BB2A7B" w:rsidRPr="00BB2A7B" w:rsidRDefault="00BB2A7B" w:rsidP="00BB2A7B">
      <w:pPr>
        <w:autoSpaceDE w:val="0"/>
        <w:autoSpaceDN w:val="0"/>
        <w:spacing w:line="240" w:lineRule="auto"/>
        <w:jc w:val="both"/>
        <w:rPr>
          <w:szCs w:val="20"/>
          <w:lang w:eastAsia="sl-SI"/>
        </w:rPr>
      </w:pPr>
    </w:p>
    <w:p w14:paraId="12127076" w14:textId="77777777" w:rsidR="00BB2A7B" w:rsidRPr="00BB2A7B" w:rsidRDefault="00BB2A7B" w:rsidP="00BB2A7B">
      <w:pPr>
        <w:suppressAutoHyphens/>
        <w:overflowPunct w:val="0"/>
        <w:autoSpaceDE w:val="0"/>
        <w:autoSpaceDN w:val="0"/>
        <w:adjustRightInd w:val="0"/>
        <w:spacing w:line="240" w:lineRule="auto"/>
        <w:jc w:val="both"/>
        <w:textAlignment w:val="baseline"/>
        <w:rPr>
          <w:szCs w:val="20"/>
        </w:rPr>
      </w:pPr>
      <w:r w:rsidRPr="00BB2A7B">
        <w:rPr>
          <w:szCs w:val="20"/>
          <w:lang w:eastAsia="sl-SI"/>
        </w:rPr>
        <w:t xml:space="preserve">Vrednost projekta </w:t>
      </w:r>
      <w:r w:rsidRPr="00BB2A7B">
        <w:rPr>
          <w:iCs/>
          <w:szCs w:val="20"/>
          <w:lang w:eastAsia="sl-SI"/>
        </w:rPr>
        <w:t>Oprema kuhinj je 3.982.937</w:t>
      </w:r>
      <w:r w:rsidRPr="00BB2A7B">
        <w:rPr>
          <w:szCs w:val="20"/>
          <w:lang w:eastAsia="sl-SI"/>
        </w:rPr>
        <w:t xml:space="preserve"> evrov. </w:t>
      </w:r>
      <w:r w:rsidRPr="00BB2A7B">
        <w:rPr>
          <w:bCs/>
          <w:noProof/>
          <w:szCs w:val="20"/>
        </w:rPr>
        <w:t xml:space="preserve">V okviru programskega projekta namerava investitor zamenjati staro in iztrošeno opremo kuhinj v objektih Slovenske vojske ter tako ohraniti obstoječ obseg lastnega sistema oskrbe s prehrano. Cilj investicije je </w:t>
      </w:r>
      <w:r w:rsidRPr="00BB2A7B">
        <w:rPr>
          <w:szCs w:val="20"/>
        </w:rPr>
        <w:t xml:space="preserve">zagotoviti zahtevam s področja varstva pri delu, sistema HACCP v Slovenski vojski ter s tem povezanega zagotavljanja varne hrane, varnega delovnega okolja, izboljšanja delovnih procesov in razbremenitve kuharskega moštva.  </w:t>
      </w:r>
    </w:p>
    <w:p w14:paraId="68710D3F" w14:textId="77777777" w:rsidR="00BB2A7B" w:rsidRPr="00BB2A7B" w:rsidRDefault="00BB2A7B" w:rsidP="00BB2A7B">
      <w:pPr>
        <w:pStyle w:val="Neotevilenodstavek"/>
        <w:spacing w:before="0" w:after="0" w:line="240" w:lineRule="auto"/>
        <w:rPr>
          <w:iCs/>
          <w:sz w:val="20"/>
          <w:szCs w:val="20"/>
        </w:rPr>
      </w:pPr>
    </w:p>
    <w:p w14:paraId="5416146F" w14:textId="77777777" w:rsidR="00BB2A7B" w:rsidRPr="00BB2A7B" w:rsidRDefault="00BB2A7B" w:rsidP="00BB2A7B">
      <w:pPr>
        <w:suppressAutoHyphens/>
        <w:overflowPunct w:val="0"/>
        <w:autoSpaceDE w:val="0"/>
        <w:autoSpaceDN w:val="0"/>
        <w:adjustRightInd w:val="0"/>
        <w:spacing w:line="240" w:lineRule="auto"/>
        <w:jc w:val="both"/>
        <w:textAlignment w:val="baseline"/>
        <w:rPr>
          <w:szCs w:val="20"/>
          <w:lang w:eastAsia="sl-SI"/>
        </w:rPr>
      </w:pPr>
      <w:r w:rsidRPr="00BB2A7B">
        <w:rPr>
          <w:szCs w:val="20"/>
          <w:lang w:eastAsia="sl-SI"/>
        </w:rPr>
        <w:t xml:space="preserve">Vrednost projekta </w:t>
      </w:r>
      <w:r w:rsidRPr="00BB2A7B">
        <w:rPr>
          <w:iCs/>
          <w:szCs w:val="20"/>
          <w:lang w:eastAsia="sl-SI"/>
        </w:rPr>
        <w:t>Tehnično varovanje objektov je 2.498.865</w:t>
      </w:r>
      <w:r w:rsidRPr="00BB2A7B">
        <w:rPr>
          <w:szCs w:val="20"/>
          <w:lang w:eastAsia="sl-SI"/>
        </w:rPr>
        <w:t xml:space="preserve"> evrov. Namen investicije je zagotavljanje varnosti tehnično varovanih objektov pred kakršnokoli izgubo  materialnega ali nematerialnega premoženja zaradi nesreč, dostopa ali vdora  nepooblaščenih oseb ali tehnologij na varovana območja, v varovane objekte, do varovane opreme, oborožitve, informacij oziroma podatkov.</w:t>
      </w:r>
    </w:p>
    <w:p w14:paraId="6E1ACB66" w14:textId="77777777" w:rsidR="00BB2A7B" w:rsidRPr="00BB2A7B" w:rsidRDefault="00BB2A7B" w:rsidP="00BB2A7B">
      <w:pPr>
        <w:suppressAutoHyphens/>
        <w:overflowPunct w:val="0"/>
        <w:autoSpaceDE w:val="0"/>
        <w:autoSpaceDN w:val="0"/>
        <w:adjustRightInd w:val="0"/>
        <w:spacing w:line="240" w:lineRule="auto"/>
        <w:jc w:val="both"/>
        <w:textAlignment w:val="baseline"/>
        <w:rPr>
          <w:szCs w:val="20"/>
          <w:lang w:eastAsia="sl-SI"/>
        </w:rPr>
      </w:pPr>
    </w:p>
    <w:p w14:paraId="5B51D187" w14:textId="29D3191E" w:rsidR="00BB2A7B" w:rsidRPr="00BB2A7B" w:rsidRDefault="00BB2A7B" w:rsidP="00BB2A7B">
      <w:pPr>
        <w:autoSpaceDE w:val="0"/>
        <w:autoSpaceDN w:val="0"/>
        <w:adjustRightInd w:val="0"/>
        <w:spacing w:line="240" w:lineRule="auto"/>
        <w:jc w:val="both"/>
        <w:rPr>
          <w:rFonts w:cs="Arial"/>
          <w:color w:val="000000"/>
          <w:szCs w:val="20"/>
        </w:rPr>
      </w:pPr>
      <w:r w:rsidRPr="00BB2A7B">
        <w:rPr>
          <w:rFonts w:cs="Arial"/>
          <w:color w:val="000000"/>
          <w:szCs w:val="20"/>
        </w:rPr>
        <w:t>Vir: Ministrstvo za obrambo</w:t>
      </w:r>
    </w:p>
    <w:p w14:paraId="19D09293" w14:textId="7193C207" w:rsidR="003B65A4" w:rsidRPr="00BB2A7B" w:rsidRDefault="003B65A4" w:rsidP="00BB2A7B">
      <w:pPr>
        <w:spacing w:line="240" w:lineRule="auto"/>
        <w:jc w:val="both"/>
        <w:rPr>
          <w:rFonts w:cs="Arial"/>
          <w:b/>
          <w:szCs w:val="20"/>
        </w:rPr>
      </w:pPr>
    </w:p>
    <w:p w14:paraId="0C9EB92D" w14:textId="3A1C70FC" w:rsidR="0072535A" w:rsidRDefault="0072535A" w:rsidP="00BB2A7B">
      <w:pPr>
        <w:spacing w:line="240" w:lineRule="auto"/>
        <w:jc w:val="both"/>
        <w:rPr>
          <w:rFonts w:cs="Arial"/>
          <w:b/>
          <w:szCs w:val="20"/>
        </w:rPr>
      </w:pPr>
    </w:p>
    <w:p w14:paraId="70274584" w14:textId="2DA2CE38" w:rsidR="008D1293" w:rsidRDefault="008D1293" w:rsidP="00BB2A7B">
      <w:pPr>
        <w:spacing w:line="240" w:lineRule="auto"/>
        <w:jc w:val="both"/>
        <w:rPr>
          <w:rFonts w:cs="Arial"/>
          <w:b/>
          <w:szCs w:val="20"/>
        </w:rPr>
      </w:pPr>
    </w:p>
    <w:p w14:paraId="59CDF829" w14:textId="4DB6111D" w:rsidR="008D1293" w:rsidRDefault="008D1293" w:rsidP="00BB2A7B">
      <w:pPr>
        <w:spacing w:line="240" w:lineRule="auto"/>
        <w:jc w:val="both"/>
        <w:rPr>
          <w:rFonts w:cs="Arial"/>
          <w:b/>
          <w:szCs w:val="20"/>
        </w:rPr>
      </w:pPr>
    </w:p>
    <w:p w14:paraId="5CBB65AB" w14:textId="77777777" w:rsidR="008D1293" w:rsidRPr="00BB2A7B" w:rsidRDefault="008D1293" w:rsidP="00BB2A7B">
      <w:pPr>
        <w:spacing w:line="240" w:lineRule="auto"/>
        <w:jc w:val="both"/>
        <w:rPr>
          <w:rFonts w:cs="Arial"/>
          <w:b/>
          <w:szCs w:val="20"/>
        </w:rPr>
      </w:pPr>
    </w:p>
    <w:p w14:paraId="059F86B1" w14:textId="13505A23" w:rsidR="003B65A4" w:rsidRPr="003951A6" w:rsidRDefault="003B65A4" w:rsidP="003951A6">
      <w:pPr>
        <w:spacing w:line="240" w:lineRule="auto"/>
        <w:jc w:val="both"/>
        <w:rPr>
          <w:rFonts w:cs="Arial"/>
          <w:b/>
          <w:szCs w:val="20"/>
          <w:lang w:eastAsia="ar-SA"/>
        </w:rPr>
      </w:pPr>
      <w:r w:rsidRPr="003951A6">
        <w:rPr>
          <w:rFonts w:cs="Arial"/>
          <w:b/>
          <w:szCs w:val="20"/>
        </w:rPr>
        <w:lastRenderedPageBreak/>
        <w:t xml:space="preserve">Vlada </w:t>
      </w:r>
      <w:r w:rsidRPr="003951A6">
        <w:rPr>
          <w:rFonts w:cs="Arial"/>
          <w:b/>
          <w:szCs w:val="20"/>
          <w:lang w:eastAsia="ar-SA"/>
        </w:rPr>
        <w:t>je določila višino povračila občinam zaradi</w:t>
      </w:r>
      <w:r w:rsidRPr="003951A6">
        <w:rPr>
          <w:rFonts w:cs="Arial"/>
          <w:szCs w:val="20"/>
        </w:rPr>
        <w:t xml:space="preserve"> </w:t>
      </w:r>
      <w:r w:rsidRPr="003951A6">
        <w:rPr>
          <w:rFonts w:cs="Arial"/>
          <w:b/>
          <w:szCs w:val="20"/>
          <w:lang w:eastAsia="ar-SA"/>
        </w:rPr>
        <w:t>povečanega nadzora meje</w:t>
      </w:r>
    </w:p>
    <w:p w14:paraId="53FEF44A" w14:textId="77777777" w:rsidR="003B65A4" w:rsidRPr="003951A6" w:rsidRDefault="003B65A4" w:rsidP="003951A6">
      <w:pPr>
        <w:spacing w:line="240" w:lineRule="auto"/>
        <w:jc w:val="both"/>
        <w:rPr>
          <w:rFonts w:cs="Arial"/>
          <w:szCs w:val="20"/>
        </w:rPr>
      </w:pPr>
    </w:p>
    <w:p w14:paraId="76EE995D" w14:textId="40329943" w:rsidR="003B65A4" w:rsidRPr="003951A6" w:rsidRDefault="003B65A4" w:rsidP="003951A6">
      <w:pPr>
        <w:spacing w:line="240" w:lineRule="auto"/>
        <w:jc w:val="both"/>
        <w:rPr>
          <w:rFonts w:cs="Arial"/>
          <w:iCs/>
          <w:szCs w:val="20"/>
        </w:rPr>
      </w:pPr>
      <w:r w:rsidRPr="003951A6">
        <w:rPr>
          <w:rFonts w:cs="Arial"/>
          <w:iCs/>
          <w:szCs w:val="20"/>
        </w:rPr>
        <w:t>Vlada je ugotovila obstoj povečanega nadzora državne meje v letu 2021 v občinah in določila višino povračila posamezni občini. Skupna višina zagotovljenih sredstev v letu 2022 za delno povračilo stroškov občinam znaša pet milijonov evrov.</w:t>
      </w:r>
    </w:p>
    <w:p w14:paraId="3A7E86DD" w14:textId="77777777" w:rsidR="003B65A4" w:rsidRPr="003951A6" w:rsidRDefault="003B65A4" w:rsidP="003951A6">
      <w:pPr>
        <w:spacing w:line="240" w:lineRule="auto"/>
        <w:jc w:val="both"/>
        <w:rPr>
          <w:rFonts w:cs="Arial"/>
          <w:iCs/>
          <w:szCs w:val="20"/>
        </w:rPr>
      </w:pPr>
    </w:p>
    <w:p w14:paraId="23088C5A" w14:textId="77777777" w:rsidR="003B65A4" w:rsidRPr="003951A6" w:rsidRDefault="003B65A4" w:rsidP="003951A6">
      <w:pPr>
        <w:spacing w:line="240" w:lineRule="auto"/>
        <w:jc w:val="both"/>
        <w:rPr>
          <w:rFonts w:cs="Arial"/>
          <w:iCs/>
          <w:szCs w:val="20"/>
        </w:rPr>
      </w:pPr>
      <w:r w:rsidRPr="003951A6">
        <w:rPr>
          <w:rFonts w:cs="Arial"/>
          <w:iCs/>
          <w:szCs w:val="20"/>
        </w:rPr>
        <w:t>Dva milijona evrov (40 odstotkov sredstev) zaradi povečanega nadzora državne meje je namenjenih za vse občine ob državni meji (74 občin na zahodni, vzhodni, severni in južni meji), tri milijone evrov (60 odstotkov sredstev) pa je namenjenih za občine ob dodatno obremenjeni državni meji (32 občin na južni meji).</w:t>
      </w:r>
    </w:p>
    <w:p w14:paraId="19FD17CA" w14:textId="77777777" w:rsidR="003B65A4" w:rsidRPr="003951A6" w:rsidRDefault="003B65A4" w:rsidP="003951A6">
      <w:pPr>
        <w:spacing w:line="240" w:lineRule="auto"/>
        <w:jc w:val="both"/>
        <w:rPr>
          <w:rFonts w:cs="Arial"/>
          <w:iCs/>
          <w:szCs w:val="20"/>
        </w:rPr>
      </w:pPr>
    </w:p>
    <w:p w14:paraId="1D86519D" w14:textId="77777777" w:rsidR="003B65A4" w:rsidRPr="003951A6" w:rsidRDefault="003B65A4" w:rsidP="003951A6">
      <w:pPr>
        <w:spacing w:line="240" w:lineRule="auto"/>
        <w:jc w:val="both"/>
        <w:rPr>
          <w:rFonts w:cs="Arial"/>
          <w:iCs/>
          <w:szCs w:val="20"/>
        </w:rPr>
      </w:pPr>
      <w:r w:rsidRPr="003951A6">
        <w:rPr>
          <w:rFonts w:cs="Arial"/>
          <w:iCs/>
          <w:szCs w:val="20"/>
        </w:rPr>
        <w:t>Med upravičene stroške sodijo:</w:t>
      </w:r>
    </w:p>
    <w:p w14:paraId="44F5B479" w14:textId="5BE65EA1" w:rsidR="003B65A4" w:rsidRPr="0072535A" w:rsidRDefault="003B65A4" w:rsidP="0072535A">
      <w:pPr>
        <w:pStyle w:val="Odstavekseznama"/>
        <w:numPr>
          <w:ilvl w:val="1"/>
          <w:numId w:val="21"/>
        </w:numPr>
        <w:spacing w:line="240" w:lineRule="auto"/>
        <w:jc w:val="both"/>
        <w:rPr>
          <w:rFonts w:cs="Arial"/>
          <w:iCs/>
          <w:szCs w:val="20"/>
        </w:rPr>
      </w:pPr>
      <w:r w:rsidRPr="0072535A">
        <w:rPr>
          <w:rFonts w:cs="Arial"/>
          <w:iCs/>
          <w:szCs w:val="20"/>
        </w:rPr>
        <w:t xml:space="preserve">stroški zaradi obnove in investicijskega vzdrževanja občinskih cest in javnih poti, ki so dodatno obremenjene zaradi povečanega nadzora državne meje, </w:t>
      </w:r>
    </w:p>
    <w:p w14:paraId="211967E4" w14:textId="40300F51" w:rsidR="003B65A4" w:rsidRPr="0072535A" w:rsidRDefault="003B65A4" w:rsidP="0072535A">
      <w:pPr>
        <w:pStyle w:val="Odstavekseznama"/>
        <w:numPr>
          <w:ilvl w:val="1"/>
          <w:numId w:val="21"/>
        </w:numPr>
        <w:spacing w:line="240" w:lineRule="auto"/>
        <w:jc w:val="both"/>
        <w:rPr>
          <w:rFonts w:cs="Arial"/>
          <w:iCs/>
          <w:szCs w:val="20"/>
        </w:rPr>
      </w:pPr>
      <w:r w:rsidRPr="0072535A">
        <w:rPr>
          <w:rFonts w:cs="Arial"/>
          <w:iCs/>
          <w:szCs w:val="20"/>
        </w:rPr>
        <w:t>stroški osvetlitve občinskih cest in javnih poti,</w:t>
      </w:r>
    </w:p>
    <w:p w14:paraId="66B358D0" w14:textId="2B3CBCF1" w:rsidR="003B65A4" w:rsidRPr="0072535A" w:rsidRDefault="003B65A4" w:rsidP="0072535A">
      <w:pPr>
        <w:pStyle w:val="Odstavekseznama"/>
        <w:numPr>
          <w:ilvl w:val="1"/>
          <w:numId w:val="21"/>
        </w:numPr>
        <w:spacing w:line="240" w:lineRule="auto"/>
        <w:jc w:val="both"/>
        <w:rPr>
          <w:rFonts w:cs="Arial"/>
          <w:iCs/>
          <w:szCs w:val="20"/>
        </w:rPr>
      </w:pPr>
      <w:r w:rsidRPr="0072535A">
        <w:rPr>
          <w:rFonts w:cs="Arial"/>
          <w:iCs/>
          <w:szCs w:val="20"/>
        </w:rPr>
        <w:t>drugi stroški, ki nastanejo občinam z namenom povečati varnost občanom in so posledica povečanega nadzora državne meje.</w:t>
      </w:r>
    </w:p>
    <w:p w14:paraId="09630C3E" w14:textId="77777777" w:rsidR="003B65A4" w:rsidRPr="003951A6" w:rsidRDefault="003B65A4" w:rsidP="003951A6">
      <w:pPr>
        <w:spacing w:line="240" w:lineRule="auto"/>
        <w:jc w:val="both"/>
        <w:rPr>
          <w:rFonts w:cs="Arial"/>
          <w:iCs/>
          <w:szCs w:val="20"/>
        </w:rPr>
      </w:pPr>
    </w:p>
    <w:p w14:paraId="37D9507C" w14:textId="0282A739" w:rsidR="003B65A4" w:rsidRDefault="003B65A4" w:rsidP="003951A6">
      <w:pPr>
        <w:spacing w:line="240" w:lineRule="auto"/>
        <w:jc w:val="both"/>
        <w:rPr>
          <w:rFonts w:cs="Arial"/>
          <w:iCs/>
          <w:szCs w:val="20"/>
        </w:rPr>
      </w:pPr>
      <w:r w:rsidRPr="003951A6">
        <w:rPr>
          <w:rFonts w:cs="Arial"/>
          <w:iCs/>
          <w:szCs w:val="20"/>
        </w:rPr>
        <w:t>Višino nastalih stroškov zaradi povečanega nadzora državne meje občine izkažejo z ustreznimi listinami in utemeljitvijo namenske porabe. Občine pošljejo Ministrstvu za notranje zadeve zahtevek za povračilo dela stroškov, nastalih v tekočem koledarskem letu, do 15. novembra. Podlaga za povračilo stroškov so predloženi računi in dokazila o plačilih, ki jih občine priložijo zahtevku skupaj z utemeljitvijo namenske porabe in listinsko dokumentacijo.</w:t>
      </w:r>
    </w:p>
    <w:p w14:paraId="6955E1EA" w14:textId="1EC8AE4C" w:rsidR="0072535A" w:rsidRDefault="0072535A" w:rsidP="003951A6">
      <w:pPr>
        <w:spacing w:line="240" w:lineRule="auto"/>
        <w:jc w:val="both"/>
        <w:rPr>
          <w:rFonts w:cs="Arial"/>
          <w:iCs/>
          <w:szCs w:val="20"/>
        </w:rPr>
      </w:pPr>
    </w:p>
    <w:p w14:paraId="13D34D63" w14:textId="6027DB16" w:rsidR="0072535A" w:rsidRPr="003951A6" w:rsidRDefault="0072535A" w:rsidP="003951A6">
      <w:pPr>
        <w:spacing w:line="240" w:lineRule="auto"/>
        <w:jc w:val="both"/>
        <w:rPr>
          <w:rFonts w:cs="Arial"/>
          <w:iCs/>
          <w:szCs w:val="20"/>
        </w:rPr>
      </w:pPr>
      <w:r>
        <w:rPr>
          <w:rFonts w:cs="Arial"/>
          <w:iCs/>
          <w:szCs w:val="20"/>
        </w:rPr>
        <w:t>Priloga: tabela</w:t>
      </w:r>
    </w:p>
    <w:p w14:paraId="690334A8" w14:textId="3B0806BA" w:rsidR="003B65A4" w:rsidRPr="003951A6" w:rsidRDefault="003B65A4" w:rsidP="003951A6">
      <w:pPr>
        <w:spacing w:line="240" w:lineRule="auto"/>
        <w:jc w:val="both"/>
        <w:rPr>
          <w:rFonts w:cs="Arial"/>
          <w:iCs/>
          <w:szCs w:val="20"/>
        </w:rPr>
      </w:pPr>
    </w:p>
    <w:p w14:paraId="419495C9" w14:textId="77777777" w:rsidR="003B65A4" w:rsidRPr="0072535A" w:rsidRDefault="003B65A4" w:rsidP="003951A6">
      <w:pPr>
        <w:spacing w:line="240" w:lineRule="auto"/>
        <w:jc w:val="both"/>
        <w:rPr>
          <w:rFonts w:cs="Arial"/>
          <w:bCs/>
          <w:szCs w:val="20"/>
        </w:rPr>
      </w:pPr>
      <w:r w:rsidRPr="0072535A">
        <w:rPr>
          <w:rFonts w:cs="Arial"/>
          <w:bCs/>
          <w:szCs w:val="20"/>
        </w:rPr>
        <w:t>Vir: Ministrstvo za notranje zadeve</w:t>
      </w:r>
    </w:p>
    <w:p w14:paraId="3DF6D6A0" w14:textId="77777777" w:rsidR="003B65A4" w:rsidRPr="003951A6" w:rsidRDefault="003B65A4" w:rsidP="003951A6">
      <w:pPr>
        <w:spacing w:line="240" w:lineRule="auto"/>
        <w:jc w:val="both"/>
        <w:rPr>
          <w:rFonts w:cs="Arial"/>
          <w:iCs/>
          <w:szCs w:val="20"/>
        </w:rPr>
      </w:pPr>
    </w:p>
    <w:p w14:paraId="4C878253" w14:textId="77777777" w:rsidR="003B65A4" w:rsidRPr="003951A6" w:rsidRDefault="003B65A4" w:rsidP="003951A6">
      <w:pPr>
        <w:spacing w:line="240" w:lineRule="auto"/>
        <w:jc w:val="both"/>
        <w:rPr>
          <w:rFonts w:cs="Arial"/>
          <w:b/>
          <w:szCs w:val="20"/>
        </w:rPr>
      </w:pPr>
    </w:p>
    <w:p w14:paraId="7A5D6BDD" w14:textId="77777777" w:rsidR="003B65A4" w:rsidRPr="003951A6" w:rsidRDefault="003B65A4" w:rsidP="003951A6">
      <w:pPr>
        <w:spacing w:line="240" w:lineRule="auto"/>
        <w:jc w:val="both"/>
        <w:rPr>
          <w:rFonts w:cs="Arial"/>
          <w:szCs w:val="20"/>
        </w:rPr>
      </w:pPr>
      <w:r w:rsidRPr="003951A6">
        <w:rPr>
          <w:rFonts w:cs="Arial"/>
          <w:b/>
          <w:szCs w:val="20"/>
        </w:rPr>
        <w:t xml:space="preserve">Vlada se </w:t>
      </w:r>
      <w:r w:rsidRPr="003951A6">
        <w:rPr>
          <w:rFonts w:cs="Arial"/>
          <w:b/>
          <w:szCs w:val="20"/>
          <w:lang w:eastAsia="ar-SA"/>
        </w:rPr>
        <w:t>je seznanila s poročilom delovne skupine za pripravo predlogov za učinkovitejše varovanje meje</w:t>
      </w:r>
    </w:p>
    <w:p w14:paraId="6D0004D4" w14:textId="77777777" w:rsidR="003B65A4" w:rsidRPr="003951A6" w:rsidRDefault="003B65A4" w:rsidP="003951A6">
      <w:pPr>
        <w:spacing w:line="240" w:lineRule="auto"/>
        <w:jc w:val="both"/>
        <w:rPr>
          <w:rFonts w:cs="Arial"/>
          <w:iCs/>
          <w:szCs w:val="20"/>
        </w:rPr>
      </w:pPr>
    </w:p>
    <w:p w14:paraId="34C6297C" w14:textId="740CB25B" w:rsidR="003B65A4" w:rsidRPr="003951A6" w:rsidRDefault="003B65A4" w:rsidP="003951A6">
      <w:pPr>
        <w:spacing w:line="240" w:lineRule="auto"/>
        <w:jc w:val="both"/>
        <w:rPr>
          <w:rFonts w:cs="Arial"/>
          <w:iCs/>
          <w:szCs w:val="20"/>
        </w:rPr>
      </w:pPr>
      <w:r w:rsidRPr="003951A6">
        <w:rPr>
          <w:rFonts w:cs="Arial"/>
          <w:iCs/>
          <w:szCs w:val="20"/>
        </w:rPr>
        <w:t>Vlada se je seznanila s šestim trimesečnim poročilom Delovne skupine Vlade Republike Slovenije za pripravo predlogov za učinkovitejše varovanje državne meje, preprečevanje ilegalnih migracij in boju proti tihotapljenju ljudi.</w:t>
      </w:r>
    </w:p>
    <w:p w14:paraId="31324640" w14:textId="77777777" w:rsidR="003B65A4" w:rsidRPr="003951A6" w:rsidRDefault="003B65A4" w:rsidP="003951A6">
      <w:pPr>
        <w:spacing w:line="240" w:lineRule="auto"/>
        <w:jc w:val="both"/>
        <w:rPr>
          <w:rFonts w:cs="Arial"/>
          <w:iCs/>
          <w:szCs w:val="20"/>
        </w:rPr>
      </w:pPr>
    </w:p>
    <w:p w14:paraId="70BDD4AC" w14:textId="77777777" w:rsidR="003B65A4" w:rsidRPr="003951A6" w:rsidRDefault="003B65A4" w:rsidP="003951A6">
      <w:pPr>
        <w:spacing w:line="240" w:lineRule="auto"/>
        <w:jc w:val="both"/>
        <w:rPr>
          <w:rFonts w:cs="Arial"/>
          <w:iCs/>
          <w:szCs w:val="20"/>
        </w:rPr>
      </w:pPr>
      <w:r w:rsidRPr="003951A6">
        <w:rPr>
          <w:rFonts w:cs="Arial"/>
          <w:iCs/>
          <w:szCs w:val="20"/>
        </w:rPr>
        <w:t>Del poročila za obdobje od 8. decembra 2021 do 8. marca 2022 so tudi predlogi delovne skupine v šestem trimesečnem poročevalskem obdobju, in sicer:</w:t>
      </w:r>
    </w:p>
    <w:p w14:paraId="3D94B901" w14:textId="7179544E" w:rsidR="003B65A4" w:rsidRPr="003C4210" w:rsidRDefault="003B65A4" w:rsidP="003C4210">
      <w:pPr>
        <w:pStyle w:val="Odstavekseznama"/>
        <w:numPr>
          <w:ilvl w:val="1"/>
          <w:numId w:val="23"/>
        </w:numPr>
        <w:spacing w:line="240" w:lineRule="auto"/>
        <w:jc w:val="both"/>
        <w:rPr>
          <w:rFonts w:cs="Arial"/>
          <w:iCs/>
          <w:szCs w:val="20"/>
        </w:rPr>
      </w:pPr>
      <w:r w:rsidRPr="003C4210">
        <w:rPr>
          <w:rFonts w:cs="Arial"/>
          <w:iCs/>
          <w:szCs w:val="20"/>
        </w:rPr>
        <w:t>na področju realizacije predlogov delovne skupine iz tretjega in četrtega trimesečnega poročevalskega obdobja,</w:t>
      </w:r>
    </w:p>
    <w:p w14:paraId="0D8A3235" w14:textId="4653F603" w:rsidR="003B65A4" w:rsidRPr="003C4210" w:rsidRDefault="003B65A4" w:rsidP="003C4210">
      <w:pPr>
        <w:pStyle w:val="Odstavekseznama"/>
        <w:numPr>
          <w:ilvl w:val="1"/>
          <w:numId w:val="23"/>
        </w:numPr>
        <w:spacing w:line="240" w:lineRule="auto"/>
        <w:jc w:val="both"/>
        <w:rPr>
          <w:rFonts w:cs="Arial"/>
          <w:iCs/>
          <w:szCs w:val="20"/>
        </w:rPr>
      </w:pPr>
      <w:r w:rsidRPr="003C4210">
        <w:rPr>
          <w:rFonts w:cs="Arial"/>
          <w:iCs/>
          <w:szCs w:val="20"/>
        </w:rPr>
        <w:t>na področju ugotavljanja prepustnosti slovenske južne meje,</w:t>
      </w:r>
    </w:p>
    <w:p w14:paraId="09B4E2BD" w14:textId="0B4BD225" w:rsidR="003B65A4" w:rsidRPr="003C4210" w:rsidRDefault="003B65A4" w:rsidP="003C4210">
      <w:pPr>
        <w:pStyle w:val="Odstavekseznama"/>
        <w:numPr>
          <w:ilvl w:val="1"/>
          <w:numId w:val="23"/>
        </w:numPr>
        <w:spacing w:line="240" w:lineRule="auto"/>
        <w:jc w:val="both"/>
        <w:rPr>
          <w:rFonts w:cs="Arial"/>
          <w:iCs/>
          <w:szCs w:val="20"/>
        </w:rPr>
      </w:pPr>
      <w:r w:rsidRPr="003C4210">
        <w:rPr>
          <w:rFonts w:cs="Arial"/>
          <w:iCs/>
          <w:szCs w:val="20"/>
        </w:rPr>
        <w:t>na področju ocene zemljišč ob južni meji z vidika primernosti uporabe tehničnih rešitev za nadzor meje.</w:t>
      </w:r>
    </w:p>
    <w:p w14:paraId="7B6B2B12" w14:textId="77777777" w:rsidR="003B65A4" w:rsidRPr="003951A6" w:rsidRDefault="003B65A4" w:rsidP="003951A6">
      <w:pPr>
        <w:spacing w:line="240" w:lineRule="auto"/>
        <w:jc w:val="both"/>
        <w:rPr>
          <w:rFonts w:cs="Arial"/>
          <w:iCs/>
          <w:szCs w:val="20"/>
        </w:rPr>
      </w:pPr>
    </w:p>
    <w:p w14:paraId="59605D81" w14:textId="2F25B59F" w:rsidR="003B65A4" w:rsidRPr="003951A6" w:rsidRDefault="003B65A4" w:rsidP="003951A6">
      <w:pPr>
        <w:spacing w:line="240" w:lineRule="auto"/>
        <w:jc w:val="both"/>
        <w:rPr>
          <w:rFonts w:cs="Arial"/>
          <w:iCs/>
          <w:szCs w:val="20"/>
        </w:rPr>
      </w:pPr>
      <w:r w:rsidRPr="003951A6">
        <w:rPr>
          <w:rFonts w:cs="Arial"/>
          <w:iCs/>
          <w:szCs w:val="20"/>
        </w:rPr>
        <w:t>Vlada nalaga ministrstvoma za notranje zadeve in za obrambo, da v okviru svojih delovnih področjih proučita te predloge in vladi v treh mesecih poročata o njihovi realizaciji.</w:t>
      </w:r>
    </w:p>
    <w:p w14:paraId="54B568FB" w14:textId="4E894551" w:rsidR="003B65A4" w:rsidRPr="003951A6" w:rsidRDefault="003B65A4" w:rsidP="003951A6">
      <w:pPr>
        <w:spacing w:line="240" w:lineRule="auto"/>
        <w:jc w:val="both"/>
        <w:rPr>
          <w:rFonts w:cs="Arial"/>
          <w:iCs/>
          <w:szCs w:val="20"/>
        </w:rPr>
      </w:pPr>
    </w:p>
    <w:p w14:paraId="25B33567" w14:textId="67698741" w:rsidR="003B65A4" w:rsidRPr="00BB2A7B" w:rsidRDefault="003B65A4" w:rsidP="00BB2A7B">
      <w:pPr>
        <w:spacing w:line="240" w:lineRule="auto"/>
        <w:jc w:val="both"/>
        <w:rPr>
          <w:rFonts w:cs="Arial"/>
          <w:bCs/>
          <w:szCs w:val="20"/>
        </w:rPr>
      </w:pPr>
      <w:r w:rsidRPr="00BB2A7B">
        <w:rPr>
          <w:rFonts w:cs="Arial"/>
          <w:bCs/>
          <w:szCs w:val="20"/>
        </w:rPr>
        <w:t>Vir: Ministrstvo za notranje zadeve</w:t>
      </w:r>
    </w:p>
    <w:p w14:paraId="4257EF27" w14:textId="280C5174" w:rsidR="005B7922" w:rsidRPr="00BB2A7B" w:rsidRDefault="005B7922" w:rsidP="00BB2A7B">
      <w:pPr>
        <w:spacing w:line="240" w:lineRule="auto"/>
        <w:jc w:val="both"/>
        <w:rPr>
          <w:rFonts w:cs="Arial"/>
          <w:b/>
          <w:szCs w:val="20"/>
        </w:rPr>
      </w:pPr>
    </w:p>
    <w:p w14:paraId="361AD76C" w14:textId="77777777" w:rsidR="00BB2A7B" w:rsidRDefault="00BB2A7B" w:rsidP="00BB2A7B">
      <w:pPr>
        <w:pStyle w:val="Naslov"/>
        <w:jc w:val="both"/>
        <w:rPr>
          <w:rFonts w:ascii="Arial" w:hAnsi="Arial" w:cs="Arial"/>
          <w:color w:val="000000"/>
          <w:sz w:val="20"/>
          <w:szCs w:val="20"/>
        </w:rPr>
      </w:pPr>
    </w:p>
    <w:p w14:paraId="51A07A75" w14:textId="16437CE3" w:rsidR="00BB2A7B" w:rsidRPr="00BB2A7B" w:rsidRDefault="00BB2A7B" w:rsidP="00BB2A7B">
      <w:pPr>
        <w:pStyle w:val="Naslov"/>
        <w:jc w:val="both"/>
        <w:rPr>
          <w:rFonts w:ascii="Arial" w:hAnsi="Arial" w:cs="Arial"/>
          <w:sz w:val="20"/>
          <w:szCs w:val="20"/>
        </w:rPr>
      </w:pPr>
      <w:r w:rsidRPr="00BB2A7B">
        <w:rPr>
          <w:rFonts w:ascii="Arial" w:hAnsi="Arial" w:cs="Arial"/>
          <w:color w:val="000000"/>
          <w:sz w:val="20"/>
          <w:szCs w:val="20"/>
        </w:rPr>
        <w:t>Vlada je  sprejela Srednjeročni obrambni program Republike Slovenije 2022–2026</w:t>
      </w:r>
    </w:p>
    <w:p w14:paraId="1486C80D" w14:textId="77777777" w:rsidR="00BB2A7B" w:rsidRPr="00BB2A7B" w:rsidRDefault="00BB2A7B" w:rsidP="00BB2A7B">
      <w:pPr>
        <w:pStyle w:val="Naslov"/>
        <w:jc w:val="both"/>
        <w:rPr>
          <w:rFonts w:ascii="Arial" w:hAnsi="Arial" w:cs="Arial"/>
          <w:b w:val="0"/>
          <w:bCs w:val="0"/>
          <w:sz w:val="20"/>
          <w:szCs w:val="20"/>
        </w:rPr>
      </w:pPr>
    </w:p>
    <w:p w14:paraId="11B563A2" w14:textId="77777777" w:rsidR="00BB2A7B" w:rsidRPr="00BB2A7B" w:rsidRDefault="00BB2A7B" w:rsidP="00BB2A7B">
      <w:pPr>
        <w:pStyle w:val="Navaden1"/>
        <w:spacing w:line="240" w:lineRule="auto"/>
        <w:jc w:val="both"/>
      </w:pPr>
      <w:r w:rsidRPr="00BB2A7B">
        <w:t xml:space="preserve">Srednjeročni obrambni program Republike Slovenije 2022–2026 (SOPR 2022–2026) je najpomembnejši programski in planski dokument na obrambnem področju, ki po prednostnem načelu razpoložljive obrambne vire usmerja v uravnotežen razvoj obrambnih zmogljivosti v srednjeročnem obdobju. </w:t>
      </w:r>
    </w:p>
    <w:p w14:paraId="76BBE735" w14:textId="77777777" w:rsidR="00BB2A7B" w:rsidRPr="00BB2A7B" w:rsidRDefault="00BB2A7B" w:rsidP="00BB2A7B">
      <w:pPr>
        <w:pStyle w:val="Navaden1"/>
        <w:spacing w:line="240" w:lineRule="auto"/>
        <w:jc w:val="both"/>
      </w:pPr>
    </w:p>
    <w:p w14:paraId="21A1E6A6" w14:textId="77777777" w:rsidR="00BB2A7B" w:rsidRPr="00BB2A7B" w:rsidRDefault="00BB2A7B" w:rsidP="00BB2A7B">
      <w:pPr>
        <w:pStyle w:val="Navaden1"/>
        <w:spacing w:line="240" w:lineRule="auto"/>
        <w:jc w:val="both"/>
      </w:pPr>
      <w:r w:rsidRPr="00BB2A7B">
        <w:t>Pri postavljanju prednostnih nalog izhaja iz dolgoročnih ciljev in ravni ambicij Resolucije o splošnem dolgoročnem programu razvoja in opremljanja Slovenske vojske do leta 2035  (</w:t>
      </w:r>
      <w:proofErr w:type="spellStart"/>
      <w:r w:rsidRPr="00BB2A7B">
        <w:t>ReSDPROSV</w:t>
      </w:r>
      <w:proofErr w:type="spellEnd"/>
      <w:r w:rsidRPr="00BB2A7B">
        <w:t xml:space="preserve"> 2035), Zakona o zagotavljanju sredstev za investicije v Slovensko vojsko v </w:t>
      </w:r>
      <w:r w:rsidRPr="00BB2A7B">
        <w:lastRenderedPageBreak/>
        <w:t>letih od 2021 do 2026, sprejetih ciljev zmogljivosti Nata 2021 za Republiko Slovenijo in sodelovanja Republike Slovenije na področju Stalnega strukturnega sodelovanja EU na obrambnem področju (PESCO).</w:t>
      </w:r>
    </w:p>
    <w:p w14:paraId="5B1A34A9" w14:textId="77777777" w:rsidR="00BB2A7B" w:rsidRPr="00BB2A7B" w:rsidRDefault="00BB2A7B" w:rsidP="00BB2A7B">
      <w:pPr>
        <w:pStyle w:val="Navaden1"/>
        <w:spacing w:line="240" w:lineRule="auto"/>
        <w:jc w:val="both"/>
      </w:pPr>
    </w:p>
    <w:p w14:paraId="176326BE" w14:textId="77777777" w:rsidR="00BB2A7B" w:rsidRPr="00BB2A7B" w:rsidRDefault="00BB2A7B" w:rsidP="00BB2A7B">
      <w:pPr>
        <w:pStyle w:val="Navaden1"/>
        <w:spacing w:line="240" w:lineRule="auto"/>
        <w:jc w:val="both"/>
      </w:pPr>
      <w:r w:rsidRPr="00BB2A7B">
        <w:t>SOPR 2022–2026 je izrazito razvojno naravnan. Opredeljuje ter konkretizira najpomembnejše dejavnosti za vzpostavitev sposobnejših in učinkovitejših obrambnih zmogljivosti. Načrtuje bistven napredek v razvoju in modernizaciji prednostnih zmogljivosti ter preoblikovanje Slovenske vojske in obrambnega sistema.</w:t>
      </w:r>
    </w:p>
    <w:p w14:paraId="51D1F75A" w14:textId="77777777" w:rsidR="00BB2A7B" w:rsidRPr="00BB2A7B" w:rsidRDefault="00BB2A7B" w:rsidP="00BB2A7B">
      <w:pPr>
        <w:autoSpaceDE w:val="0"/>
        <w:autoSpaceDN w:val="0"/>
        <w:spacing w:line="240" w:lineRule="auto"/>
        <w:jc w:val="both"/>
        <w:rPr>
          <w:szCs w:val="20"/>
        </w:rPr>
      </w:pPr>
    </w:p>
    <w:p w14:paraId="7F0B179A" w14:textId="77777777" w:rsidR="00BB2A7B" w:rsidRPr="00BB2A7B" w:rsidRDefault="00BB2A7B" w:rsidP="00BB2A7B">
      <w:pPr>
        <w:autoSpaceDE w:val="0"/>
        <w:autoSpaceDN w:val="0"/>
        <w:spacing w:line="240" w:lineRule="auto"/>
        <w:jc w:val="both"/>
        <w:rPr>
          <w:szCs w:val="20"/>
        </w:rPr>
      </w:pPr>
      <w:r w:rsidRPr="00BB2A7B">
        <w:rPr>
          <w:szCs w:val="20"/>
        </w:rPr>
        <w:t>SOPR 2022-2026 je podlaga za proračunsko načrtovanje in pripravo dokumentov poslovnega načrtovanja Ministrstva za obrambo in Slovenske vojske. Z vključevanjem ciljev zmogljivosti Nata 2021 za Republiko Slovenijo in izvedbenega načrta PESCO zagotavlja povezavo med nacionalnim obrambnim planiranjem in obrambnim planiranjem v Natu in EU.</w:t>
      </w:r>
    </w:p>
    <w:p w14:paraId="67955BF7" w14:textId="77777777" w:rsidR="00BB2A7B" w:rsidRPr="00BB2A7B" w:rsidRDefault="00BB2A7B" w:rsidP="00BB2A7B">
      <w:pPr>
        <w:autoSpaceDE w:val="0"/>
        <w:autoSpaceDN w:val="0"/>
        <w:spacing w:line="240" w:lineRule="auto"/>
        <w:jc w:val="both"/>
        <w:rPr>
          <w:szCs w:val="20"/>
        </w:rPr>
      </w:pPr>
    </w:p>
    <w:p w14:paraId="67F5F7A8" w14:textId="77777777" w:rsidR="00BB2A7B" w:rsidRPr="00BB2A7B" w:rsidRDefault="00BB2A7B" w:rsidP="00BB2A7B">
      <w:pPr>
        <w:pStyle w:val="Navaden1"/>
        <w:spacing w:line="240" w:lineRule="auto"/>
        <w:jc w:val="both"/>
        <w:rPr>
          <w:color w:val="000000"/>
        </w:rPr>
      </w:pPr>
      <w:r w:rsidRPr="00BB2A7B">
        <w:t xml:space="preserve">Predlog SOPR 2022-2026 je bil pripravljen na podlagi srednjeročne finančne projekcije, </w:t>
      </w:r>
      <w:r w:rsidRPr="00BB2A7B">
        <w:rPr>
          <w:color w:val="000000"/>
        </w:rPr>
        <w:t xml:space="preserve">ki temelji na sprejetih spremembah proračuna za leto 2022 in na sprejetem proračunu za leto 2023 ter nominalnemu povečanju obrambnih izdatkov v obdobju od leta 2024 do 2026. </w:t>
      </w:r>
    </w:p>
    <w:p w14:paraId="622ADB92" w14:textId="77777777" w:rsidR="00BB2A7B" w:rsidRPr="00BB2A7B" w:rsidRDefault="00BB2A7B" w:rsidP="00BB2A7B">
      <w:pPr>
        <w:pStyle w:val="Navaden1"/>
        <w:spacing w:line="240" w:lineRule="auto"/>
        <w:jc w:val="both"/>
        <w:rPr>
          <w:color w:val="000000"/>
        </w:rPr>
      </w:pPr>
    </w:p>
    <w:p w14:paraId="21364D54" w14:textId="77777777" w:rsidR="00BB2A7B" w:rsidRPr="00BB2A7B" w:rsidRDefault="00BB2A7B" w:rsidP="00BB2A7B">
      <w:pPr>
        <w:pStyle w:val="Naslov"/>
        <w:jc w:val="both"/>
        <w:rPr>
          <w:rFonts w:ascii="Arial" w:hAnsi="Arial" w:cs="Arial"/>
          <w:b w:val="0"/>
          <w:bCs w:val="0"/>
          <w:sz w:val="20"/>
          <w:szCs w:val="20"/>
        </w:rPr>
      </w:pPr>
      <w:r w:rsidRPr="00BB2A7B">
        <w:rPr>
          <w:rFonts w:ascii="Arial" w:hAnsi="Arial" w:cs="Arial"/>
          <w:b w:val="0"/>
          <w:bCs w:val="0"/>
          <w:sz w:val="20"/>
          <w:szCs w:val="20"/>
        </w:rPr>
        <w:t>Obrambni izdatki se bodo v obdobju od leta 2022 do 2026 povprečju medletno povečali za okoli 72 milijonov EUR in bodo leta 2026 dosegli 983 milijonov EUR, kar je 485 milijonov več kot leta 2020. V srednjeročnem obdobju se bo delež obrambnih izdatkov v BDP postopno povečeval do 1,53 % v letu 2026.</w:t>
      </w:r>
    </w:p>
    <w:p w14:paraId="3B414876" w14:textId="77777777" w:rsidR="00BB2A7B" w:rsidRPr="00BB2A7B" w:rsidRDefault="00BB2A7B" w:rsidP="00BB2A7B">
      <w:pPr>
        <w:pStyle w:val="Navaden1"/>
        <w:spacing w:line="240" w:lineRule="auto"/>
        <w:jc w:val="both"/>
      </w:pPr>
    </w:p>
    <w:p w14:paraId="5285B281" w14:textId="620D89FA" w:rsidR="00BB2A7B" w:rsidRPr="00BB2A7B" w:rsidRDefault="00BB2A7B" w:rsidP="00BB2A7B">
      <w:pPr>
        <w:pStyle w:val="Navaden1"/>
        <w:spacing w:line="240" w:lineRule="auto"/>
        <w:jc w:val="both"/>
      </w:pPr>
      <w:r w:rsidRPr="00BB2A7B">
        <w:t>Finančna sredstva za realizacijo programa v letih 2022 in 2023 so zagotovljena v okviru sprejetih proračunov.</w:t>
      </w:r>
    </w:p>
    <w:p w14:paraId="3C7326AB" w14:textId="289F48B6" w:rsidR="00BB2A7B" w:rsidRPr="00BB2A7B" w:rsidRDefault="00BB2A7B" w:rsidP="00BB2A7B">
      <w:pPr>
        <w:pStyle w:val="Navaden1"/>
        <w:spacing w:line="240" w:lineRule="auto"/>
        <w:jc w:val="both"/>
      </w:pPr>
    </w:p>
    <w:p w14:paraId="204ECDEE" w14:textId="77777777" w:rsidR="00BB2A7B" w:rsidRPr="00BB2A7B" w:rsidRDefault="00BB2A7B" w:rsidP="00BB2A7B">
      <w:pPr>
        <w:spacing w:line="240" w:lineRule="auto"/>
        <w:jc w:val="both"/>
        <w:rPr>
          <w:rFonts w:cs="Arial"/>
          <w:bCs/>
          <w:szCs w:val="20"/>
        </w:rPr>
      </w:pPr>
      <w:r w:rsidRPr="00BB2A7B">
        <w:rPr>
          <w:rFonts w:cs="Arial"/>
          <w:bCs/>
          <w:szCs w:val="20"/>
        </w:rPr>
        <w:t>Vir: Ministrstvo za obrambo</w:t>
      </w:r>
    </w:p>
    <w:p w14:paraId="01B538C0" w14:textId="77777777" w:rsidR="00BB2A7B" w:rsidRPr="00BB2A7B" w:rsidRDefault="00BB2A7B" w:rsidP="00BB2A7B">
      <w:pPr>
        <w:pStyle w:val="Navaden1"/>
        <w:spacing w:line="240" w:lineRule="auto"/>
        <w:jc w:val="both"/>
      </w:pPr>
    </w:p>
    <w:p w14:paraId="7E72982B" w14:textId="77777777" w:rsidR="00BB2A7B" w:rsidRPr="00BB2A7B" w:rsidRDefault="00BB2A7B" w:rsidP="00BB2A7B">
      <w:pPr>
        <w:spacing w:line="240" w:lineRule="auto"/>
        <w:jc w:val="both"/>
        <w:rPr>
          <w:rFonts w:cs="Arial"/>
          <w:b/>
          <w:bCs/>
          <w:szCs w:val="20"/>
        </w:rPr>
      </w:pPr>
    </w:p>
    <w:p w14:paraId="6768F962" w14:textId="6ADB69B1" w:rsidR="00BB2A7B" w:rsidRPr="00BB2A7B" w:rsidRDefault="00BB2A7B" w:rsidP="00BB2A7B">
      <w:pPr>
        <w:spacing w:line="240" w:lineRule="auto"/>
        <w:jc w:val="both"/>
        <w:rPr>
          <w:rFonts w:cs="Arial"/>
          <w:b/>
          <w:szCs w:val="20"/>
        </w:rPr>
      </w:pPr>
      <w:r w:rsidRPr="00BB2A7B">
        <w:rPr>
          <w:rFonts w:cs="Arial"/>
          <w:b/>
          <w:bCs/>
          <w:szCs w:val="20"/>
        </w:rPr>
        <w:t>Poročilo o izvajanju investicij v Slovenski vojski za leto 2021</w:t>
      </w:r>
    </w:p>
    <w:p w14:paraId="41341837" w14:textId="77777777" w:rsidR="00BB2A7B" w:rsidRPr="00BB2A7B" w:rsidRDefault="00BB2A7B" w:rsidP="00BB2A7B">
      <w:pPr>
        <w:pStyle w:val="Telobesedila2"/>
        <w:tabs>
          <w:tab w:val="center" w:pos="7371"/>
        </w:tabs>
        <w:spacing w:after="0" w:line="240" w:lineRule="auto"/>
        <w:jc w:val="both"/>
        <w:rPr>
          <w:rFonts w:cs="Arial"/>
          <w:b/>
          <w:bCs/>
          <w:szCs w:val="20"/>
        </w:rPr>
      </w:pPr>
    </w:p>
    <w:p w14:paraId="0691DA3D" w14:textId="0D44A6FB" w:rsidR="00BB2A7B" w:rsidRPr="00BB2A7B" w:rsidRDefault="00BB2A7B" w:rsidP="00BB2A7B">
      <w:pPr>
        <w:spacing w:line="240" w:lineRule="auto"/>
        <w:jc w:val="both"/>
        <w:rPr>
          <w:rFonts w:cs="Arial"/>
          <w:b/>
          <w:bCs/>
          <w:szCs w:val="20"/>
        </w:rPr>
      </w:pPr>
      <w:r w:rsidRPr="00BB2A7B">
        <w:rPr>
          <w:rFonts w:cs="Arial"/>
          <w:bCs/>
          <w:szCs w:val="20"/>
        </w:rPr>
        <w:t xml:space="preserve">Vlada je na dopisni seji sprejela Poročilo o izvajanju investicij v Slovenski vojski na podlagi Zakona o zagotavljanju sredstev za investicije v Slovenski vojski v letih 2021 do 2026 za leto 2021, ki bo posredovano </w:t>
      </w:r>
      <w:r w:rsidRPr="00BB2A7B">
        <w:rPr>
          <w:rFonts w:cs="Arial"/>
          <w:szCs w:val="20"/>
        </w:rPr>
        <w:t>Državnemu zboru Republike Slovenije.</w:t>
      </w:r>
    </w:p>
    <w:p w14:paraId="246E0AFD" w14:textId="77777777" w:rsidR="00BB2A7B" w:rsidRPr="00BB2A7B" w:rsidRDefault="00BB2A7B" w:rsidP="00BB2A7B">
      <w:pPr>
        <w:overflowPunct w:val="0"/>
        <w:autoSpaceDE w:val="0"/>
        <w:autoSpaceDN w:val="0"/>
        <w:adjustRightInd w:val="0"/>
        <w:spacing w:line="240" w:lineRule="auto"/>
        <w:jc w:val="both"/>
        <w:textAlignment w:val="baseline"/>
        <w:rPr>
          <w:rFonts w:cs="Arial"/>
          <w:iCs/>
          <w:szCs w:val="20"/>
          <w:lang w:eastAsia="sl-SI"/>
        </w:rPr>
      </w:pPr>
    </w:p>
    <w:p w14:paraId="2CA8418F" w14:textId="77777777" w:rsidR="00BB2A7B" w:rsidRPr="00BB2A7B" w:rsidRDefault="00BB2A7B" w:rsidP="00BB2A7B">
      <w:pPr>
        <w:spacing w:line="240" w:lineRule="auto"/>
        <w:jc w:val="both"/>
        <w:rPr>
          <w:rFonts w:cs="Arial"/>
          <w:bCs/>
          <w:szCs w:val="20"/>
        </w:rPr>
      </w:pPr>
      <w:r w:rsidRPr="00BB2A7B">
        <w:rPr>
          <w:rFonts w:cs="Arial"/>
          <w:szCs w:val="20"/>
        </w:rPr>
        <w:t xml:space="preserve">Zakon o zagotavljanju sredstev za investicije v Slovenski vojski v letih 2021 do 2026 (ZZSISV26) v 7. členu določa, da </w:t>
      </w:r>
      <w:r w:rsidRPr="00BB2A7B">
        <w:rPr>
          <w:rFonts w:cs="Arial"/>
          <w:bCs/>
          <w:szCs w:val="20"/>
        </w:rPr>
        <w:t>Vlada Republike Slovenije o izvajanju zakona enkrat na leto poroča Državnemu zboru RS, najpozneje do konca meseca maja za preteklo leto.</w:t>
      </w:r>
    </w:p>
    <w:p w14:paraId="4DE7E6E3" w14:textId="77777777" w:rsidR="00BB2A7B" w:rsidRPr="00BB2A7B" w:rsidRDefault="00BB2A7B" w:rsidP="00BB2A7B">
      <w:pPr>
        <w:spacing w:line="240" w:lineRule="auto"/>
        <w:jc w:val="both"/>
        <w:rPr>
          <w:rFonts w:cs="Arial"/>
          <w:bCs/>
          <w:szCs w:val="20"/>
        </w:rPr>
      </w:pPr>
    </w:p>
    <w:p w14:paraId="5491676F" w14:textId="77777777" w:rsidR="00BB2A7B" w:rsidRPr="00BB2A7B" w:rsidRDefault="00BB2A7B" w:rsidP="00BB2A7B">
      <w:pPr>
        <w:spacing w:line="240" w:lineRule="auto"/>
        <w:contextualSpacing/>
        <w:jc w:val="both"/>
        <w:rPr>
          <w:rFonts w:cs="Arial"/>
          <w:szCs w:val="20"/>
        </w:rPr>
      </w:pPr>
      <w:r w:rsidRPr="00BB2A7B">
        <w:rPr>
          <w:rFonts w:cs="Arial"/>
          <w:bCs/>
          <w:szCs w:val="20"/>
        </w:rPr>
        <w:t xml:space="preserve">Investicije so se izvajale skladno z </w:t>
      </w:r>
      <w:r w:rsidRPr="00BB2A7B">
        <w:rPr>
          <w:rFonts w:cs="Arial"/>
          <w:szCs w:val="20"/>
        </w:rPr>
        <w:t xml:space="preserve">Letnim načrtom izvajanja investicij v Slovenski vojski na podlagi ZZSISV26 za leto 2021, ki ga je sprejela vlada, in so predvidene v Resoluciji o splošnem dolgoročnem programu razvoja in opremljanja Slovenske vojske do leta 2025 ter Srednjeročnem obrambnem programu Republike Slovenije 2018–2023. </w:t>
      </w:r>
    </w:p>
    <w:p w14:paraId="6939E669" w14:textId="77777777" w:rsidR="00BB2A7B" w:rsidRPr="00BB2A7B" w:rsidRDefault="00BB2A7B" w:rsidP="00BB2A7B">
      <w:pPr>
        <w:spacing w:line="240" w:lineRule="auto"/>
        <w:jc w:val="both"/>
        <w:rPr>
          <w:rFonts w:cs="Arial"/>
          <w:szCs w:val="20"/>
        </w:rPr>
      </w:pPr>
    </w:p>
    <w:p w14:paraId="6D494938" w14:textId="77777777" w:rsidR="00BB2A7B" w:rsidRPr="00BB2A7B" w:rsidRDefault="00BB2A7B" w:rsidP="00BB2A7B">
      <w:pPr>
        <w:spacing w:line="240" w:lineRule="auto"/>
        <w:jc w:val="both"/>
        <w:rPr>
          <w:rFonts w:cs="Arial"/>
          <w:szCs w:val="20"/>
        </w:rPr>
      </w:pPr>
      <w:r w:rsidRPr="00BB2A7B">
        <w:rPr>
          <w:rFonts w:cs="Arial"/>
          <w:szCs w:val="20"/>
        </w:rPr>
        <w:t>ZZSISV26 v 2. členu določa, da se finančna sredstva v letih 2021 in 2022 zagotovijo v višini 100 milijonov EUR za vsako leto, v letih 2023 do vključno 2026 pa v višini 145 milijonov EUR za vsako leto, in sicer na posebni proračunski postavki pri Ministrstvu za obrambo.</w:t>
      </w:r>
    </w:p>
    <w:p w14:paraId="2F8AEBF2" w14:textId="77777777" w:rsidR="00BB2A7B" w:rsidRPr="00BB2A7B" w:rsidRDefault="00BB2A7B" w:rsidP="00BB2A7B">
      <w:pPr>
        <w:spacing w:line="240" w:lineRule="auto"/>
        <w:jc w:val="both"/>
        <w:rPr>
          <w:rFonts w:cs="Arial"/>
          <w:szCs w:val="20"/>
        </w:rPr>
      </w:pPr>
    </w:p>
    <w:p w14:paraId="7F8A6D77" w14:textId="77777777" w:rsidR="00BB2A7B" w:rsidRPr="00BB2A7B" w:rsidRDefault="00BB2A7B" w:rsidP="00BB2A7B">
      <w:pPr>
        <w:spacing w:line="240" w:lineRule="auto"/>
        <w:jc w:val="both"/>
        <w:rPr>
          <w:rFonts w:cs="Arial"/>
          <w:szCs w:val="20"/>
        </w:rPr>
      </w:pPr>
      <w:r w:rsidRPr="00BB2A7B">
        <w:rPr>
          <w:rFonts w:cs="Arial"/>
          <w:szCs w:val="20"/>
        </w:rPr>
        <w:t xml:space="preserve">Ministrstvo za obrambo je leta 2021 sklenilo pogodbe ter prevzelo obveznosti za investicije, namenjene izgradnji dveh ključnih zmogljivosti Slovenske vojske za zagotavljanje nacionalne in kolektivne obrambe v okviru Nata, in sicer bataljonsko bojno skupino in enoto za specialno delovanje ter vzpostavilo pogoje za delovanja teh zmogljivosti v zahtevanih pogojih. </w:t>
      </w:r>
    </w:p>
    <w:p w14:paraId="7C96642A" w14:textId="77777777" w:rsidR="00BB2A7B" w:rsidRPr="00BB2A7B" w:rsidRDefault="00BB2A7B" w:rsidP="00BB2A7B">
      <w:pPr>
        <w:spacing w:line="240" w:lineRule="auto"/>
        <w:jc w:val="both"/>
        <w:rPr>
          <w:rFonts w:cs="Arial"/>
          <w:szCs w:val="20"/>
        </w:rPr>
      </w:pPr>
    </w:p>
    <w:p w14:paraId="308D9BDD" w14:textId="1C382CB0" w:rsidR="00BB2A7B" w:rsidRDefault="00BB2A7B" w:rsidP="00BB2A7B">
      <w:pPr>
        <w:spacing w:line="240" w:lineRule="auto"/>
        <w:jc w:val="both"/>
        <w:rPr>
          <w:rFonts w:cs="Arial"/>
          <w:szCs w:val="20"/>
        </w:rPr>
      </w:pPr>
      <w:r w:rsidRPr="00BB2A7B">
        <w:rPr>
          <w:rFonts w:cs="Arial"/>
          <w:szCs w:val="20"/>
        </w:rPr>
        <w:t xml:space="preserve">Projekti, za katere je Ministrstvo za obrambo v letu 2021 sklenilo pogodbe ter prevzelo finančne obveznosti skladno na podlagi ZZSISV26: </w:t>
      </w:r>
    </w:p>
    <w:p w14:paraId="32170E11" w14:textId="39836982" w:rsidR="008D1293" w:rsidRDefault="008D1293" w:rsidP="00BB2A7B">
      <w:pPr>
        <w:spacing w:line="240" w:lineRule="auto"/>
        <w:jc w:val="both"/>
        <w:rPr>
          <w:rFonts w:cs="Arial"/>
          <w:szCs w:val="20"/>
        </w:rPr>
      </w:pPr>
    </w:p>
    <w:p w14:paraId="01737713" w14:textId="45ABB505" w:rsidR="008D1293" w:rsidRDefault="008D1293" w:rsidP="00BB2A7B">
      <w:pPr>
        <w:spacing w:line="240" w:lineRule="auto"/>
        <w:jc w:val="both"/>
        <w:rPr>
          <w:rFonts w:cs="Arial"/>
          <w:szCs w:val="20"/>
        </w:rPr>
      </w:pPr>
    </w:p>
    <w:p w14:paraId="674C6598" w14:textId="77777777" w:rsidR="008D1293" w:rsidRPr="00BB2A7B" w:rsidRDefault="008D1293" w:rsidP="00BB2A7B">
      <w:pPr>
        <w:spacing w:line="240" w:lineRule="auto"/>
        <w:jc w:val="both"/>
        <w:rPr>
          <w:rFonts w:cs="Arial"/>
          <w:szCs w:val="20"/>
        </w:rPr>
      </w:pPr>
    </w:p>
    <w:p w14:paraId="43A149D2" w14:textId="77777777" w:rsidR="00BB2A7B" w:rsidRPr="00BB2A7B" w:rsidRDefault="00BB2A7B" w:rsidP="00BB2A7B">
      <w:pPr>
        <w:spacing w:line="240" w:lineRule="auto"/>
        <w:jc w:val="both"/>
        <w:rPr>
          <w:rFonts w:cs="Arial"/>
          <w:szCs w:val="20"/>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126"/>
      </w:tblGrid>
      <w:tr w:rsidR="00BB2A7B" w:rsidRPr="00BB2A7B" w14:paraId="3DFFE686" w14:textId="77777777" w:rsidTr="002E49A5">
        <w:tc>
          <w:tcPr>
            <w:tcW w:w="6629" w:type="dxa"/>
            <w:shd w:val="clear" w:color="auto" w:fill="auto"/>
          </w:tcPr>
          <w:p w14:paraId="1D99E3A5" w14:textId="77777777" w:rsidR="00BB2A7B" w:rsidRPr="00BB2A7B" w:rsidRDefault="00BB2A7B" w:rsidP="00BB2A7B">
            <w:pPr>
              <w:spacing w:line="240" w:lineRule="auto"/>
              <w:jc w:val="both"/>
              <w:rPr>
                <w:rFonts w:cs="Arial"/>
                <w:b/>
                <w:color w:val="000000"/>
                <w:szCs w:val="20"/>
                <w:lang w:eastAsia="sl-SI"/>
              </w:rPr>
            </w:pPr>
            <w:r w:rsidRPr="00BB2A7B">
              <w:rPr>
                <w:rFonts w:cs="Arial"/>
                <w:b/>
                <w:color w:val="000000"/>
                <w:szCs w:val="20"/>
                <w:lang w:eastAsia="sl-SI"/>
              </w:rPr>
              <w:lastRenderedPageBreak/>
              <w:t>Projekt</w:t>
            </w:r>
          </w:p>
        </w:tc>
        <w:tc>
          <w:tcPr>
            <w:tcW w:w="2126" w:type="dxa"/>
            <w:shd w:val="clear" w:color="auto" w:fill="auto"/>
          </w:tcPr>
          <w:p w14:paraId="33BEE910" w14:textId="77777777" w:rsidR="00BB2A7B" w:rsidRPr="00BB2A7B" w:rsidRDefault="00BB2A7B" w:rsidP="00BB2A7B">
            <w:pPr>
              <w:spacing w:line="240" w:lineRule="auto"/>
              <w:jc w:val="both"/>
              <w:rPr>
                <w:rFonts w:cs="Arial"/>
                <w:szCs w:val="20"/>
              </w:rPr>
            </w:pPr>
            <w:r w:rsidRPr="00BB2A7B">
              <w:rPr>
                <w:rFonts w:cs="Arial"/>
                <w:b/>
                <w:color w:val="000000"/>
                <w:szCs w:val="20"/>
                <w:lang w:eastAsia="sl-SI"/>
              </w:rPr>
              <w:t>Finančna realizacija 2021 v EUR</w:t>
            </w:r>
          </w:p>
        </w:tc>
      </w:tr>
      <w:tr w:rsidR="00BB2A7B" w:rsidRPr="00BB2A7B" w14:paraId="69523443" w14:textId="77777777" w:rsidTr="002E49A5">
        <w:tc>
          <w:tcPr>
            <w:tcW w:w="6629" w:type="dxa"/>
            <w:shd w:val="clear" w:color="auto" w:fill="auto"/>
          </w:tcPr>
          <w:p w14:paraId="1D3B891C" w14:textId="77777777" w:rsidR="00BB2A7B" w:rsidRPr="00BB2A7B" w:rsidRDefault="00BB2A7B" w:rsidP="00BB2A7B">
            <w:pPr>
              <w:spacing w:line="240" w:lineRule="auto"/>
              <w:jc w:val="both"/>
              <w:rPr>
                <w:rFonts w:cs="Arial"/>
                <w:szCs w:val="20"/>
              </w:rPr>
            </w:pPr>
            <w:r w:rsidRPr="00BB2A7B">
              <w:rPr>
                <w:rFonts w:cs="Arial"/>
                <w:b/>
                <w:color w:val="000000"/>
                <w:szCs w:val="20"/>
                <w:lang w:eastAsia="sl-SI"/>
              </w:rPr>
              <w:t>Taktično transportno letalo</w:t>
            </w:r>
            <w:r w:rsidRPr="00BB2A7B">
              <w:rPr>
                <w:rFonts w:cs="Arial"/>
                <w:szCs w:val="20"/>
              </w:rPr>
              <w:t xml:space="preserve">: V letu 2021 je bil </w:t>
            </w:r>
            <w:r w:rsidRPr="00BB2A7B">
              <w:rPr>
                <w:rFonts w:cs="Arial"/>
                <w:color w:val="000000"/>
                <w:szCs w:val="20"/>
                <w:lang w:eastAsia="sl-SI"/>
              </w:rPr>
              <w:t xml:space="preserve">na podlagi podpisanega izvedbenega dogovora </w:t>
            </w:r>
            <w:r w:rsidRPr="00BB2A7B">
              <w:rPr>
                <w:rFonts w:cs="Arial"/>
                <w:szCs w:val="20"/>
              </w:rPr>
              <w:t>z Ministrstvom za obrambo Italijanske Republike za transportno letalo</w:t>
            </w:r>
            <w:r w:rsidRPr="00BB2A7B">
              <w:rPr>
                <w:rFonts w:cs="Arial"/>
                <w:b/>
                <w:szCs w:val="20"/>
              </w:rPr>
              <w:t xml:space="preserve"> </w:t>
            </w:r>
            <w:proofErr w:type="spellStart"/>
            <w:r w:rsidRPr="00BB2A7B">
              <w:rPr>
                <w:rFonts w:cs="Arial"/>
                <w:szCs w:val="20"/>
              </w:rPr>
              <w:t>Spartan</w:t>
            </w:r>
            <w:proofErr w:type="spellEnd"/>
            <w:r w:rsidRPr="00BB2A7B">
              <w:rPr>
                <w:rFonts w:cs="Arial"/>
                <w:szCs w:val="20"/>
              </w:rPr>
              <w:t xml:space="preserve"> C-27J plačan del kupnine.</w:t>
            </w:r>
          </w:p>
          <w:p w14:paraId="1007B644" w14:textId="77777777" w:rsidR="00BB2A7B" w:rsidRPr="00BB2A7B" w:rsidRDefault="00BB2A7B" w:rsidP="00BB2A7B">
            <w:pPr>
              <w:spacing w:line="240" w:lineRule="auto"/>
              <w:jc w:val="both"/>
              <w:rPr>
                <w:rFonts w:cs="Arial"/>
                <w:b/>
                <w:color w:val="000000"/>
                <w:szCs w:val="20"/>
                <w:lang w:eastAsia="sl-SI"/>
              </w:rPr>
            </w:pPr>
          </w:p>
        </w:tc>
        <w:tc>
          <w:tcPr>
            <w:tcW w:w="2126" w:type="dxa"/>
            <w:shd w:val="clear" w:color="auto" w:fill="auto"/>
          </w:tcPr>
          <w:p w14:paraId="12E7FFEF" w14:textId="77777777" w:rsidR="00BB2A7B" w:rsidRPr="00BB2A7B" w:rsidRDefault="00BB2A7B" w:rsidP="00BB2A7B">
            <w:pPr>
              <w:spacing w:line="240" w:lineRule="auto"/>
              <w:jc w:val="both"/>
              <w:rPr>
                <w:rFonts w:cs="Arial"/>
                <w:b/>
                <w:color w:val="000000"/>
                <w:szCs w:val="20"/>
                <w:lang w:eastAsia="sl-SI"/>
              </w:rPr>
            </w:pPr>
            <w:r w:rsidRPr="00BB2A7B">
              <w:rPr>
                <w:rFonts w:cs="Arial"/>
                <w:szCs w:val="20"/>
              </w:rPr>
              <w:t>22.000.000</w:t>
            </w:r>
          </w:p>
        </w:tc>
      </w:tr>
      <w:tr w:rsidR="00BB2A7B" w:rsidRPr="00BB2A7B" w14:paraId="6D07EA65" w14:textId="77777777" w:rsidTr="002E49A5">
        <w:tc>
          <w:tcPr>
            <w:tcW w:w="6629" w:type="dxa"/>
            <w:shd w:val="clear" w:color="auto" w:fill="auto"/>
          </w:tcPr>
          <w:p w14:paraId="11ABD046" w14:textId="77777777" w:rsidR="00BB2A7B" w:rsidRPr="00BB2A7B" w:rsidRDefault="00BB2A7B" w:rsidP="00BB2A7B">
            <w:pPr>
              <w:spacing w:line="240" w:lineRule="auto"/>
              <w:jc w:val="both"/>
              <w:rPr>
                <w:rFonts w:cs="Arial"/>
                <w:szCs w:val="20"/>
              </w:rPr>
            </w:pPr>
            <w:r w:rsidRPr="00BB2A7B">
              <w:rPr>
                <w:rFonts w:cs="Arial"/>
                <w:b/>
                <w:szCs w:val="20"/>
              </w:rPr>
              <w:t>Lahka kolesna oklepna vozila (LKOV) 4x4:</w:t>
            </w:r>
            <w:r w:rsidRPr="00BB2A7B">
              <w:rPr>
                <w:rFonts w:cs="Arial"/>
                <w:szCs w:val="20"/>
              </w:rPr>
              <w:t xml:space="preserve"> V letu 2021 je bila sklenjena pogodba po postopku vlada-vladi preko programa </w:t>
            </w:r>
            <w:proofErr w:type="spellStart"/>
            <w:r w:rsidRPr="00BB2A7B">
              <w:rPr>
                <w:rFonts w:cs="Arial"/>
                <w:szCs w:val="20"/>
              </w:rPr>
              <w:t>Foreign</w:t>
            </w:r>
            <w:proofErr w:type="spellEnd"/>
            <w:r w:rsidRPr="00BB2A7B">
              <w:rPr>
                <w:rFonts w:cs="Arial"/>
                <w:szCs w:val="20"/>
              </w:rPr>
              <w:t xml:space="preserve"> </w:t>
            </w:r>
            <w:proofErr w:type="spellStart"/>
            <w:r w:rsidRPr="00BB2A7B">
              <w:rPr>
                <w:rFonts w:cs="Arial"/>
                <w:szCs w:val="20"/>
              </w:rPr>
              <w:t>Military</w:t>
            </w:r>
            <w:proofErr w:type="spellEnd"/>
            <w:r w:rsidRPr="00BB2A7B">
              <w:rPr>
                <w:rFonts w:cs="Arial"/>
                <w:szCs w:val="20"/>
              </w:rPr>
              <w:t xml:space="preserve"> </w:t>
            </w:r>
            <w:proofErr w:type="spellStart"/>
            <w:r w:rsidRPr="00BB2A7B">
              <w:rPr>
                <w:rFonts w:cs="Arial"/>
                <w:szCs w:val="20"/>
              </w:rPr>
              <w:t>Sales</w:t>
            </w:r>
            <w:proofErr w:type="spellEnd"/>
            <w:r w:rsidRPr="00BB2A7B">
              <w:rPr>
                <w:rFonts w:cs="Arial"/>
                <w:szCs w:val="20"/>
              </w:rPr>
              <w:t xml:space="preserve"> z vlado ZDA za nakup 37 vozil ter izvedeno plačilo v višini 33.858.706 EUR.</w:t>
            </w:r>
          </w:p>
          <w:p w14:paraId="0761D06B" w14:textId="77777777" w:rsidR="00BB2A7B" w:rsidRPr="00BB2A7B" w:rsidRDefault="00BB2A7B" w:rsidP="00BB2A7B">
            <w:pPr>
              <w:spacing w:line="240" w:lineRule="auto"/>
              <w:jc w:val="both"/>
              <w:rPr>
                <w:rFonts w:cs="Arial"/>
                <w:b/>
                <w:color w:val="000000"/>
                <w:szCs w:val="20"/>
                <w:lang w:eastAsia="sl-SI"/>
              </w:rPr>
            </w:pPr>
          </w:p>
        </w:tc>
        <w:tc>
          <w:tcPr>
            <w:tcW w:w="2126" w:type="dxa"/>
            <w:shd w:val="clear" w:color="auto" w:fill="auto"/>
          </w:tcPr>
          <w:p w14:paraId="4E855B2F" w14:textId="77777777" w:rsidR="00BB2A7B" w:rsidRPr="00BB2A7B" w:rsidRDefault="00BB2A7B" w:rsidP="00BB2A7B">
            <w:pPr>
              <w:spacing w:line="240" w:lineRule="auto"/>
              <w:jc w:val="both"/>
              <w:rPr>
                <w:rFonts w:cs="Arial"/>
                <w:b/>
                <w:color w:val="000000"/>
                <w:szCs w:val="20"/>
                <w:lang w:eastAsia="sl-SI"/>
              </w:rPr>
            </w:pPr>
            <w:r w:rsidRPr="00BB2A7B">
              <w:rPr>
                <w:rFonts w:cs="Arial"/>
                <w:szCs w:val="20"/>
              </w:rPr>
              <w:t xml:space="preserve">33.858.706 </w:t>
            </w:r>
          </w:p>
        </w:tc>
      </w:tr>
      <w:tr w:rsidR="00BB2A7B" w:rsidRPr="00BB2A7B" w14:paraId="7075BBB8" w14:textId="77777777" w:rsidTr="002E49A5">
        <w:tc>
          <w:tcPr>
            <w:tcW w:w="6629" w:type="dxa"/>
            <w:shd w:val="clear" w:color="auto" w:fill="auto"/>
          </w:tcPr>
          <w:p w14:paraId="63B81A1A" w14:textId="77777777" w:rsidR="00BB2A7B" w:rsidRPr="00BB2A7B" w:rsidRDefault="00BB2A7B" w:rsidP="00BB2A7B">
            <w:pPr>
              <w:spacing w:line="240" w:lineRule="auto"/>
              <w:jc w:val="both"/>
              <w:rPr>
                <w:rFonts w:cs="Arial"/>
                <w:b/>
                <w:szCs w:val="20"/>
              </w:rPr>
            </w:pPr>
            <w:r w:rsidRPr="00BB2A7B">
              <w:rPr>
                <w:rFonts w:cs="Arial"/>
                <w:b/>
                <w:szCs w:val="20"/>
              </w:rPr>
              <w:t>Komunikacijski in informacijski sistemi ter kibernetska obramba</w:t>
            </w:r>
            <w:r w:rsidRPr="00BB2A7B">
              <w:rPr>
                <w:rFonts w:cs="Arial"/>
                <w:szCs w:val="20"/>
              </w:rPr>
              <w:t xml:space="preserve"> </w:t>
            </w:r>
          </w:p>
          <w:p w14:paraId="28CE4990" w14:textId="77777777" w:rsidR="00BB2A7B" w:rsidRPr="00BB2A7B" w:rsidRDefault="00BB2A7B" w:rsidP="00BB2A7B">
            <w:pPr>
              <w:spacing w:line="240" w:lineRule="auto"/>
              <w:jc w:val="both"/>
              <w:rPr>
                <w:rFonts w:cs="Arial"/>
                <w:b/>
                <w:color w:val="000000"/>
                <w:szCs w:val="20"/>
                <w:lang w:eastAsia="sl-SI"/>
              </w:rPr>
            </w:pPr>
          </w:p>
        </w:tc>
        <w:tc>
          <w:tcPr>
            <w:tcW w:w="2126" w:type="dxa"/>
            <w:shd w:val="clear" w:color="auto" w:fill="auto"/>
          </w:tcPr>
          <w:p w14:paraId="0CE8E54B" w14:textId="77777777" w:rsidR="00BB2A7B" w:rsidRPr="00BB2A7B" w:rsidRDefault="00BB2A7B" w:rsidP="00BB2A7B">
            <w:pPr>
              <w:spacing w:line="240" w:lineRule="auto"/>
              <w:jc w:val="both"/>
              <w:rPr>
                <w:rFonts w:cs="Arial"/>
                <w:b/>
                <w:szCs w:val="20"/>
              </w:rPr>
            </w:pPr>
            <w:r w:rsidRPr="00BB2A7B">
              <w:rPr>
                <w:rFonts w:cs="Arial"/>
                <w:szCs w:val="20"/>
              </w:rPr>
              <w:t>4.744.096</w:t>
            </w:r>
          </w:p>
          <w:p w14:paraId="5DB128C3" w14:textId="77777777" w:rsidR="00BB2A7B" w:rsidRPr="00BB2A7B" w:rsidRDefault="00BB2A7B" w:rsidP="00BB2A7B">
            <w:pPr>
              <w:spacing w:line="240" w:lineRule="auto"/>
              <w:jc w:val="both"/>
              <w:rPr>
                <w:rFonts w:cs="Arial"/>
                <w:b/>
                <w:color w:val="000000"/>
                <w:szCs w:val="20"/>
                <w:lang w:eastAsia="sl-SI"/>
              </w:rPr>
            </w:pPr>
          </w:p>
        </w:tc>
      </w:tr>
      <w:tr w:rsidR="00BB2A7B" w:rsidRPr="00BB2A7B" w14:paraId="51D3EBEC" w14:textId="77777777" w:rsidTr="002E49A5">
        <w:tc>
          <w:tcPr>
            <w:tcW w:w="6629" w:type="dxa"/>
            <w:shd w:val="clear" w:color="auto" w:fill="auto"/>
          </w:tcPr>
          <w:p w14:paraId="6FAF7DD9" w14:textId="77777777" w:rsidR="00BB2A7B" w:rsidRPr="00BB2A7B" w:rsidRDefault="00BB2A7B" w:rsidP="00BB2A7B">
            <w:pPr>
              <w:spacing w:line="240" w:lineRule="auto"/>
              <w:jc w:val="both"/>
              <w:rPr>
                <w:rFonts w:cs="Arial"/>
                <w:b/>
                <w:color w:val="000000"/>
                <w:szCs w:val="20"/>
                <w:lang w:eastAsia="sl-SI"/>
              </w:rPr>
            </w:pPr>
            <w:r w:rsidRPr="00BB2A7B">
              <w:rPr>
                <w:rFonts w:cs="Arial"/>
                <w:b/>
                <w:color w:val="000000"/>
                <w:szCs w:val="20"/>
                <w:lang w:eastAsia="sl-SI"/>
              </w:rPr>
              <w:t>Infrastruktura:</w:t>
            </w:r>
          </w:p>
          <w:p w14:paraId="3A7BDF59" w14:textId="77777777" w:rsidR="00BB2A7B" w:rsidRPr="00BB2A7B" w:rsidRDefault="00BB2A7B" w:rsidP="00BB2A7B">
            <w:pPr>
              <w:spacing w:line="240" w:lineRule="auto"/>
              <w:jc w:val="both"/>
              <w:rPr>
                <w:rFonts w:cs="Arial"/>
                <w:color w:val="000000"/>
                <w:szCs w:val="20"/>
                <w:lang w:eastAsia="sl-SI"/>
              </w:rPr>
            </w:pPr>
          </w:p>
        </w:tc>
        <w:tc>
          <w:tcPr>
            <w:tcW w:w="2126" w:type="dxa"/>
            <w:shd w:val="clear" w:color="auto" w:fill="auto"/>
          </w:tcPr>
          <w:p w14:paraId="3D343A5D" w14:textId="77777777" w:rsidR="00BB2A7B" w:rsidRPr="00BB2A7B" w:rsidRDefault="00BB2A7B" w:rsidP="00BB2A7B">
            <w:pPr>
              <w:spacing w:line="240" w:lineRule="auto"/>
              <w:jc w:val="both"/>
              <w:rPr>
                <w:rFonts w:cs="Arial"/>
                <w:color w:val="000000"/>
                <w:szCs w:val="20"/>
                <w:lang w:eastAsia="sl-SI"/>
              </w:rPr>
            </w:pPr>
          </w:p>
          <w:p w14:paraId="17AFE43E" w14:textId="77777777" w:rsidR="00BB2A7B" w:rsidRPr="00BB2A7B" w:rsidRDefault="00BB2A7B" w:rsidP="00BB2A7B">
            <w:pPr>
              <w:spacing w:line="240" w:lineRule="auto"/>
              <w:jc w:val="both"/>
              <w:rPr>
                <w:rFonts w:cs="Arial"/>
                <w:b/>
                <w:color w:val="000000"/>
                <w:szCs w:val="20"/>
                <w:lang w:eastAsia="sl-SI"/>
              </w:rPr>
            </w:pPr>
          </w:p>
        </w:tc>
      </w:tr>
      <w:tr w:rsidR="00BB2A7B" w:rsidRPr="00BB2A7B" w14:paraId="7684BBC1" w14:textId="77777777" w:rsidTr="002E49A5">
        <w:tc>
          <w:tcPr>
            <w:tcW w:w="6629" w:type="dxa"/>
            <w:shd w:val="clear" w:color="auto" w:fill="auto"/>
          </w:tcPr>
          <w:p w14:paraId="4A0EAEED"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Vzpostavitev tehničnega varovanja objektov</w:t>
            </w:r>
          </w:p>
        </w:tc>
        <w:tc>
          <w:tcPr>
            <w:tcW w:w="2126" w:type="dxa"/>
            <w:shd w:val="clear" w:color="auto" w:fill="auto"/>
          </w:tcPr>
          <w:p w14:paraId="30598D0B" w14:textId="77777777" w:rsidR="00BB2A7B" w:rsidRPr="00BB2A7B" w:rsidRDefault="00BB2A7B" w:rsidP="00BB2A7B">
            <w:pPr>
              <w:spacing w:line="240" w:lineRule="auto"/>
              <w:jc w:val="both"/>
              <w:rPr>
                <w:rFonts w:cs="Arial"/>
                <w:b/>
                <w:color w:val="000000"/>
                <w:szCs w:val="20"/>
                <w:lang w:eastAsia="sl-SI"/>
              </w:rPr>
            </w:pPr>
            <w:r w:rsidRPr="00BB2A7B">
              <w:rPr>
                <w:rFonts w:cs="Arial"/>
                <w:color w:val="000000"/>
                <w:szCs w:val="20"/>
                <w:lang w:eastAsia="sl-SI"/>
              </w:rPr>
              <w:t xml:space="preserve">1.196.586 </w:t>
            </w:r>
          </w:p>
        </w:tc>
      </w:tr>
      <w:tr w:rsidR="00BB2A7B" w:rsidRPr="00BB2A7B" w14:paraId="38311F8F" w14:textId="77777777" w:rsidTr="002E49A5">
        <w:tc>
          <w:tcPr>
            <w:tcW w:w="6629" w:type="dxa"/>
            <w:shd w:val="clear" w:color="auto" w:fill="auto"/>
          </w:tcPr>
          <w:p w14:paraId="5D23D65E"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 xml:space="preserve">Osrednje vadišče SV Postojna </w:t>
            </w:r>
          </w:p>
        </w:tc>
        <w:tc>
          <w:tcPr>
            <w:tcW w:w="2126" w:type="dxa"/>
            <w:shd w:val="clear" w:color="auto" w:fill="auto"/>
          </w:tcPr>
          <w:p w14:paraId="42E3CCB5" w14:textId="77777777" w:rsidR="00BB2A7B" w:rsidRPr="00BB2A7B" w:rsidRDefault="00BB2A7B" w:rsidP="00BB2A7B">
            <w:pPr>
              <w:spacing w:line="240" w:lineRule="auto"/>
              <w:jc w:val="both"/>
              <w:rPr>
                <w:rFonts w:cs="Arial"/>
                <w:b/>
                <w:color w:val="000000"/>
                <w:szCs w:val="20"/>
                <w:lang w:eastAsia="sl-SI"/>
              </w:rPr>
            </w:pPr>
            <w:r w:rsidRPr="00BB2A7B">
              <w:rPr>
                <w:rFonts w:cs="Arial"/>
                <w:color w:val="000000"/>
                <w:szCs w:val="20"/>
                <w:lang w:eastAsia="sl-SI"/>
              </w:rPr>
              <w:t>2.158.330</w:t>
            </w:r>
          </w:p>
        </w:tc>
      </w:tr>
      <w:tr w:rsidR="00BB2A7B" w:rsidRPr="00BB2A7B" w14:paraId="6AEF1289" w14:textId="77777777" w:rsidTr="002E49A5">
        <w:tc>
          <w:tcPr>
            <w:tcW w:w="6629" w:type="dxa"/>
            <w:shd w:val="clear" w:color="auto" w:fill="auto"/>
          </w:tcPr>
          <w:p w14:paraId="4F9488B1"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 xml:space="preserve">Posodobitev vojaške infrastrukture v Vojašnici Edvarda </w:t>
            </w:r>
            <w:proofErr w:type="spellStart"/>
            <w:r w:rsidRPr="00BB2A7B">
              <w:rPr>
                <w:rFonts w:cs="Arial"/>
                <w:color w:val="000000"/>
                <w:szCs w:val="20"/>
                <w:lang w:eastAsia="sl-SI"/>
              </w:rPr>
              <w:t>Peperka</w:t>
            </w:r>
            <w:proofErr w:type="spellEnd"/>
            <w:r w:rsidRPr="00BB2A7B">
              <w:rPr>
                <w:rFonts w:cs="Arial"/>
                <w:color w:val="000000"/>
                <w:szCs w:val="20"/>
                <w:lang w:eastAsia="sl-SI"/>
              </w:rPr>
              <w:t xml:space="preserve"> v Ljubljani</w:t>
            </w:r>
          </w:p>
        </w:tc>
        <w:tc>
          <w:tcPr>
            <w:tcW w:w="2126" w:type="dxa"/>
            <w:shd w:val="clear" w:color="auto" w:fill="auto"/>
          </w:tcPr>
          <w:p w14:paraId="104CBCAE"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290.736</w:t>
            </w:r>
          </w:p>
        </w:tc>
      </w:tr>
      <w:tr w:rsidR="00BB2A7B" w:rsidRPr="00BB2A7B" w14:paraId="53E978B5" w14:textId="77777777" w:rsidTr="002E49A5">
        <w:tc>
          <w:tcPr>
            <w:tcW w:w="6629" w:type="dxa"/>
            <w:shd w:val="clear" w:color="auto" w:fill="auto"/>
          </w:tcPr>
          <w:p w14:paraId="70A6FBDE"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 xml:space="preserve">Izgradnja strelišča Apače </w:t>
            </w:r>
          </w:p>
        </w:tc>
        <w:tc>
          <w:tcPr>
            <w:tcW w:w="2126" w:type="dxa"/>
            <w:shd w:val="clear" w:color="auto" w:fill="auto"/>
          </w:tcPr>
          <w:p w14:paraId="51195547"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3.050</w:t>
            </w:r>
          </w:p>
        </w:tc>
      </w:tr>
      <w:tr w:rsidR="00BB2A7B" w:rsidRPr="00BB2A7B" w14:paraId="4D067C6C" w14:textId="77777777" w:rsidTr="002E49A5">
        <w:tc>
          <w:tcPr>
            <w:tcW w:w="6629" w:type="dxa"/>
            <w:shd w:val="clear" w:color="auto" w:fill="auto"/>
          </w:tcPr>
          <w:p w14:paraId="3EC89185" w14:textId="77777777" w:rsidR="00BB2A7B" w:rsidRPr="00BB2A7B" w:rsidRDefault="00BB2A7B" w:rsidP="00BB2A7B">
            <w:pPr>
              <w:spacing w:line="240" w:lineRule="auto"/>
              <w:ind w:left="709" w:hanging="709"/>
              <w:jc w:val="both"/>
              <w:rPr>
                <w:rFonts w:cs="Arial"/>
                <w:b/>
                <w:szCs w:val="20"/>
              </w:rPr>
            </w:pPr>
            <w:r w:rsidRPr="00BB2A7B">
              <w:rPr>
                <w:rFonts w:cs="Arial"/>
                <w:b/>
                <w:szCs w:val="20"/>
              </w:rPr>
              <w:t>Pehotno orožje in oprema:</w:t>
            </w:r>
          </w:p>
          <w:p w14:paraId="2F836605"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Pehotna oborožitev</w:t>
            </w:r>
          </w:p>
        </w:tc>
        <w:tc>
          <w:tcPr>
            <w:tcW w:w="2126" w:type="dxa"/>
            <w:shd w:val="clear" w:color="auto" w:fill="auto"/>
          </w:tcPr>
          <w:p w14:paraId="5EEDAB53" w14:textId="77777777" w:rsidR="00BB2A7B" w:rsidRPr="00BB2A7B" w:rsidRDefault="00BB2A7B" w:rsidP="00BB2A7B">
            <w:pPr>
              <w:spacing w:line="240" w:lineRule="auto"/>
              <w:jc w:val="both"/>
              <w:rPr>
                <w:rFonts w:cs="Arial"/>
                <w:color w:val="000000"/>
                <w:szCs w:val="20"/>
                <w:lang w:eastAsia="sl-SI"/>
              </w:rPr>
            </w:pPr>
          </w:p>
          <w:p w14:paraId="5ED2835D" w14:textId="77777777" w:rsidR="00BB2A7B" w:rsidRPr="00BB2A7B" w:rsidRDefault="00BB2A7B" w:rsidP="00BB2A7B">
            <w:pPr>
              <w:spacing w:line="240" w:lineRule="auto"/>
              <w:jc w:val="both"/>
              <w:rPr>
                <w:rFonts w:cs="Arial"/>
                <w:b/>
                <w:color w:val="000000"/>
                <w:szCs w:val="20"/>
                <w:lang w:eastAsia="sl-SI"/>
              </w:rPr>
            </w:pPr>
            <w:r w:rsidRPr="00BB2A7B">
              <w:rPr>
                <w:rFonts w:cs="Arial"/>
                <w:color w:val="000000"/>
                <w:szCs w:val="20"/>
                <w:lang w:eastAsia="sl-SI"/>
              </w:rPr>
              <w:t>3.540.541</w:t>
            </w:r>
          </w:p>
        </w:tc>
      </w:tr>
      <w:tr w:rsidR="00BB2A7B" w:rsidRPr="00BB2A7B" w14:paraId="3E4259F4" w14:textId="77777777" w:rsidTr="002E49A5">
        <w:tc>
          <w:tcPr>
            <w:tcW w:w="6629" w:type="dxa"/>
            <w:shd w:val="clear" w:color="auto" w:fill="auto"/>
          </w:tcPr>
          <w:p w14:paraId="0CE01BD2"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 xml:space="preserve">Oprema bojevnika </w:t>
            </w:r>
          </w:p>
        </w:tc>
        <w:tc>
          <w:tcPr>
            <w:tcW w:w="2126" w:type="dxa"/>
            <w:shd w:val="clear" w:color="auto" w:fill="auto"/>
          </w:tcPr>
          <w:p w14:paraId="0C97FFF0" w14:textId="77777777" w:rsidR="00BB2A7B" w:rsidRPr="00BB2A7B" w:rsidRDefault="00BB2A7B" w:rsidP="00BB2A7B">
            <w:pPr>
              <w:spacing w:line="240" w:lineRule="auto"/>
              <w:jc w:val="both"/>
              <w:rPr>
                <w:rFonts w:cs="Arial"/>
                <w:b/>
                <w:color w:val="000000"/>
                <w:szCs w:val="20"/>
                <w:lang w:eastAsia="sl-SI"/>
              </w:rPr>
            </w:pPr>
            <w:r w:rsidRPr="00BB2A7B">
              <w:rPr>
                <w:rFonts w:cs="Arial"/>
                <w:color w:val="000000"/>
                <w:szCs w:val="20"/>
                <w:lang w:eastAsia="sl-SI"/>
              </w:rPr>
              <w:t>4.098.128</w:t>
            </w:r>
          </w:p>
        </w:tc>
      </w:tr>
      <w:tr w:rsidR="00BB2A7B" w:rsidRPr="00BB2A7B" w14:paraId="7226F12C" w14:textId="77777777" w:rsidTr="002E49A5">
        <w:tc>
          <w:tcPr>
            <w:tcW w:w="6629" w:type="dxa"/>
            <w:shd w:val="clear" w:color="auto" w:fill="auto"/>
          </w:tcPr>
          <w:p w14:paraId="1281AF39"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Oprema skupin za usmerjanje letalske podpore</w:t>
            </w:r>
          </w:p>
        </w:tc>
        <w:tc>
          <w:tcPr>
            <w:tcW w:w="2126" w:type="dxa"/>
            <w:shd w:val="clear" w:color="auto" w:fill="auto"/>
          </w:tcPr>
          <w:p w14:paraId="142BDF6C" w14:textId="77777777" w:rsidR="00BB2A7B" w:rsidRPr="00BB2A7B" w:rsidRDefault="00BB2A7B" w:rsidP="00BB2A7B">
            <w:pPr>
              <w:spacing w:line="240" w:lineRule="auto"/>
              <w:jc w:val="both"/>
              <w:rPr>
                <w:rFonts w:cs="Arial"/>
                <w:b/>
                <w:color w:val="000000"/>
                <w:szCs w:val="20"/>
                <w:lang w:eastAsia="sl-SI"/>
              </w:rPr>
            </w:pPr>
            <w:r w:rsidRPr="00BB2A7B">
              <w:rPr>
                <w:rFonts w:cs="Arial"/>
                <w:color w:val="000000"/>
                <w:szCs w:val="20"/>
                <w:lang w:eastAsia="sl-SI"/>
              </w:rPr>
              <w:t>1.196.259</w:t>
            </w:r>
          </w:p>
        </w:tc>
      </w:tr>
      <w:tr w:rsidR="00BB2A7B" w:rsidRPr="00BB2A7B" w14:paraId="4A06B70C" w14:textId="77777777" w:rsidTr="002E49A5">
        <w:tc>
          <w:tcPr>
            <w:tcW w:w="6629" w:type="dxa"/>
            <w:shd w:val="clear" w:color="auto" w:fill="auto"/>
          </w:tcPr>
          <w:p w14:paraId="5AFF1500"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Oborožitev in oprema specialnih sil</w:t>
            </w:r>
          </w:p>
        </w:tc>
        <w:tc>
          <w:tcPr>
            <w:tcW w:w="2126" w:type="dxa"/>
            <w:shd w:val="clear" w:color="auto" w:fill="auto"/>
          </w:tcPr>
          <w:p w14:paraId="06D5901F" w14:textId="77777777" w:rsidR="00BB2A7B" w:rsidRPr="00BB2A7B" w:rsidRDefault="00BB2A7B" w:rsidP="00BB2A7B">
            <w:pPr>
              <w:spacing w:line="240" w:lineRule="auto"/>
              <w:jc w:val="both"/>
              <w:rPr>
                <w:rFonts w:cs="Arial"/>
                <w:b/>
                <w:color w:val="000000"/>
                <w:szCs w:val="20"/>
                <w:lang w:eastAsia="sl-SI"/>
              </w:rPr>
            </w:pPr>
            <w:r w:rsidRPr="00BB2A7B">
              <w:rPr>
                <w:rFonts w:cs="Arial"/>
                <w:color w:val="000000"/>
                <w:szCs w:val="20"/>
                <w:lang w:eastAsia="sl-SI"/>
              </w:rPr>
              <w:t>1.268.916</w:t>
            </w:r>
          </w:p>
        </w:tc>
      </w:tr>
      <w:tr w:rsidR="00BB2A7B" w:rsidRPr="00BB2A7B" w14:paraId="61D90605" w14:textId="77777777" w:rsidTr="002E49A5">
        <w:tc>
          <w:tcPr>
            <w:tcW w:w="6629" w:type="dxa"/>
            <w:shd w:val="clear" w:color="auto" w:fill="auto"/>
          </w:tcPr>
          <w:p w14:paraId="7EA933A1"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Tehnološka oprema strelišča Crngrob</w:t>
            </w:r>
          </w:p>
        </w:tc>
        <w:tc>
          <w:tcPr>
            <w:tcW w:w="2126" w:type="dxa"/>
            <w:shd w:val="clear" w:color="auto" w:fill="auto"/>
          </w:tcPr>
          <w:p w14:paraId="3C2E9363" w14:textId="77777777" w:rsidR="00BB2A7B" w:rsidRPr="00BB2A7B" w:rsidRDefault="00BB2A7B" w:rsidP="00BB2A7B">
            <w:pPr>
              <w:spacing w:line="240" w:lineRule="auto"/>
              <w:jc w:val="both"/>
              <w:rPr>
                <w:rFonts w:cs="Arial"/>
                <w:color w:val="000000"/>
                <w:szCs w:val="20"/>
                <w:lang w:eastAsia="sl-SI"/>
              </w:rPr>
            </w:pPr>
            <w:r w:rsidRPr="00BB2A7B">
              <w:rPr>
                <w:rFonts w:cs="Arial"/>
                <w:color w:val="000000"/>
                <w:szCs w:val="20"/>
                <w:lang w:eastAsia="sl-SI"/>
              </w:rPr>
              <w:t xml:space="preserve">349.902 </w:t>
            </w:r>
          </w:p>
        </w:tc>
      </w:tr>
      <w:tr w:rsidR="00BB2A7B" w:rsidRPr="00BB2A7B" w14:paraId="6A3F7034" w14:textId="77777777" w:rsidTr="002E49A5">
        <w:tc>
          <w:tcPr>
            <w:tcW w:w="6629" w:type="dxa"/>
            <w:shd w:val="clear" w:color="auto" w:fill="auto"/>
          </w:tcPr>
          <w:p w14:paraId="5DC8CB7A" w14:textId="77777777" w:rsidR="00BB2A7B" w:rsidRPr="00BB2A7B" w:rsidRDefault="00BB2A7B" w:rsidP="00BB2A7B">
            <w:pPr>
              <w:spacing w:line="240" w:lineRule="auto"/>
              <w:jc w:val="both"/>
              <w:rPr>
                <w:rFonts w:cs="Arial"/>
                <w:b/>
                <w:color w:val="000000"/>
                <w:szCs w:val="20"/>
                <w:lang w:eastAsia="sl-SI"/>
              </w:rPr>
            </w:pPr>
            <w:r w:rsidRPr="00BB2A7B">
              <w:rPr>
                <w:rFonts w:cs="Arial"/>
                <w:b/>
                <w:color w:val="000000"/>
                <w:szCs w:val="20"/>
                <w:lang w:eastAsia="sl-SI"/>
              </w:rPr>
              <w:t xml:space="preserve">SKUPAJ </w:t>
            </w:r>
          </w:p>
        </w:tc>
        <w:tc>
          <w:tcPr>
            <w:tcW w:w="2126" w:type="dxa"/>
            <w:shd w:val="clear" w:color="auto" w:fill="auto"/>
          </w:tcPr>
          <w:p w14:paraId="7B32E31B" w14:textId="77777777" w:rsidR="00BB2A7B" w:rsidRPr="00BB2A7B" w:rsidRDefault="00BB2A7B" w:rsidP="00BB2A7B">
            <w:pPr>
              <w:spacing w:line="240" w:lineRule="auto"/>
              <w:jc w:val="both"/>
              <w:rPr>
                <w:rFonts w:cs="Arial"/>
                <w:b/>
                <w:color w:val="000000"/>
                <w:szCs w:val="20"/>
                <w:lang w:eastAsia="sl-SI"/>
              </w:rPr>
            </w:pPr>
            <w:r w:rsidRPr="00BB2A7B">
              <w:rPr>
                <w:rFonts w:cs="Arial"/>
                <w:b/>
                <w:bCs/>
                <w:color w:val="000000"/>
                <w:szCs w:val="20"/>
                <w:lang w:eastAsia="sl-SI"/>
              </w:rPr>
              <w:t>74.705.250</w:t>
            </w:r>
          </w:p>
        </w:tc>
      </w:tr>
    </w:tbl>
    <w:p w14:paraId="1EC05C3A" w14:textId="77777777" w:rsidR="00BB2A7B" w:rsidRPr="00BB2A7B" w:rsidRDefault="00BB2A7B" w:rsidP="00BB2A7B">
      <w:pPr>
        <w:spacing w:line="240" w:lineRule="auto"/>
        <w:jc w:val="both"/>
        <w:rPr>
          <w:rFonts w:cs="Arial"/>
          <w:b/>
          <w:color w:val="000000"/>
          <w:szCs w:val="20"/>
          <w:lang w:eastAsia="sl-SI"/>
        </w:rPr>
      </w:pPr>
    </w:p>
    <w:p w14:paraId="7B9D94F8" w14:textId="47CA7065" w:rsidR="00BB2A7B" w:rsidRPr="00BB2A7B" w:rsidRDefault="00BB2A7B" w:rsidP="00BB2A7B">
      <w:pPr>
        <w:spacing w:line="240" w:lineRule="auto"/>
        <w:jc w:val="both"/>
        <w:rPr>
          <w:rFonts w:cs="Arial"/>
          <w:bCs/>
          <w:szCs w:val="20"/>
        </w:rPr>
      </w:pPr>
      <w:r w:rsidRPr="00BB2A7B">
        <w:rPr>
          <w:rFonts w:cs="Arial"/>
          <w:bCs/>
          <w:szCs w:val="20"/>
        </w:rPr>
        <w:t>Vir: Ministrstvo za obrambo</w:t>
      </w:r>
    </w:p>
    <w:p w14:paraId="3C46ACC1" w14:textId="77777777" w:rsidR="00BB2A7B" w:rsidRPr="00BB2A7B" w:rsidRDefault="00BB2A7B" w:rsidP="003951A6">
      <w:pPr>
        <w:spacing w:line="240" w:lineRule="auto"/>
        <w:jc w:val="both"/>
        <w:rPr>
          <w:rFonts w:cs="Arial"/>
          <w:bCs/>
          <w:szCs w:val="20"/>
        </w:rPr>
      </w:pPr>
    </w:p>
    <w:p w14:paraId="4D0EBA4B" w14:textId="77777777" w:rsidR="003C4210" w:rsidRDefault="003C4210" w:rsidP="003951A6">
      <w:pPr>
        <w:autoSpaceDE w:val="0"/>
        <w:autoSpaceDN w:val="0"/>
        <w:adjustRightInd w:val="0"/>
        <w:spacing w:line="240" w:lineRule="auto"/>
        <w:jc w:val="both"/>
        <w:rPr>
          <w:rFonts w:cs="Arial"/>
          <w:b/>
          <w:color w:val="000000"/>
          <w:szCs w:val="20"/>
        </w:rPr>
      </w:pPr>
    </w:p>
    <w:p w14:paraId="383AC179" w14:textId="29E4E415" w:rsidR="005634B6" w:rsidRPr="003951A6" w:rsidRDefault="005634B6" w:rsidP="003951A6">
      <w:pPr>
        <w:autoSpaceDE w:val="0"/>
        <w:autoSpaceDN w:val="0"/>
        <w:adjustRightInd w:val="0"/>
        <w:spacing w:line="240" w:lineRule="auto"/>
        <w:jc w:val="both"/>
        <w:rPr>
          <w:rFonts w:cs="Arial"/>
          <w:b/>
          <w:szCs w:val="20"/>
        </w:rPr>
      </w:pPr>
      <w:r w:rsidRPr="003951A6">
        <w:rPr>
          <w:rFonts w:cs="Arial"/>
          <w:b/>
          <w:color w:val="000000"/>
          <w:szCs w:val="20"/>
        </w:rPr>
        <w:t xml:space="preserve">Vlada </w:t>
      </w:r>
      <w:proofErr w:type="spellStart"/>
      <w:r w:rsidRPr="003951A6">
        <w:rPr>
          <w:rFonts w:cs="Arial"/>
          <w:b/>
          <w:szCs w:val="20"/>
        </w:rPr>
        <w:t>donirala</w:t>
      </w:r>
      <w:proofErr w:type="spellEnd"/>
      <w:r w:rsidRPr="003951A6">
        <w:rPr>
          <w:rFonts w:cs="Arial"/>
          <w:b/>
          <w:szCs w:val="20"/>
        </w:rPr>
        <w:t xml:space="preserve"> cepivo </w:t>
      </w:r>
      <w:proofErr w:type="spellStart"/>
      <w:r w:rsidRPr="003951A6">
        <w:rPr>
          <w:rFonts w:cs="Arial"/>
          <w:b/>
          <w:szCs w:val="20"/>
        </w:rPr>
        <w:t>Spikevax</w:t>
      </w:r>
      <w:proofErr w:type="spellEnd"/>
      <w:r w:rsidRPr="003951A6">
        <w:rPr>
          <w:rFonts w:cs="Arial"/>
          <w:b/>
          <w:szCs w:val="20"/>
        </w:rPr>
        <w:t xml:space="preserve">, proizvajalca Moderna </w:t>
      </w:r>
      <w:proofErr w:type="spellStart"/>
      <w:r w:rsidRPr="003951A6">
        <w:rPr>
          <w:rFonts w:cs="Arial"/>
          <w:b/>
          <w:szCs w:val="20"/>
        </w:rPr>
        <w:t>Switzerland</w:t>
      </w:r>
      <w:proofErr w:type="spellEnd"/>
      <w:r w:rsidRPr="003951A6">
        <w:rPr>
          <w:rFonts w:cs="Arial"/>
          <w:b/>
          <w:szCs w:val="20"/>
        </w:rPr>
        <w:t xml:space="preserve"> </w:t>
      </w:r>
      <w:proofErr w:type="spellStart"/>
      <w:r w:rsidRPr="003951A6">
        <w:rPr>
          <w:rFonts w:cs="Arial"/>
          <w:b/>
          <w:szCs w:val="20"/>
        </w:rPr>
        <w:t>GmbH</w:t>
      </w:r>
      <w:proofErr w:type="spellEnd"/>
      <w:r w:rsidRPr="003951A6">
        <w:rPr>
          <w:rFonts w:cs="Arial"/>
          <w:b/>
          <w:szCs w:val="20"/>
        </w:rPr>
        <w:t xml:space="preserve">, v instrument COVAX </w:t>
      </w:r>
    </w:p>
    <w:p w14:paraId="411CFE59" w14:textId="77777777" w:rsidR="005634B6" w:rsidRPr="003951A6" w:rsidRDefault="005634B6" w:rsidP="003951A6">
      <w:pPr>
        <w:autoSpaceDE w:val="0"/>
        <w:autoSpaceDN w:val="0"/>
        <w:adjustRightInd w:val="0"/>
        <w:spacing w:line="240" w:lineRule="auto"/>
        <w:jc w:val="both"/>
        <w:rPr>
          <w:rFonts w:cs="Arial"/>
          <w:b/>
          <w:szCs w:val="20"/>
          <w:lang w:eastAsia="sl-SI"/>
        </w:rPr>
      </w:pPr>
    </w:p>
    <w:p w14:paraId="10566970" w14:textId="77777777" w:rsidR="005634B6" w:rsidRPr="003C4210" w:rsidRDefault="005634B6" w:rsidP="003951A6">
      <w:pPr>
        <w:spacing w:line="240" w:lineRule="auto"/>
        <w:jc w:val="both"/>
        <w:rPr>
          <w:rFonts w:cs="Arial"/>
          <w:bCs/>
          <w:szCs w:val="20"/>
          <w:lang w:eastAsia="sl-SI"/>
        </w:rPr>
      </w:pPr>
      <w:r w:rsidRPr="003C4210">
        <w:rPr>
          <w:rFonts w:cs="Arial"/>
          <w:bCs/>
          <w:szCs w:val="20"/>
          <w:lang w:eastAsia="sl-SI"/>
        </w:rPr>
        <w:t xml:space="preserve">COVAX predstavlja glavni kanal za distribucijo cepiv na globalni ravni in enega od stebrov zagotavljanja enakega dostopa do zdravil, diagnostike in drugih zdravstvenih pripomočkov za boj proti pandemiji na globalni ravni. Doslej je Republika Slovenija (Slovenija) v instrument COVAX namenila prostovoljni prispevek v skupni višini 500.0000 evrov ter </w:t>
      </w:r>
      <w:proofErr w:type="spellStart"/>
      <w:r w:rsidRPr="003C4210">
        <w:rPr>
          <w:rFonts w:cs="Arial"/>
          <w:bCs/>
          <w:szCs w:val="20"/>
          <w:lang w:eastAsia="sl-SI"/>
        </w:rPr>
        <w:t>donirala</w:t>
      </w:r>
      <w:proofErr w:type="spellEnd"/>
      <w:r w:rsidRPr="003C4210">
        <w:rPr>
          <w:rFonts w:cs="Arial"/>
          <w:bCs/>
          <w:szCs w:val="20"/>
          <w:lang w:eastAsia="sl-SI"/>
        </w:rPr>
        <w:t xml:space="preserve"> oz. instrumentu COVAX dala na voljo 2.280.660 odmerkov cepiva proti covid-19, pri čemer je dejanska realizacija </w:t>
      </w:r>
      <w:proofErr w:type="spellStart"/>
      <w:r w:rsidRPr="003C4210">
        <w:rPr>
          <w:rFonts w:cs="Arial"/>
          <w:bCs/>
          <w:szCs w:val="20"/>
          <w:lang w:eastAsia="sl-SI"/>
        </w:rPr>
        <w:t>doniranega</w:t>
      </w:r>
      <w:proofErr w:type="spellEnd"/>
      <w:r w:rsidRPr="003C4210">
        <w:rPr>
          <w:rFonts w:cs="Arial"/>
          <w:bCs/>
          <w:szCs w:val="20"/>
          <w:lang w:eastAsia="sl-SI"/>
        </w:rPr>
        <w:t xml:space="preserve"> cepiva nižja od prvotno predvidene.</w:t>
      </w:r>
    </w:p>
    <w:p w14:paraId="5E179DA4" w14:textId="77777777" w:rsidR="005634B6" w:rsidRPr="003C4210" w:rsidRDefault="005634B6" w:rsidP="003951A6">
      <w:pPr>
        <w:spacing w:line="240" w:lineRule="auto"/>
        <w:jc w:val="both"/>
        <w:rPr>
          <w:rFonts w:cs="Arial"/>
          <w:bCs/>
          <w:szCs w:val="20"/>
          <w:lang w:eastAsia="sl-SI"/>
        </w:rPr>
      </w:pPr>
    </w:p>
    <w:p w14:paraId="4B078002" w14:textId="77777777" w:rsidR="005634B6" w:rsidRPr="003951A6" w:rsidRDefault="005634B6" w:rsidP="003951A6">
      <w:pPr>
        <w:spacing w:line="240" w:lineRule="auto"/>
        <w:jc w:val="both"/>
        <w:rPr>
          <w:rFonts w:cs="Arial"/>
          <w:bCs/>
          <w:szCs w:val="20"/>
          <w:lang w:eastAsia="sl-SI"/>
        </w:rPr>
      </w:pPr>
      <w:r w:rsidRPr="003951A6">
        <w:rPr>
          <w:rFonts w:cs="Arial"/>
          <w:bCs/>
          <w:szCs w:val="20"/>
          <w:lang w:eastAsia="sl-SI"/>
        </w:rPr>
        <w:t xml:space="preserve">Podobno kot ostale države Evropske Unije (EU), tudi Slovenija nabavlja cepiva proti covid-19 preko skupnih EU javnih naročil, ki jih vodi Evropska komisija (EK). EK je v imenu držav članic pogodbo o predčasnem nakupu cepiva podpisala tudi z družbo Moderna in Slovenija je iz osnovne kvote po tej pogodbi naročila 369.767 odmerkov, po dodatni pogodbi pa še 1.459.312 odmerkov, ki bodo deloma dobavljeni v letu 2022. </w:t>
      </w:r>
    </w:p>
    <w:p w14:paraId="79C6A7FC" w14:textId="77777777" w:rsidR="005634B6" w:rsidRPr="003951A6" w:rsidRDefault="005634B6" w:rsidP="003951A6">
      <w:pPr>
        <w:spacing w:line="240" w:lineRule="auto"/>
        <w:jc w:val="both"/>
        <w:rPr>
          <w:rFonts w:cs="Arial"/>
          <w:bCs/>
          <w:szCs w:val="20"/>
          <w:lang w:eastAsia="sl-SI"/>
        </w:rPr>
      </w:pPr>
    </w:p>
    <w:p w14:paraId="552777E4" w14:textId="77777777" w:rsidR="005634B6" w:rsidRPr="003951A6" w:rsidRDefault="005634B6" w:rsidP="003951A6">
      <w:pPr>
        <w:spacing w:line="240" w:lineRule="auto"/>
        <w:jc w:val="both"/>
        <w:rPr>
          <w:rFonts w:cs="Arial"/>
          <w:bCs/>
          <w:szCs w:val="20"/>
          <w:lang w:eastAsia="sl-SI"/>
        </w:rPr>
      </w:pPr>
      <w:r w:rsidRPr="003951A6">
        <w:rPr>
          <w:rFonts w:cs="Arial"/>
          <w:bCs/>
          <w:szCs w:val="20"/>
          <w:lang w:eastAsia="sl-SI"/>
        </w:rPr>
        <w:t xml:space="preserve">Od že dobavljenih količin je trenutno v skladišču v Sloveniji še približno 365.000 odmerkov cepiva </w:t>
      </w:r>
      <w:proofErr w:type="spellStart"/>
      <w:r w:rsidRPr="003951A6">
        <w:rPr>
          <w:rFonts w:cs="Arial"/>
          <w:bCs/>
          <w:szCs w:val="20"/>
          <w:lang w:eastAsia="sl-SI"/>
        </w:rPr>
        <w:t>Spikevax</w:t>
      </w:r>
      <w:proofErr w:type="spellEnd"/>
      <w:r w:rsidRPr="003951A6">
        <w:rPr>
          <w:rFonts w:cs="Arial"/>
          <w:bCs/>
          <w:szCs w:val="20"/>
          <w:lang w:eastAsia="sl-SI"/>
        </w:rPr>
        <w:t xml:space="preserve">, po razporedu pa Sloveniji pripada še 743.586 odmerkov tega cepiva s predvideno dobavo od maja do decembra 2022. V mesecu maju in juniju pripada Sloveniji po 95.000 odmerkov cepiva </w:t>
      </w:r>
      <w:proofErr w:type="spellStart"/>
      <w:r w:rsidRPr="003951A6">
        <w:rPr>
          <w:rFonts w:cs="Arial"/>
          <w:bCs/>
          <w:szCs w:val="20"/>
          <w:lang w:eastAsia="sl-SI"/>
        </w:rPr>
        <w:t>Spikevax</w:t>
      </w:r>
      <w:proofErr w:type="spellEnd"/>
      <w:r w:rsidRPr="003951A6">
        <w:rPr>
          <w:rFonts w:cs="Arial"/>
          <w:bCs/>
          <w:szCs w:val="20"/>
          <w:lang w:eastAsia="sl-SI"/>
        </w:rPr>
        <w:t xml:space="preserve">, skupaj torej 190.000 odmerkov. Evropska komisija je na pobudo držav članic, ki se soočajo s presežkom cepiv, začela pogajanja s proizvajalcem cepiva </w:t>
      </w:r>
      <w:proofErr w:type="spellStart"/>
      <w:r w:rsidRPr="003951A6">
        <w:rPr>
          <w:rFonts w:cs="Arial"/>
          <w:bCs/>
          <w:szCs w:val="20"/>
          <w:lang w:eastAsia="sl-SI"/>
        </w:rPr>
        <w:t>Spikevax</w:t>
      </w:r>
      <w:proofErr w:type="spellEnd"/>
      <w:r w:rsidRPr="003951A6">
        <w:rPr>
          <w:rFonts w:cs="Arial"/>
          <w:bCs/>
          <w:szCs w:val="20"/>
          <w:lang w:eastAsia="sl-SI"/>
        </w:rPr>
        <w:t xml:space="preserve">, Moderno, o možnosti zamika dobav vsaj deleža cepiv, ki so predvidene za dobavo v drugem četrtletju leta 2022. Zaradi nepredvidenega zaključka pogajanj o zamiku dobav se predlaga, da se dodeljene količine Sloveniji ponudijo v donacijo preko mehanizma COVAX. </w:t>
      </w:r>
    </w:p>
    <w:p w14:paraId="662F3DB8" w14:textId="77777777" w:rsidR="005634B6" w:rsidRPr="003951A6" w:rsidRDefault="005634B6" w:rsidP="003951A6">
      <w:pPr>
        <w:spacing w:line="240" w:lineRule="auto"/>
        <w:jc w:val="both"/>
        <w:rPr>
          <w:rFonts w:cs="Arial"/>
          <w:bCs/>
          <w:szCs w:val="20"/>
          <w:lang w:eastAsia="sl-SI"/>
        </w:rPr>
      </w:pPr>
    </w:p>
    <w:p w14:paraId="3D5F9828" w14:textId="77777777" w:rsidR="005634B6" w:rsidRPr="003951A6" w:rsidRDefault="005634B6" w:rsidP="003951A6">
      <w:pPr>
        <w:spacing w:line="240" w:lineRule="auto"/>
        <w:jc w:val="both"/>
        <w:rPr>
          <w:rFonts w:cs="Arial"/>
          <w:bCs/>
          <w:szCs w:val="20"/>
          <w:lang w:eastAsia="sl-SI"/>
        </w:rPr>
      </w:pPr>
      <w:r w:rsidRPr="003951A6">
        <w:rPr>
          <w:rFonts w:cs="Arial"/>
          <w:bCs/>
          <w:szCs w:val="20"/>
          <w:lang w:eastAsia="sl-SI"/>
        </w:rPr>
        <w:t>V kolikor bi v vmesnem obdobju prišlo do sprememb oziroma sklenitve dogovora o zamiku dobav, bi se upoštevale količine, ki bi bile predmet zamika in bi se količina, namenjena za donacijo prilagodila oziroma bi se količine, namenjene donaciji, prerazporedile na daljše časovno obdobje.</w:t>
      </w:r>
    </w:p>
    <w:p w14:paraId="175D07FB" w14:textId="77777777" w:rsidR="005634B6" w:rsidRPr="003951A6" w:rsidRDefault="005634B6" w:rsidP="003951A6">
      <w:pPr>
        <w:spacing w:line="240" w:lineRule="auto"/>
        <w:jc w:val="both"/>
        <w:rPr>
          <w:rFonts w:cs="Arial"/>
          <w:bCs/>
          <w:szCs w:val="20"/>
          <w:lang w:eastAsia="sl-SI"/>
        </w:rPr>
      </w:pPr>
    </w:p>
    <w:p w14:paraId="254DE444" w14:textId="1F107C8B" w:rsidR="005634B6" w:rsidRPr="003C4210" w:rsidRDefault="005634B6" w:rsidP="003951A6">
      <w:pPr>
        <w:spacing w:line="240" w:lineRule="auto"/>
        <w:jc w:val="both"/>
        <w:rPr>
          <w:rFonts w:cs="Arial"/>
          <w:bCs/>
          <w:szCs w:val="20"/>
        </w:rPr>
      </w:pPr>
      <w:r w:rsidRPr="003C4210">
        <w:rPr>
          <w:rFonts w:cs="Arial"/>
          <w:bCs/>
          <w:szCs w:val="20"/>
        </w:rPr>
        <w:t>Vir: Ministrstvo za zdravje</w:t>
      </w:r>
    </w:p>
    <w:p w14:paraId="03350FFE" w14:textId="3EC72499" w:rsidR="003B65A4" w:rsidRDefault="003B65A4" w:rsidP="003951A6">
      <w:pPr>
        <w:spacing w:line="240" w:lineRule="auto"/>
        <w:jc w:val="both"/>
        <w:rPr>
          <w:rFonts w:cs="Arial"/>
          <w:iCs/>
          <w:szCs w:val="20"/>
        </w:rPr>
      </w:pPr>
    </w:p>
    <w:p w14:paraId="78D3DDAA" w14:textId="77777777" w:rsidR="00BB2A7B" w:rsidRPr="003951A6" w:rsidRDefault="00BB2A7B" w:rsidP="003951A6">
      <w:pPr>
        <w:spacing w:line="240" w:lineRule="auto"/>
        <w:jc w:val="both"/>
        <w:rPr>
          <w:rFonts w:cs="Arial"/>
          <w:iCs/>
          <w:szCs w:val="20"/>
        </w:rPr>
      </w:pPr>
    </w:p>
    <w:p w14:paraId="7346E9C8" w14:textId="490D9FB8" w:rsidR="00965BD2" w:rsidRPr="003951A6" w:rsidRDefault="00965BD2" w:rsidP="003951A6">
      <w:pPr>
        <w:spacing w:line="240" w:lineRule="auto"/>
        <w:jc w:val="both"/>
        <w:rPr>
          <w:rFonts w:eastAsia="Calibri" w:cs="Arial"/>
          <w:b/>
          <w:szCs w:val="20"/>
        </w:rPr>
      </w:pPr>
      <w:r w:rsidRPr="003951A6">
        <w:rPr>
          <w:rFonts w:eastAsia="Calibri" w:cs="Arial"/>
          <w:b/>
          <w:szCs w:val="20"/>
        </w:rPr>
        <w:t>Sporazum med Vlado Republike Slovenije in Suverenim vojaškim bolničarskim redom svetega Janeza iz Jeruzalema, z Rodosa in Malte</w:t>
      </w:r>
    </w:p>
    <w:p w14:paraId="02838C54" w14:textId="77777777" w:rsidR="00965BD2" w:rsidRPr="003951A6" w:rsidRDefault="00965BD2" w:rsidP="003951A6">
      <w:pPr>
        <w:spacing w:line="240" w:lineRule="auto"/>
        <w:jc w:val="both"/>
        <w:rPr>
          <w:rFonts w:eastAsia="Calibri" w:cs="Arial"/>
          <w:b/>
          <w:szCs w:val="20"/>
        </w:rPr>
      </w:pPr>
    </w:p>
    <w:p w14:paraId="0BAB30EF" w14:textId="046BD8D1" w:rsidR="00965BD2" w:rsidRPr="003951A6" w:rsidRDefault="00965BD2" w:rsidP="003951A6">
      <w:pPr>
        <w:spacing w:line="240" w:lineRule="auto"/>
        <w:jc w:val="both"/>
        <w:rPr>
          <w:rFonts w:cs="Arial"/>
          <w:szCs w:val="20"/>
        </w:rPr>
      </w:pPr>
      <w:r w:rsidRPr="003951A6">
        <w:rPr>
          <w:rFonts w:cs="Arial"/>
          <w:szCs w:val="20"/>
        </w:rPr>
        <w:t xml:space="preserve">Vlada je sprejela pobudo za sklenitev Sporazuma med Vlado Republike Slovenije in Suverenim vojaškim bolničarskim redom svetega Janeza iz Jeruzalema, z Rodosa in Malte (SMVR). </w:t>
      </w:r>
    </w:p>
    <w:p w14:paraId="41810011" w14:textId="77777777" w:rsidR="00965BD2" w:rsidRPr="003951A6" w:rsidRDefault="00965BD2" w:rsidP="003951A6">
      <w:pPr>
        <w:spacing w:line="240" w:lineRule="auto"/>
        <w:jc w:val="both"/>
        <w:rPr>
          <w:rFonts w:cs="Arial"/>
          <w:szCs w:val="20"/>
        </w:rPr>
      </w:pPr>
    </w:p>
    <w:p w14:paraId="0CEC6256" w14:textId="77777777" w:rsidR="00965BD2" w:rsidRPr="003951A6" w:rsidRDefault="00965BD2" w:rsidP="003951A6">
      <w:pPr>
        <w:spacing w:line="240" w:lineRule="auto"/>
        <w:jc w:val="both"/>
        <w:rPr>
          <w:rFonts w:cs="Arial"/>
          <w:szCs w:val="20"/>
        </w:rPr>
      </w:pPr>
      <w:r w:rsidRPr="003951A6">
        <w:rPr>
          <w:rFonts w:cs="Arial"/>
          <w:szCs w:val="20"/>
        </w:rPr>
        <w:t xml:space="preserve">V sporazumu med Slovenijo in SMVR je predvidena določitev splošnega okvira in smernic za sodelovanje med Slovenijo in SMVR za spodbujanje bolničarskih in zdravstvenih dejavnosti SMVR na ozemlju Slovenije in tretjih držav. Sporazum predvideva tudi ukrepe pogodbenic za spodbujanje, razvoj in večjo raznolikost sodelovanja na socialnem, humanitarnem in zdravstvenem področju ter zagotavljanje pomoči ob humanitarnih in naravnih nesrečah. </w:t>
      </w:r>
    </w:p>
    <w:p w14:paraId="63854373" w14:textId="77777777" w:rsidR="00965BD2" w:rsidRPr="003951A6" w:rsidRDefault="00965BD2" w:rsidP="003951A6">
      <w:pPr>
        <w:spacing w:line="240" w:lineRule="auto"/>
        <w:jc w:val="both"/>
        <w:rPr>
          <w:rFonts w:cs="Arial"/>
          <w:szCs w:val="20"/>
        </w:rPr>
      </w:pPr>
    </w:p>
    <w:p w14:paraId="0A797430" w14:textId="77777777" w:rsidR="00965BD2" w:rsidRPr="003951A6" w:rsidRDefault="00965BD2" w:rsidP="003951A6">
      <w:pPr>
        <w:spacing w:line="240" w:lineRule="auto"/>
        <w:jc w:val="both"/>
        <w:rPr>
          <w:rFonts w:cs="Arial"/>
          <w:szCs w:val="20"/>
        </w:rPr>
      </w:pPr>
      <w:r w:rsidRPr="003951A6">
        <w:rPr>
          <w:rFonts w:cs="Arial"/>
          <w:szCs w:val="20"/>
        </w:rPr>
        <w:t xml:space="preserve">Pogajanja med strankama sporazuma bodo potekala dopisno, pri čemer bo slovenska stran izhajala iz stališč, ki so vsebovana v tej pobudi in priloženem osnutku besedila sporazuma. </w:t>
      </w:r>
    </w:p>
    <w:p w14:paraId="706B0E01" w14:textId="77777777" w:rsidR="00965BD2" w:rsidRPr="003951A6" w:rsidRDefault="00965BD2" w:rsidP="003951A6">
      <w:pPr>
        <w:spacing w:line="240" w:lineRule="auto"/>
        <w:jc w:val="both"/>
        <w:rPr>
          <w:rFonts w:eastAsia="Calibri" w:cs="Arial"/>
          <w:b/>
          <w:color w:val="000000"/>
          <w:szCs w:val="20"/>
        </w:rPr>
      </w:pPr>
    </w:p>
    <w:p w14:paraId="560541E2" w14:textId="77777777" w:rsidR="00965BD2" w:rsidRPr="003951A6" w:rsidRDefault="00965BD2" w:rsidP="003951A6">
      <w:pPr>
        <w:tabs>
          <w:tab w:val="left" w:pos="-1276"/>
        </w:tabs>
        <w:spacing w:line="240" w:lineRule="auto"/>
        <w:jc w:val="both"/>
        <w:rPr>
          <w:rFonts w:cs="Arial"/>
          <w:szCs w:val="20"/>
        </w:rPr>
      </w:pPr>
      <w:r w:rsidRPr="003951A6">
        <w:rPr>
          <w:rFonts w:eastAsia="Calibri" w:cs="Arial"/>
          <w:szCs w:val="20"/>
        </w:rPr>
        <w:t>Vir: Ministrstvo za zunanje zadeve</w:t>
      </w:r>
    </w:p>
    <w:p w14:paraId="22BD6F51" w14:textId="38698FAF" w:rsidR="00965BD2" w:rsidRDefault="00965BD2" w:rsidP="003951A6">
      <w:pPr>
        <w:spacing w:line="240" w:lineRule="auto"/>
        <w:jc w:val="both"/>
        <w:rPr>
          <w:rFonts w:cs="Arial"/>
          <w:szCs w:val="20"/>
        </w:rPr>
      </w:pPr>
    </w:p>
    <w:p w14:paraId="44BA0A89" w14:textId="77777777" w:rsidR="003C4210" w:rsidRPr="003951A6" w:rsidRDefault="003C4210" w:rsidP="003951A6">
      <w:pPr>
        <w:spacing w:line="240" w:lineRule="auto"/>
        <w:jc w:val="both"/>
        <w:rPr>
          <w:rFonts w:cs="Arial"/>
          <w:szCs w:val="20"/>
        </w:rPr>
      </w:pPr>
    </w:p>
    <w:p w14:paraId="75A549EA" w14:textId="73967687" w:rsidR="00F0626B" w:rsidRPr="003951A6" w:rsidRDefault="00F0626B" w:rsidP="003951A6">
      <w:pPr>
        <w:autoSpaceDE w:val="0"/>
        <w:autoSpaceDN w:val="0"/>
        <w:adjustRightInd w:val="0"/>
        <w:spacing w:line="240" w:lineRule="auto"/>
        <w:jc w:val="both"/>
        <w:rPr>
          <w:rFonts w:cs="Arial"/>
          <w:b/>
          <w:szCs w:val="20"/>
        </w:rPr>
      </w:pPr>
      <w:r w:rsidRPr="003951A6">
        <w:rPr>
          <w:rFonts w:cs="Arial"/>
          <w:b/>
          <w:color w:val="000000"/>
          <w:szCs w:val="20"/>
        </w:rPr>
        <w:t xml:space="preserve">Vlada </w:t>
      </w:r>
      <w:r w:rsidRPr="003951A6">
        <w:rPr>
          <w:rFonts w:cs="Arial"/>
          <w:b/>
          <w:szCs w:val="20"/>
        </w:rPr>
        <w:t xml:space="preserve">podprla podpis sporazuma o sodelovanju z Evropskim uradom Svetovno zdravstveno organizacijo za leti 2022 </w:t>
      </w:r>
      <w:r w:rsidR="003C4210">
        <w:rPr>
          <w:rFonts w:cs="Arial"/>
          <w:b/>
          <w:szCs w:val="20"/>
        </w:rPr>
        <w:t>–</w:t>
      </w:r>
      <w:r w:rsidRPr="003951A6">
        <w:rPr>
          <w:rFonts w:cs="Arial"/>
          <w:b/>
          <w:szCs w:val="20"/>
        </w:rPr>
        <w:t xml:space="preserve"> 2023</w:t>
      </w:r>
    </w:p>
    <w:p w14:paraId="6111801B" w14:textId="77777777" w:rsidR="00F0626B" w:rsidRPr="003951A6" w:rsidRDefault="00F0626B" w:rsidP="003951A6">
      <w:pPr>
        <w:spacing w:line="240" w:lineRule="auto"/>
        <w:jc w:val="both"/>
        <w:rPr>
          <w:rFonts w:cs="Arial"/>
          <w:b/>
          <w:szCs w:val="20"/>
          <w:lang w:eastAsia="sl-SI"/>
        </w:rPr>
      </w:pPr>
    </w:p>
    <w:p w14:paraId="776C6D70" w14:textId="77777777" w:rsidR="00F0626B" w:rsidRPr="003C4210" w:rsidRDefault="00F0626B" w:rsidP="003951A6">
      <w:pPr>
        <w:spacing w:line="240" w:lineRule="auto"/>
        <w:jc w:val="both"/>
        <w:rPr>
          <w:rFonts w:cs="Arial"/>
          <w:szCs w:val="20"/>
        </w:rPr>
      </w:pPr>
      <w:r w:rsidRPr="003C4210">
        <w:rPr>
          <w:rFonts w:cs="Arial"/>
          <w:szCs w:val="20"/>
        </w:rPr>
        <w:t xml:space="preserve">Sodelovanje s Svetovno zdravstveno organizacijo (SZO) prednostno poteka v okviru Dveletnega sporazuma o sodelovanju (angleško </w:t>
      </w:r>
      <w:proofErr w:type="spellStart"/>
      <w:r w:rsidRPr="003C4210">
        <w:rPr>
          <w:rFonts w:cs="Arial"/>
          <w:szCs w:val="20"/>
        </w:rPr>
        <w:t>Biennial</w:t>
      </w:r>
      <w:proofErr w:type="spellEnd"/>
      <w:r w:rsidRPr="003C4210">
        <w:rPr>
          <w:rFonts w:cs="Arial"/>
          <w:szCs w:val="20"/>
        </w:rPr>
        <w:t xml:space="preserve"> </w:t>
      </w:r>
      <w:proofErr w:type="spellStart"/>
      <w:r w:rsidRPr="003C4210">
        <w:rPr>
          <w:rFonts w:cs="Arial"/>
          <w:szCs w:val="20"/>
        </w:rPr>
        <w:t>Collaborative</w:t>
      </w:r>
      <w:proofErr w:type="spellEnd"/>
      <w:r w:rsidRPr="003C4210">
        <w:rPr>
          <w:rFonts w:cs="Arial"/>
          <w:szCs w:val="20"/>
        </w:rPr>
        <w:t xml:space="preserve"> </w:t>
      </w:r>
      <w:proofErr w:type="spellStart"/>
      <w:r w:rsidRPr="003C4210">
        <w:rPr>
          <w:rFonts w:cs="Arial"/>
          <w:szCs w:val="20"/>
        </w:rPr>
        <w:t>Agreement</w:t>
      </w:r>
      <w:proofErr w:type="spellEnd"/>
      <w:r w:rsidRPr="003C4210">
        <w:rPr>
          <w:rFonts w:cs="Arial"/>
          <w:szCs w:val="20"/>
        </w:rPr>
        <w:t xml:space="preserve"> </w:t>
      </w:r>
      <w:proofErr w:type="spellStart"/>
      <w:r w:rsidRPr="003C4210">
        <w:rPr>
          <w:rFonts w:cs="Arial"/>
          <w:szCs w:val="20"/>
        </w:rPr>
        <w:t>between</w:t>
      </w:r>
      <w:proofErr w:type="spellEnd"/>
      <w:r w:rsidRPr="003C4210">
        <w:rPr>
          <w:rFonts w:cs="Arial"/>
          <w:szCs w:val="20"/>
        </w:rPr>
        <w:t xml:space="preserve"> </w:t>
      </w:r>
      <w:proofErr w:type="spellStart"/>
      <w:r w:rsidRPr="003C4210">
        <w:rPr>
          <w:rFonts w:cs="Arial"/>
          <w:szCs w:val="20"/>
        </w:rPr>
        <w:t>the</w:t>
      </w:r>
      <w:proofErr w:type="spellEnd"/>
      <w:r w:rsidRPr="003C4210">
        <w:rPr>
          <w:rFonts w:cs="Arial"/>
          <w:szCs w:val="20"/>
        </w:rPr>
        <w:t xml:space="preserve"> </w:t>
      </w:r>
      <w:proofErr w:type="spellStart"/>
      <w:r w:rsidRPr="003C4210">
        <w:rPr>
          <w:rFonts w:cs="Arial"/>
          <w:szCs w:val="20"/>
        </w:rPr>
        <w:t>Ministry</w:t>
      </w:r>
      <w:proofErr w:type="spellEnd"/>
      <w:r w:rsidRPr="003C4210">
        <w:rPr>
          <w:rFonts w:cs="Arial"/>
          <w:szCs w:val="20"/>
        </w:rPr>
        <w:t xml:space="preserve"> </w:t>
      </w:r>
      <w:proofErr w:type="spellStart"/>
      <w:r w:rsidRPr="003C4210">
        <w:rPr>
          <w:rFonts w:cs="Arial"/>
          <w:szCs w:val="20"/>
        </w:rPr>
        <w:t>of</w:t>
      </w:r>
      <w:proofErr w:type="spellEnd"/>
      <w:r w:rsidRPr="003C4210">
        <w:rPr>
          <w:rFonts w:cs="Arial"/>
          <w:szCs w:val="20"/>
        </w:rPr>
        <w:t xml:space="preserve"> </w:t>
      </w:r>
      <w:proofErr w:type="spellStart"/>
      <w:r w:rsidRPr="003C4210">
        <w:rPr>
          <w:rFonts w:cs="Arial"/>
          <w:szCs w:val="20"/>
        </w:rPr>
        <w:t>Health</w:t>
      </w:r>
      <w:proofErr w:type="spellEnd"/>
      <w:r w:rsidRPr="003C4210">
        <w:rPr>
          <w:rFonts w:cs="Arial"/>
          <w:szCs w:val="20"/>
        </w:rPr>
        <w:t xml:space="preserve"> </w:t>
      </w:r>
      <w:proofErr w:type="spellStart"/>
      <w:r w:rsidRPr="003C4210">
        <w:rPr>
          <w:rFonts w:cs="Arial"/>
          <w:szCs w:val="20"/>
        </w:rPr>
        <w:t>and</w:t>
      </w:r>
      <w:proofErr w:type="spellEnd"/>
      <w:r w:rsidRPr="003C4210">
        <w:rPr>
          <w:rFonts w:cs="Arial"/>
          <w:szCs w:val="20"/>
        </w:rPr>
        <w:t xml:space="preserve"> </w:t>
      </w:r>
      <w:proofErr w:type="spellStart"/>
      <w:r w:rsidRPr="003C4210">
        <w:rPr>
          <w:rFonts w:cs="Arial"/>
          <w:szCs w:val="20"/>
        </w:rPr>
        <w:t>the</w:t>
      </w:r>
      <w:proofErr w:type="spellEnd"/>
      <w:r w:rsidRPr="003C4210">
        <w:rPr>
          <w:rFonts w:cs="Arial"/>
          <w:szCs w:val="20"/>
        </w:rPr>
        <w:t xml:space="preserve"> WHO </w:t>
      </w:r>
      <w:proofErr w:type="spellStart"/>
      <w:r w:rsidRPr="003C4210">
        <w:rPr>
          <w:rFonts w:cs="Arial"/>
          <w:szCs w:val="20"/>
        </w:rPr>
        <w:t>Regional</w:t>
      </w:r>
      <w:proofErr w:type="spellEnd"/>
      <w:r w:rsidRPr="003C4210">
        <w:rPr>
          <w:rFonts w:cs="Arial"/>
          <w:szCs w:val="20"/>
        </w:rPr>
        <w:t xml:space="preserve"> Office </w:t>
      </w:r>
      <w:proofErr w:type="spellStart"/>
      <w:r w:rsidRPr="003C4210">
        <w:rPr>
          <w:rFonts w:cs="Arial"/>
          <w:szCs w:val="20"/>
        </w:rPr>
        <w:t>for</w:t>
      </w:r>
      <w:proofErr w:type="spellEnd"/>
      <w:r w:rsidRPr="003C4210">
        <w:rPr>
          <w:rFonts w:cs="Arial"/>
          <w:szCs w:val="20"/>
        </w:rPr>
        <w:t xml:space="preserve"> </w:t>
      </w:r>
      <w:proofErr w:type="spellStart"/>
      <w:r w:rsidRPr="003C4210">
        <w:rPr>
          <w:rFonts w:cs="Arial"/>
          <w:szCs w:val="20"/>
        </w:rPr>
        <w:t>Europe</w:t>
      </w:r>
      <w:proofErr w:type="spellEnd"/>
      <w:r w:rsidRPr="003C4210">
        <w:rPr>
          <w:rFonts w:cs="Arial"/>
          <w:szCs w:val="20"/>
        </w:rPr>
        <w:t xml:space="preserve">). </w:t>
      </w:r>
    </w:p>
    <w:p w14:paraId="2ED69817" w14:textId="77777777" w:rsidR="003C4210" w:rsidRDefault="003C4210" w:rsidP="003951A6">
      <w:pPr>
        <w:spacing w:line="240" w:lineRule="auto"/>
        <w:jc w:val="both"/>
        <w:rPr>
          <w:rFonts w:cs="Arial"/>
          <w:szCs w:val="20"/>
        </w:rPr>
      </w:pPr>
    </w:p>
    <w:p w14:paraId="15AF5588" w14:textId="3032FB11" w:rsidR="00F0626B" w:rsidRPr="003951A6" w:rsidRDefault="00F0626B" w:rsidP="003951A6">
      <w:pPr>
        <w:spacing w:line="240" w:lineRule="auto"/>
        <w:jc w:val="both"/>
        <w:rPr>
          <w:rFonts w:cs="Arial"/>
          <w:szCs w:val="20"/>
        </w:rPr>
      </w:pPr>
      <w:r w:rsidRPr="003951A6">
        <w:rPr>
          <w:rFonts w:cs="Arial"/>
          <w:szCs w:val="20"/>
        </w:rPr>
        <w:t xml:space="preserve">Sporazum za leto 2022 do 2023 vsebuje vsebinska prednostna področja sodelovanja, kot so krepitev zdravstvenega sistema in funkcij javnega zdravja, obvladovanje nalezljivih bolezni in podporo pri krepitvi zmogljivosti za pripravljenost in odzivanje na nujne zdravstvene razmere ter enakosti v zdravju, socialne determinante in zdravstveno pismenostjo. </w:t>
      </w:r>
    </w:p>
    <w:p w14:paraId="45C0D0E9" w14:textId="77777777" w:rsidR="003C4210" w:rsidRDefault="003C4210" w:rsidP="003951A6">
      <w:pPr>
        <w:spacing w:line="240" w:lineRule="auto"/>
        <w:jc w:val="both"/>
        <w:rPr>
          <w:rFonts w:cs="Arial"/>
          <w:szCs w:val="20"/>
        </w:rPr>
      </w:pPr>
    </w:p>
    <w:p w14:paraId="0270EEFE" w14:textId="6E4E1D24" w:rsidR="00F0626B" w:rsidRPr="003951A6" w:rsidRDefault="00F0626B" w:rsidP="003951A6">
      <w:pPr>
        <w:spacing w:line="240" w:lineRule="auto"/>
        <w:jc w:val="both"/>
        <w:rPr>
          <w:rFonts w:cs="Arial"/>
          <w:szCs w:val="20"/>
        </w:rPr>
      </w:pPr>
      <w:r w:rsidRPr="003951A6">
        <w:rPr>
          <w:rFonts w:cs="Arial"/>
          <w:szCs w:val="20"/>
        </w:rPr>
        <w:t>Prav tako vsebuje področje, ki ureja kronično nenalezljive bolezni in dejavnike tveganja s krepitvijo zmogljivosti pri skupnem ukrepanju in sodelovanje javnega, zasebnega in nevladnega sektorja ter aktivnosti v mednarodnih mrežah obenem pa se dotika krepitve zmogljivosti na področju podatkovnih, analitičnih in zdravstvenih informacijskih ter podatkovnih sistemov.</w:t>
      </w:r>
    </w:p>
    <w:p w14:paraId="418D3CAC" w14:textId="77777777" w:rsidR="00F0626B" w:rsidRPr="003951A6" w:rsidRDefault="00F0626B" w:rsidP="003951A6">
      <w:pPr>
        <w:spacing w:line="240" w:lineRule="auto"/>
        <w:jc w:val="both"/>
        <w:rPr>
          <w:rFonts w:cs="Arial"/>
          <w:szCs w:val="20"/>
        </w:rPr>
      </w:pPr>
      <w:r w:rsidRPr="003951A6">
        <w:rPr>
          <w:rFonts w:cs="Arial"/>
          <w:szCs w:val="20"/>
        </w:rPr>
        <w:t xml:space="preserve">Slovenija je v sklopu članstva deležna strokovne podpore med drugim iz zgoraj omenjenih področij. </w:t>
      </w:r>
    </w:p>
    <w:p w14:paraId="5E238622" w14:textId="77777777" w:rsidR="003C4210" w:rsidRDefault="003C4210" w:rsidP="003951A6">
      <w:pPr>
        <w:spacing w:line="240" w:lineRule="auto"/>
        <w:jc w:val="both"/>
        <w:rPr>
          <w:rFonts w:cs="Arial"/>
          <w:szCs w:val="20"/>
        </w:rPr>
      </w:pPr>
    </w:p>
    <w:p w14:paraId="625D6761" w14:textId="111B449A" w:rsidR="00F0626B" w:rsidRPr="003951A6" w:rsidRDefault="00F0626B" w:rsidP="003951A6">
      <w:pPr>
        <w:spacing w:line="240" w:lineRule="auto"/>
        <w:jc w:val="both"/>
        <w:rPr>
          <w:rFonts w:cs="Arial"/>
          <w:szCs w:val="20"/>
        </w:rPr>
      </w:pPr>
      <w:r w:rsidRPr="003951A6">
        <w:rPr>
          <w:rFonts w:cs="Arial"/>
          <w:szCs w:val="20"/>
        </w:rPr>
        <w:t xml:space="preserve">Sporazum bosta podpisala zdravstveni minister Janez Poklukar in regionalni direktor SZO Henri Hans P. </w:t>
      </w:r>
      <w:proofErr w:type="spellStart"/>
      <w:r w:rsidRPr="003951A6">
        <w:rPr>
          <w:rFonts w:cs="Arial"/>
          <w:szCs w:val="20"/>
        </w:rPr>
        <w:t>Kluge</w:t>
      </w:r>
      <w:proofErr w:type="spellEnd"/>
      <w:r w:rsidRPr="003951A6">
        <w:rPr>
          <w:rFonts w:cs="Arial"/>
          <w:szCs w:val="20"/>
        </w:rPr>
        <w:t xml:space="preserve">. </w:t>
      </w:r>
    </w:p>
    <w:p w14:paraId="3CB85709" w14:textId="77777777" w:rsidR="003C4210" w:rsidRDefault="003C4210" w:rsidP="003951A6">
      <w:pPr>
        <w:spacing w:line="240" w:lineRule="auto"/>
        <w:jc w:val="both"/>
        <w:rPr>
          <w:rFonts w:cs="Arial"/>
          <w:b/>
          <w:szCs w:val="20"/>
        </w:rPr>
      </w:pPr>
    </w:p>
    <w:p w14:paraId="4EA39F2E" w14:textId="13DDBD6A" w:rsidR="00B75740" w:rsidRPr="003C4210" w:rsidRDefault="00F0626B" w:rsidP="003951A6">
      <w:pPr>
        <w:spacing w:line="240" w:lineRule="auto"/>
        <w:jc w:val="both"/>
        <w:rPr>
          <w:rFonts w:cs="Arial"/>
          <w:bCs/>
          <w:szCs w:val="20"/>
        </w:rPr>
      </w:pPr>
      <w:r w:rsidRPr="003C4210">
        <w:rPr>
          <w:rFonts w:cs="Arial"/>
          <w:bCs/>
          <w:szCs w:val="20"/>
        </w:rPr>
        <w:t>Vir: Ministrstvo za zdravje</w:t>
      </w:r>
    </w:p>
    <w:p w14:paraId="7543965D" w14:textId="77777777" w:rsidR="00F0626B" w:rsidRPr="003951A6" w:rsidRDefault="00F0626B" w:rsidP="003951A6">
      <w:pPr>
        <w:spacing w:line="240" w:lineRule="auto"/>
        <w:jc w:val="both"/>
        <w:rPr>
          <w:rFonts w:cs="Arial"/>
          <w:b/>
          <w:szCs w:val="20"/>
        </w:rPr>
      </w:pPr>
    </w:p>
    <w:p w14:paraId="394CD3A3" w14:textId="77777777" w:rsidR="003C4210" w:rsidRDefault="003C4210" w:rsidP="003951A6">
      <w:pPr>
        <w:spacing w:line="240" w:lineRule="auto"/>
        <w:jc w:val="both"/>
        <w:rPr>
          <w:rFonts w:cs="Arial"/>
          <w:b/>
          <w:szCs w:val="20"/>
        </w:rPr>
      </w:pPr>
    </w:p>
    <w:p w14:paraId="2980CB99" w14:textId="06EFD1B5" w:rsidR="003B65A4" w:rsidRPr="003951A6" w:rsidRDefault="003B65A4" w:rsidP="003951A6">
      <w:pPr>
        <w:spacing w:line="240" w:lineRule="auto"/>
        <w:jc w:val="both"/>
        <w:rPr>
          <w:rFonts w:cs="Arial"/>
          <w:szCs w:val="20"/>
        </w:rPr>
      </w:pPr>
      <w:r w:rsidRPr="003951A6">
        <w:rPr>
          <w:rFonts w:cs="Arial"/>
          <w:b/>
          <w:szCs w:val="20"/>
        </w:rPr>
        <w:t>Vlada je izdala Odlok o ustanovitvi Komisije za fizično varovanje jedrskih objektov ter jedrskih in radioaktivnih snovi</w:t>
      </w:r>
    </w:p>
    <w:p w14:paraId="4D0F7BA2" w14:textId="77777777" w:rsidR="003B65A4" w:rsidRPr="003951A6" w:rsidRDefault="003B65A4" w:rsidP="003951A6">
      <w:pPr>
        <w:spacing w:line="240" w:lineRule="auto"/>
        <w:jc w:val="both"/>
        <w:rPr>
          <w:rFonts w:cs="Arial"/>
          <w:iCs/>
          <w:szCs w:val="20"/>
        </w:rPr>
      </w:pPr>
    </w:p>
    <w:p w14:paraId="6606C187" w14:textId="75B13944" w:rsidR="003B65A4" w:rsidRPr="003951A6" w:rsidRDefault="003B65A4" w:rsidP="003951A6">
      <w:pPr>
        <w:spacing w:line="240" w:lineRule="auto"/>
        <w:jc w:val="both"/>
        <w:rPr>
          <w:rFonts w:cs="Arial"/>
          <w:iCs/>
          <w:szCs w:val="20"/>
        </w:rPr>
      </w:pPr>
      <w:r w:rsidRPr="003951A6">
        <w:rPr>
          <w:rFonts w:cs="Arial"/>
          <w:iCs/>
          <w:szCs w:val="20"/>
        </w:rPr>
        <w:t>Vlada je izdala Odlok o ustanovitvi Komisije za fizično varovanje jedrskih objektov ter jedrskih in radioaktivnih snovi, ki se objavi v Uradnem listu Republike Slovenije.</w:t>
      </w:r>
    </w:p>
    <w:p w14:paraId="2C3B436B" w14:textId="77777777" w:rsidR="003B65A4" w:rsidRPr="003951A6" w:rsidRDefault="003B65A4" w:rsidP="003951A6">
      <w:pPr>
        <w:spacing w:line="240" w:lineRule="auto"/>
        <w:jc w:val="both"/>
        <w:rPr>
          <w:rFonts w:cs="Arial"/>
          <w:iCs/>
          <w:szCs w:val="20"/>
        </w:rPr>
      </w:pPr>
    </w:p>
    <w:p w14:paraId="78961E82" w14:textId="77777777" w:rsidR="003B65A4" w:rsidRPr="003951A6" w:rsidRDefault="003B65A4" w:rsidP="003951A6">
      <w:pPr>
        <w:spacing w:line="240" w:lineRule="auto"/>
        <w:jc w:val="both"/>
        <w:rPr>
          <w:rFonts w:cs="Arial"/>
          <w:iCs/>
          <w:szCs w:val="20"/>
        </w:rPr>
      </w:pPr>
      <w:r w:rsidRPr="003951A6">
        <w:rPr>
          <w:rFonts w:cs="Arial"/>
          <w:iCs/>
          <w:szCs w:val="20"/>
        </w:rPr>
        <w:t xml:space="preserve">Komisija ima na podlagi Zakona </w:t>
      </w:r>
      <w:r w:rsidRPr="003951A6">
        <w:rPr>
          <w:rFonts w:cs="Arial"/>
          <w:szCs w:val="20"/>
        </w:rPr>
        <w:t xml:space="preserve">o varstvu pred ionizirajočimi sevanji in jedrski varnosti </w:t>
      </w:r>
      <w:r w:rsidRPr="003951A6">
        <w:rPr>
          <w:rFonts w:cs="Arial"/>
          <w:iCs/>
          <w:szCs w:val="20"/>
        </w:rPr>
        <w:t>naslednje naloge:</w:t>
      </w:r>
    </w:p>
    <w:p w14:paraId="321D5BBC" w14:textId="04820C89" w:rsidR="003B65A4" w:rsidRPr="003C4210" w:rsidRDefault="003B65A4" w:rsidP="003C4210">
      <w:pPr>
        <w:pStyle w:val="Odstavekseznama"/>
        <w:numPr>
          <w:ilvl w:val="0"/>
          <w:numId w:val="24"/>
        </w:numPr>
        <w:spacing w:line="240" w:lineRule="auto"/>
        <w:jc w:val="both"/>
        <w:rPr>
          <w:rFonts w:cs="Arial"/>
          <w:iCs/>
          <w:szCs w:val="20"/>
        </w:rPr>
      </w:pPr>
      <w:r w:rsidRPr="003C4210">
        <w:rPr>
          <w:rFonts w:cs="Arial"/>
          <w:iCs/>
          <w:szCs w:val="20"/>
        </w:rPr>
        <w:t>obravnava predloge sprememb in dopolnitev predpisov, ki posegajo na področje fizičnega varovanja jedrskih objektov ter jedrskih in radioaktivnih snovi, ter o tem podaja mnenja in predloge za njihovo dopolnitev;</w:t>
      </w:r>
    </w:p>
    <w:p w14:paraId="2B55148A" w14:textId="65E21D8E" w:rsidR="003B65A4" w:rsidRPr="003C4210" w:rsidRDefault="003B65A4" w:rsidP="003C4210">
      <w:pPr>
        <w:pStyle w:val="Odstavekseznama"/>
        <w:numPr>
          <w:ilvl w:val="0"/>
          <w:numId w:val="24"/>
        </w:numPr>
        <w:spacing w:line="240" w:lineRule="auto"/>
        <w:jc w:val="both"/>
        <w:rPr>
          <w:rFonts w:cs="Arial"/>
          <w:iCs/>
          <w:szCs w:val="20"/>
        </w:rPr>
      </w:pPr>
      <w:r w:rsidRPr="003C4210">
        <w:rPr>
          <w:rFonts w:cs="Arial"/>
          <w:iCs/>
          <w:szCs w:val="20"/>
        </w:rPr>
        <w:t>daje mnenja o ocenah ogroženosti, ki se izdelajo za jedrske objekte, za objekte, v katerih so ali bodo nameščene ali hranjene radioaktivne snovi, in za prevoz jedrskih snovi;</w:t>
      </w:r>
    </w:p>
    <w:p w14:paraId="7A01B26B" w14:textId="1E0967D5" w:rsidR="003B65A4" w:rsidRPr="003C4210" w:rsidRDefault="003B65A4" w:rsidP="003C4210">
      <w:pPr>
        <w:pStyle w:val="Odstavekseznama"/>
        <w:numPr>
          <w:ilvl w:val="0"/>
          <w:numId w:val="24"/>
        </w:numPr>
        <w:spacing w:line="240" w:lineRule="auto"/>
        <w:jc w:val="both"/>
        <w:rPr>
          <w:rFonts w:cs="Arial"/>
          <w:iCs/>
          <w:szCs w:val="20"/>
        </w:rPr>
      </w:pPr>
      <w:r w:rsidRPr="003C4210">
        <w:rPr>
          <w:rFonts w:cs="Arial"/>
          <w:iCs/>
          <w:szCs w:val="20"/>
        </w:rPr>
        <w:lastRenderedPageBreak/>
        <w:t>spremlja opravljanje nalog fizičnega varovanja jedrskih objektov ter jedrskih in radioaktivnih snovi;</w:t>
      </w:r>
    </w:p>
    <w:p w14:paraId="2E26AD3B" w14:textId="7CE73E53" w:rsidR="003B65A4" w:rsidRPr="003C4210" w:rsidRDefault="003B65A4" w:rsidP="003C4210">
      <w:pPr>
        <w:pStyle w:val="Odstavekseznama"/>
        <w:numPr>
          <w:ilvl w:val="0"/>
          <w:numId w:val="24"/>
        </w:numPr>
        <w:spacing w:line="240" w:lineRule="auto"/>
        <w:jc w:val="both"/>
        <w:rPr>
          <w:rFonts w:cs="Arial"/>
          <w:iCs/>
          <w:szCs w:val="20"/>
        </w:rPr>
      </w:pPr>
      <w:r w:rsidRPr="003C4210">
        <w:rPr>
          <w:rFonts w:cs="Arial"/>
          <w:iCs/>
          <w:szCs w:val="20"/>
        </w:rPr>
        <w:t>daje priporočila za izboljšanje ukrepov fizičnega varovanja.</w:t>
      </w:r>
    </w:p>
    <w:p w14:paraId="1CD07BBD" w14:textId="77777777" w:rsidR="003B65A4" w:rsidRPr="003951A6" w:rsidRDefault="003B65A4" w:rsidP="003951A6">
      <w:pPr>
        <w:spacing w:line="240" w:lineRule="auto"/>
        <w:jc w:val="both"/>
        <w:rPr>
          <w:rFonts w:cs="Arial"/>
          <w:iCs/>
          <w:szCs w:val="20"/>
        </w:rPr>
      </w:pPr>
    </w:p>
    <w:p w14:paraId="0527CA32" w14:textId="77777777" w:rsidR="003B65A4" w:rsidRPr="003951A6" w:rsidRDefault="003B65A4" w:rsidP="003951A6">
      <w:pPr>
        <w:spacing w:line="240" w:lineRule="auto"/>
        <w:jc w:val="both"/>
        <w:rPr>
          <w:rFonts w:cs="Arial"/>
          <w:iCs/>
          <w:szCs w:val="20"/>
        </w:rPr>
      </w:pPr>
      <w:r w:rsidRPr="003951A6">
        <w:rPr>
          <w:rFonts w:cs="Arial"/>
          <w:iCs/>
          <w:szCs w:val="20"/>
        </w:rPr>
        <w:t>Vlada bo po uveljavitvi odloka na predlog ministra za notranje zadeve s sklepom imenovala člane Komisije za fizično varovanje jedrskih objektov ter jedrskih in radioaktivnih snovi.</w:t>
      </w:r>
    </w:p>
    <w:p w14:paraId="0D3FBA2C" w14:textId="475DAF38" w:rsidR="00B75740" w:rsidRPr="003951A6" w:rsidRDefault="00B75740" w:rsidP="003951A6">
      <w:pPr>
        <w:spacing w:line="240" w:lineRule="auto"/>
        <w:jc w:val="both"/>
        <w:rPr>
          <w:rFonts w:cs="Arial"/>
          <w:b/>
          <w:szCs w:val="20"/>
        </w:rPr>
      </w:pPr>
    </w:p>
    <w:p w14:paraId="7017BF92" w14:textId="6524B372" w:rsidR="003B65A4" w:rsidRPr="003C4210" w:rsidRDefault="003B65A4" w:rsidP="003951A6">
      <w:pPr>
        <w:spacing w:line="240" w:lineRule="auto"/>
        <w:jc w:val="both"/>
        <w:rPr>
          <w:rFonts w:cs="Arial"/>
          <w:bCs/>
          <w:szCs w:val="20"/>
        </w:rPr>
      </w:pPr>
      <w:r w:rsidRPr="003C4210">
        <w:rPr>
          <w:rFonts w:cs="Arial"/>
          <w:bCs/>
          <w:szCs w:val="20"/>
        </w:rPr>
        <w:t>Vir: Ministrstvo za notranje zadeve</w:t>
      </w:r>
    </w:p>
    <w:p w14:paraId="074D4D2A" w14:textId="77777777" w:rsidR="00B75740" w:rsidRPr="003951A6" w:rsidRDefault="00B75740" w:rsidP="003951A6">
      <w:pPr>
        <w:spacing w:line="240" w:lineRule="auto"/>
        <w:jc w:val="both"/>
        <w:rPr>
          <w:rFonts w:cs="Arial"/>
          <w:b/>
          <w:szCs w:val="20"/>
        </w:rPr>
      </w:pPr>
    </w:p>
    <w:p w14:paraId="4B3494B3" w14:textId="77777777" w:rsidR="003C4210" w:rsidRDefault="003C4210" w:rsidP="003951A6">
      <w:pPr>
        <w:spacing w:line="240" w:lineRule="auto"/>
        <w:jc w:val="both"/>
        <w:rPr>
          <w:rFonts w:cs="Arial"/>
          <w:szCs w:val="20"/>
        </w:rPr>
      </w:pPr>
    </w:p>
    <w:p w14:paraId="6061A86F" w14:textId="2594740B" w:rsidR="00B75740" w:rsidRPr="003C4210" w:rsidRDefault="003C4210" w:rsidP="003951A6">
      <w:pPr>
        <w:spacing w:line="240" w:lineRule="auto"/>
        <w:jc w:val="both"/>
        <w:rPr>
          <w:rFonts w:cs="Arial"/>
          <w:b/>
          <w:bCs/>
          <w:szCs w:val="20"/>
        </w:rPr>
      </w:pPr>
      <w:r w:rsidRPr="003C4210">
        <w:rPr>
          <w:rFonts w:cs="Arial"/>
          <w:b/>
          <w:bCs/>
          <w:szCs w:val="20"/>
        </w:rPr>
        <w:t>Vlada imenovala mag. Danila Lončariča za vršilca dolžnosti direktorja Urada Vlade Republike Slovenije za demografijo</w:t>
      </w:r>
    </w:p>
    <w:p w14:paraId="415CF0F3" w14:textId="77777777" w:rsidR="003C4210" w:rsidRPr="003951A6" w:rsidRDefault="003C4210" w:rsidP="003951A6">
      <w:pPr>
        <w:spacing w:line="240" w:lineRule="auto"/>
        <w:jc w:val="both"/>
        <w:rPr>
          <w:rFonts w:cs="Arial"/>
          <w:szCs w:val="20"/>
        </w:rPr>
      </w:pPr>
    </w:p>
    <w:p w14:paraId="1D8783B7" w14:textId="26389FFC" w:rsidR="00B75740" w:rsidRDefault="00B75740" w:rsidP="003951A6">
      <w:pPr>
        <w:spacing w:line="240" w:lineRule="auto"/>
        <w:ind w:right="70"/>
        <w:jc w:val="both"/>
        <w:rPr>
          <w:rFonts w:cs="Arial"/>
          <w:bCs/>
          <w:szCs w:val="20"/>
        </w:rPr>
      </w:pPr>
      <w:r w:rsidRPr="003951A6">
        <w:rPr>
          <w:rFonts w:cs="Arial"/>
          <w:szCs w:val="20"/>
        </w:rPr>
        <w:t xml:space="preserve">Vlada je </w:t>
      </w:r>
      <w:r w:rsidRPr="003951A6">
        <w:rPr>
          <w:rFonts w:cs="Arial"/>
          <w:bCs/>
          <w:szCs w:val="20"/>
        </w:rPr>
        <w:t xml:space="preserve">z dnem 15. 4. 2022 imenovala </w:t>
      </w:r>
      <w:r w:rsidRPr="003951A6">
        <w:rPr>
          <w:rFonts w:cs="Arial"/>
          <w:szCs w:val="20"/>
        </w:rPr>
        <w:t>mag. Danila Lončariča</w:t>
      </w:r>
      <w:r w:rsidRPr="003951A6">
        <w:rPr>
          <w:rFonts w:cs="Arial"/>
          <w:bCs/>
          <w:szCs w:val="20"/>
        </w:rPr>
        <w:t xml:space="preserve"> za vršilca dolžnosti direktorja Urada Vlade Republike Slovenije za demografijo, in sicer do imenovanja direktorja Urada Vlade Republike Slovenije za demografijo po izvedenem postopku posebnega javnega natečaja, vendar največ za šest mesecev, to je od 15. 4. 2022 do 14. 10. 2022.</w:t>
      </w:r>
    </w:p>
    <w:p w14:paraId="655E55D2" w14:textId="6F0F39DE" w:rsidR="003C4210" w:rsidRDefault="003C4210" w:rsidP="003951A6">
      <w:pPr>
        <w:spacing w:line="240" w:lineRule="auto"/>
        <w:ind w:right="70"/>
        <w:jc w:val="both"/>
        <w:rPr>
          <w:rFonts w:cs="Arial"/>
          <w:bCs/>
          <w:szCs w:val="20"/>
        </w:rPr>
      </w:pPr>
    </w:p>
    <w:p w14:paraId="362BFF06" w14:textId="70C9F293" w:rsidR="003C4210" w:rsidRDefault="003C4210" w:rsidP="003951A6">
      <w:pPr>
        <w:spacing w:line="240" w:lineRule="auto"/>
        <w:ind w:right="70"/>
        <w:jc w:val="both"/>
        <w:rPr>
          <w:rFonts w:cs="Arial"/>
          <w:bCs/>
          <w:szCs w:val="20"/>
        </w:rPr>
      </w:pPr>
      <w:r>
        <w:rPr>
          <w:rFonts w:cs="Arial"/>
          <w:bCs/>
          <w:szCs w:val="20"/>
        </w:rPr>
        <w:t>Vir: Generalni sekretariat vlade</w:t>
      </w:r>
    </w:p>
    <w:p w14:paraId="0E6BDA9B" w14:textId="4E4EFD66" w:rsidR="00AE3A50" w:rsidRDefault="00AE3A50" w:rsidP="003951A6">
      <w:pPr>
        <w:spacing w:line="240" w:lineRule="auto"/>
        <w:ind w:right="70"/>
        <w:jc w:val="both"/>
        <w:rPr>
          <w:rFonts w:cs="Arial"/>
          <w:bCs/>
          <w:szCs w:val="20"/>
        </w:rPr>
      </w:pPr>
    </w:p>
    <w:p w14:paraId="475C06A6" w14:textId="77777777" w:rsidR="005B7922" w:rsidRDefault="005B7922" w:rsidP="003951A6">
      <w:pPr>
        <w:spacing w:line="240" w:lineRule="auto"/>
        <w:ind w:right="70"/>
        <w:jc w:val="both"/>
        <w:rPr>
          <w:rFonts w:cs="Arial"/>
          <w:bCs/>
          <w:szCs w:val="20"/>
        </w:rPr>
      </w:pPr>
    </w:p>
    <w:p w14:paraId="6546DD60" w14:textId="77777777" w:rsidR="00AE3A50" w:rsidRDefault="00AE3A50" w:rsidP="00AE3A50">
      <w:pPr>
        <w:tabs>
          <w:tab w:val="left" w:pos="1701"/>
        </w:tabs>
        <w:autoSpaceDE w:val="0"/>
        <w:autoSpaceDN w:val="0"/>
        <w:adjustRightInd w:val="0"/>
        <w:spacing w:after="240" w:line="240" w:lineRule="auto"/>
        <w:jc w:val="both"/>
        <w:rPr>
          <w:rFonts w:cs="Arial"/>
          <w:b/>
          <w:bCs/>
          <w:lang w:eastAsia="sl-SI"/>
        </w:rPr>
      </w:pPr>
      <w:r>
        <w:rPr>
          <w:rFonts w:cs="Arial"/>
          <w:b/>
          <w:bCs/>
          <w:lang w:eastAsia="sl-SI"/>
        </w:rPr>
        <w:t xml:space="preserve">Dr. Andreja </w:t>
      </w:r>
      <w:proofErr w:type="spellStart"/>
      <w:r>
        <w:rPr>
          <w:rFonts w:cs="Arial"/>
          <w:b/>
          <w:bCs/>
          <w:lang w:eastAsia="sl-SI"/>
        </w:rPr>
        <w:t>Špernjak</w:t>
      </w:r>
      <w:proofErr w:type="spellEnd"/>
      <w:r>
        <w:rPr>
          <w:rFonts w:cs="Arial"/>
          <w:b/>
          <w:bCs/>
          <w:lang w:eastAsia="sl-SI"/>
        </w:rPr>
        <w:t xml:space="preserve"> imenovana za generalno direktorico Direktorata za predšolsko vzgojo in osnovno šolstvo</w:t>
      </w:r>
    </w:p>
    <w:p w14:paraId="6AA7A4F5" w14:textId="67E38592" w:rsidR="00AE3A50" w:rsidRPr="001035F8" w:rsidRDefault="00AE3A50" w:rsidP="00AE3A50">
      <w:pPr>
        <w:tabs>
          <w:tab w:val="left" w:pos="1980"/>
        </w:tabs>
        <w:jc w:val="both"/>
        <w:rPr>
          <w:rFonts w:cs="Arial"/>
          <w:szCs w:val="20"/>
        </w:rPr>
      </w:pPr>
      <w:r w:rsidRPr="001035F8">
        <w:rPr>
          <w:rFonts w:cs="Arial"/>
          <w:iCs/>
          <w:lang w:eastAsia="sl-SI"/>
        </w:rPr>
        <w:t xml:space="preserve">Vlada je na dopisni seji izdala odločbo, s katero se </w:t>
      </w:r>
      <w:r w:rsidRPr="001035F8">
        <w:rPr>
          <w:rFonts w:cs="Arial"/>
          <w:szCs w:val="20"/>
        </w:rPr>
        <w:t xml:space="preserve">dr. Andreja </w:t>
      </w:r>
      <w:proofErr w:type="spellStart"/>
      <w:r w:rsidRPr="001035F8">
        <w:rPr>
          <w:rFonts w:cs="Arial"/>
          <w:szCs w:val="20"/>
        </w:rPr>
        <w:t>Špernjak</w:t>
      </w:r>
      <w:proofErr w:type="spellEnd"/>
      <w:r w:rsidRPr="001035F8">
        <w:rPr>
          <w:rFonts w:cs="Arial"/>
          <w:szCs w:val="20"/>
        </w:rPr>
        <w:t xml:space="preserve"> imenuje na položaj generalne direktorice Direktorata za predšolsko vzgojo in osnovno šolstvo</w:t>
      </w:r>
      <w:r>
        <w:rPr>
          <w:rFonts w:cs="Arial"/>
          <w:szCs w:val="20"/>
        </w:rPr>
        <w:t xml:space="preserve"> na Ministrstvu za izobraževanje, znanost in šport. Imenovana je</w:t>
      </w:r>
      <w:r w:rsidRPr="001035F8">
        <w:rPr>
          <w:rFonts w:cs="Arial"/>
          <w:szCs w:val="20"/>
        </w:rPr>
        <w:t xml:space="preserve"> za mandatno dobo petih let</w:t>
      </w:r>
      <w:r>
        <w:rPr>
          <w:rFonts w:cs="Arial"/>
          <w:szCs w:val="20"/>
        </w:rPr>
        <w:t>, in sicer od 15. aprila 2022 do 14. aprila 2027.</w:t>
      </w:r>
    </w:p>
    <w:p w14:paraId="3C703939" w14:textId="77777777" w:rsidR="00AE3A50" w:rsidRPr="001035F8" w:rsidRDefault="00AE3A50" w:rsidP="00AE3A50">
      <w:pPr>
        <w:spacing w:line="260" w:lineRule="atLeast"/>
        <w:jc w:val="both"/>
        <w:rPr>
          <w:rFonts w:cs="Arial"/>
          <w:iCs/>
          <w:lang w:eastAsia="sl-SI"/>
        </w:rPr>
      </w:pPr>
    </w:p>
    <w:p w14:paraId="6F37E2A2" w14:textId="77777777" w:rsidR="00AE3A50" w:rsidRPr="003C4210" w:rsidRDefault="00AE3A50" w:rsidP="00AE3A50">
      <w:pPr>
        <w:autoSpaceDE w:val="0"/>
        <w:autoSpaceDN w:val="0"/>
        <w:adjustRightInd w:val="0"/>
        <w:spacing w:line="240" w:lineRule="auto"/>
        <w:jc w:val="both"/>
        <w:rPr>
          <w:rFonts w:cs="Arial"/>
          <w:color w:val="000000"/>
          <w:szCs w:val="20"/>
        </w:rPr>
      </w:pPr>
      <w:r>
        <w:rPr>
          <w:rFonts w:cs="Arial"/>
          <w:color w:val="000000"/>
          <w:szCs w:val="20"/>
        </w:rPr>
        <w:t>Vir: Ministrstvo za izobraževanje, znanost in šport</w:t>
      </w:r>
    </w:p>
    <w:p w14:paraId="6528B223" w14:textId="77777777" w:rsidR="00AE3A50" w:rsidRPr="003951A6" w:rsidRDefault="00AE3A50" w:rsidP="003951A6">
      <w:pPr>
        <w:spacing w:line="240" w:lineRule="auto"/>
        <w:ind w:right="70"/>
        <w:jc w:val="both"/>
        <w:rPr>
          <w:rFonts w:cs="Arial"/>
          <w:bCs/>
          <w:szCs w:val="20"/>
        </w:rPr>
      </w:pPr>
    </w:p>
    <w:p w14:paraId="697DD881" w14:textId="77777777" w:rsidR="00B75740" w:rsidRPr="003951A6" w:rsidRDefault="00B75740" w:rsidP="003951A6">
      <w:pPr>
        <w:pStyle w:val="Privzeto"/>
        <w:tabs>
          <w:tab w:val="left" w:pos="360"/>
        </w:tabs>
        <w:ind w:right="-18"/>
        <w:rPr>
          <w:rFonts w:ascii="Arial" w:hAnsi="Arial" w:cs="Arial"/>
          <w:sz w:val="20"/>
          <w:lang w:eastAsia="en-US"/>
        </w:rPr>
      </w:pPr>
    </w:p>
    <w:p w14:paraId="78BF55B3" w14:textId="77777777" w:rsidR="00965BD2" w:rsidRPr="00965BD2" w:rsidRDefault="00965BD2" w:rsidP="003951A6">
      <w:pPr>
        <w:spacing w:line="240" w:lineRule="auto"/>
        <w:jc w:val="both"/>
        <w:rPr>
          <w:rFonts w:cs="Arial"/>
          <w:b/>
          <w:bCs/>
          <w:szCs w:val="20"/>
        </w:rPr>
      </w:pPr>
      <w:r w:rsidRPr="00965BD2">
        <w:rPr>
          <w:rFonts w:cs="Arial"/>
          <w:b/>
          <w:bCs/>
          <w:szCs w:val="20"/>
        </w:rPr>
        <w:t>Imenovanju članov sveta javnega zavoda Slovenski etnografski muzej</w:t>
      </w:r>
    </w:p>
    <w:p w14:paraId="5F47BC52" w14:textId="77777777" w:rsidR="00965BD2" w:rsidRPr="00965BD2" w:rsidRDefault="00965BD2" w:rsidP="003951A6">
      <w:pPr>
        <w:spacing w:line="240" w:lineRule="auto"/>
        <w:jc w:val="both"/>
        <w:rPr>
          <w:rFonts w:cs="Arial"/>
          <w:b/>
          <w:bCs/>
          <w:szCs w:val="20"/>
        </w:rPr>
      </w:pPr>
    </w:p>
    <w:p w14:paraId="5E107F36" w14:textId="77777777" w:rsidR="00965BD2" w:rsidRPr="00965BD2" w:rsidRDefault="00965BD2" w:rsidP="003951A6">
      <w:pPr>
        <w:spacing w:line="240" w:lineRule="auto"/>
        <w:jc w:val="both"/>
        <w:rPr>
          <w:rFonts w:cs="Arial"/>
          <w:szCs w:val="20"/>
        </w:rPr>
      </w:pPr>
      <w:r w:rsidRPr="00965BD2">
        <w:rPr>
          <w:rFonts w:cs="Arial"/>
          <w:szCs w:val="20"/>
        </w:rPr>
        <w:t>Vlada je na današnji seji v svet javnega zavoda Slovenski etnografski muzej za mandatno dobo štirih let od ustanovitvene seje sveta zavoda, z možnostjo ponovnega imenovanja, kot predstavnike ustanovitelja imenovala naslednje kandidate:</w:t>
      </w:r>
    </w:p>
    <w:p w14:paraId="39ED2A43" w14:textId="77777777" w:rsidR="00965BD2" w:rsidRPr="00965BD2" w:rsidRDefault="00965BD2" w:rsidP="003951A6">
      <w:pPr>
        <w:spacing w:line="240" w:lineRule="auto"/>
        <w:jc w:val="both"/>
        <w:rPr>
          <w:rFonts w:cs="Arial"/>
          <w:szCs w:val="20"/>
        </w:rPr>
      </w:pPr>
      <w:r w:rsidRPr="00965BD2">
        <w:rPr>
          <w:rFonts w:cs="Arial"/>
          <w:szCs w:val="20"/>
        </w:rPr>
        <w:t>1.            Jožico Barbo Hrastar,</w:t>
      </w:r>
    </w:p>
    <w:p w14:paraId="5A7B188A" w14:textId="77777777" w:rsidR="00965BD2" w:rsidRPr="00965BD2" w:rsidRDefault="00965BD2" w:rsidP="003951A6">
      <w:pPr>
        <w:spacing w:line="240" w:lineRule="auto"/>
        <w:jc w:val="both"/>
        <w:rPr>
          <w:rFonts w:cs="Arial"/>
          <w:szCs w:val="20"/>
        </w:rPr>
      </w:pPr>
      <w:r w:rsidRPr="00965BD2">
        <w:rPr>
          <w:rFonts w:cs="Arial"/>
          <w:szCs w:val="20"/>
        </w:rPr>
        <w:t>2.            Sebastjana Luisa Kocmurja,</w:t>
      </w:r>
    </w:p>
    <w:p w14:paraId="3F695BEC" w14:textId="77777777" w:rsidR="00965BD2" w:rsidRPr="00965BD2" w:rsidRDefault="00965BD2" w:rsidP="003951A6">
      <w:pPr>
        <w:spacing w:line="240" w:lineRule="auto"/>
        <w:jc w:val="both"/>
        <w:rPr>
          <w:rFonts w:cs="Arial"/>
          <w:szCs w:val="20"/>
        </w:rPr>
      </w:pPr>
      <w:r w:rsidRPr="00965BD2">
        <w:rPr>
          <w:rFonts w:cs="Arial"/>
          <w:szCs w:val="20"/>
        </w:rPr>
        <w:t xml:space="preserve">3.            Jelko </w:t>
      </w:r>
      <w:proofErr w:type="spellStart"/>
      <w:r w:rsidRPr="00965BD2">
        <w:rPr>
          <w:rFonts w:cs="Arial"/>
          <w:szCs w:val="20"/>
        </w:rPr>
        <w:t>Pšajd</w:t>
      </w:r>
      <w:proofErr w:type="spellEnd"/>
      <w:r w:rsidRPr="00965BD2">
        <w:rPr>
          <w:rFonts w:cs="Arial"/>
          <w:szCs w:val="20"/>
        </w:rPr>
        <w:t xml:space="preserve"> in</w:t>
      </w:r>
    </w:p>
    <w:p w14:paraId="47F834E4" w14:textId="77777777" w:rsidR="00965BD2" w:rsidRPr="00965BD2" w:rsidRDefault="00965BD2" w:rsidP="003951A6">
      <w:pPr>
        <w:spacing w:line="240" w:lineRule="auto"/>
        <w:jc w:val="both"/>
        <w:rPr>
          <w:rFonts w:cs="Arial"/>
          <w:szCs w:val="20"/>
        </w:rPr>
      </w:pPr>
      <w:r w:rsidRPr="00965BD2">
        <w:rPr>
          <w:rFonts w:cs="Arial"/>
          <w:szCs w:val="20"/>
        </w:rPr>
        <w:t>4.            Jadranko Oblak Tavčar</w:t>
      </w:r>
    </w:p>
    <w:p w14:paraId="0347F93B" w14:textId="7FAE3242" w:rsidR="00B75740" w:rsidRPr="003951A6" w:rsidRDefault="00B75740" w:rsidP="003951A6">
      <w:pPr>
        <w:spacing w:line="240" w:lineRule="auto"/>
        <w:jc w:val="both"/>
        <w:rPr>
          <w:rFonts w:cs="Arial"/>
          <w:b/>
          <w:szCs w:val="20"/>
        </w:rPr>
      </w:pPr>
    </w:p>
    <w:p w14:paraId="58CB027D" w14:textId="6A4ACCB0" w:rsidR="00965BD2" w:rsidRPr="003C4210" w:rsidRDefault="00965BD2" w:rsidP="003951A6">
      <w:pPr>
        <w:spacing w:line="240" w:lineRule="auto"/>
        <w:jc w:val="both"/>
        <w:rPr>
          <w:rFonts w:cs="Arial"/>
          <w:bCs/>
          <w:szCs w:val="20"/>
        </w:rPr>
      </w:pPr>
      <w:r w:rsidRPr="003C4210">
        <w:rPr>
          <w:rFonts w:cs="Arial"/>
          <w:bCs/>
          <w:szCs w:val="20"/>
        </w:rPr>
        <w:t>Vir: Ministrstvo za kulturo</w:t>
      </w:r>
    </w:p>
    <w:p w14:paraId="5AFEF964" w14:textId="77777777" w:rsidR="00BB2A7B" w:rsidRDefault="00BB2A7B" w:rsidP="003951A6">
      <w:pPr>
        <w:spacing w:line="240" w:lineRule="auto"/>
        <w:jc w:val="both"/>
        <w:rPr>
          <w:rFonts w:cs="Arial"/>
          <w:b/>
          <w:szCs w:val="20"/>
        </w:rPr>
      </w:pPr>
    </w:p>
    <w:p w14:paraId="06440AB0" w14:textId="77777777" w:rsidR="003C4210" w:rsidRPr="003951A6" w:rsidRDefault="003C4210" w:rsidP="003951A6">
      <w:pPr>
        <w:spacing w:line="240" w:lineRule="auto"/>
        <w:jc w:val="both"/>
        <w:rPr>
          <w:rFonts w:cs="Arial"/>
          <w:b/>
          <w:szCs w:val="20"/>
        </w:rPr>
      </w:pPr>
    </w:p>
    <w:p w14:paraId="775869AA" w14:textId="77777777" w:rsidR="00965BD2" w:rsidRPr="00965BD2" w:rsidRDefault="00965BD2" w:rsidP="003951A6">
      <w:pPr>
        <w:spacing w:line="240" w:lineRule="auto"/>
        <w:jc w:val="both"/>
        <w:rPr>
          <w:rFonts w:cs="Arial"/>
          <w:b/>
          <w:bCs/>
          <w:szCs w:val="20"/>
        </w:rPr>
      </w:pPr>
      <w:r w:rsidRPr="00965BD2">
        <w:rPr>
          <w:rFonts w:cs="Arial"/>
          <w:b/>
          <w:bCs/>
          <w:szCs w:val="20"/>
        </w:rPr>
        <w:t>Imenovanju članov sveta javnega zavoda Prirodoslovni muzej Slovenije</w:t>
      </w:r>
    </w:p>
    <w:p w14:paraId="15DAA0B0" w14:textId="77777777" w:rsidR="00965BD2" w:rsidRPr="00965BD2" w:rsidRDefault="00965BD2" w:rsidP="003951A6">
      <w:pPr>
        <w:spacing w:line="240" w:lineRule="auto"/>
        <w:jc w:val="both"/>
        <w:rPr>
          <w:rFonts w:cs="Arial"/>
          <w:b/>
          <w:bCs/>
          <w:szCs w:val="20"/>
        </w:rPr>
      </w:pPr>
    </w:p>
    <w:p w14:paraId="7F533236" w14:textId="77777777" w:rsidR="00965BD2" w:rsidRPr="00965BD2" w:rsidRDefault="00965BD2" w:rsidP="003951A6">
      <w:pPr>
        <w:spacing w:line="240" w:lineRule="auto"/>
        <w:jc w:val="both"/>
        <w:rPr>
          <w:rFonts w:cs="Arial"/>
          <w:szCs w:val="20"/>
        </w:rPr>
      </w:pPr>
      <w:r w:rsidRPr="00965BD2">
        <w:rPr>
          <w:rFonts w:cs="Arial"/>
          <w:szCs w:val="20"/>
        </w:rPr>
        <w:t>Vlada je na današnji seji v svet javnega zavoda Prirodoslovni muzej Slovenije za mandatno dobo štirih let od ustanovitvene seje sveta zavoda, z možnostjo ponovnega imenovanja, kot predstavnike ustanovitelja imenovala:</w:t>
      </w:r>
    </w:p>
    <w:p w14:paraId="35BA3D40" w14:textId="77777777" w:rsidR="00965BD2" w:rsidRPr="00965BD2" w:rsidRDefault="00965BD2" w:rsidP="003951A6">
      <w:pPr>
        <w:spacing w:line="240" w:lineRule="auto"/>
        <w:jc w:val="both"/>
        <w:rPr>
          <w:rFonts w:cs="Arial"/>
          <w:szCs w:val="20"/>
        </w:rPr>
      </w:pPr>
      <w:r w:rsidRPr="00965BD2">
        <w:rPr>
          <w:rFonts w:cs="Arial"/>
          <w:szCs w:val="20"/>
        </w:rPr>
        <w:t>1.            Branka Babiča,</w:t>
      </w:r>
    </w:p>
    <w:p w14:paraId="44CC8F00" w14:textId="77777777" w:rsidR="00965BD2" w:rsidRPr="00965BD2" w:rsidRDefault="00965BD2" w:rsidP="003951A6">
      <w:pPr>
        <w:spacing w:line="240" w:lineRule="auto"/>
        <w:jc w:val="both"/>
        <w:rPr>
          <w:rFonts w:cs="Arial"/>
          <w:szCs w:val="20"/>
        </w:rPr>
      </w:pPr>
      <w:r w:rsidRPr="00965BD2">
        <w:rPr>
          <w:rFonts w:cs="Arial"/>
          <w:szCs w:val="20"/>
        </w:rPr>
        <w:t>2.            dr. Marijo Rogar,</w:t>
      </w:r>
    </w:p>
    <w:p w14:paraId="7696C92A" w14:textId="77777777" w:rsidR="00965BD2" w:rsidRPr="00965BD2" w:rsidRDefault="00965BD2" w:rsidP="003951A6">
      <w:pPr>
        <w:spacing w:line="240" w:lineRule="auto"/>
        <w:jc w:val="both"/>
        <w:rPr>
          <w:rFonts w:cs="Arial"/>
          <w:szCs w:val="20"/>
        </w:rPr>
      </w:pPr>
      <w:r w:rsidRPr="00965BD2">
        <w:rPr>
          <w:rFonts w:cs="Arial"/>
          <w:szCs w:val="20"/>
        </w:rPr>
        <w:t xml:space="preserve">3.           Bogomira </w:t>
      </w:r>
      <w:proofErr w:type="spellStart"/>
      <w:r w:rsidRPr="00965BD2">
        <w:rPr>
          <w:rFonts w:cs="Arial"/>
          <w:szCs w:val="20"/>
        </w:rPr>
        <w:t>Vnučeca</w:t>
      </w:r>
      <w:proofErr w:type="spellEnd"/>
      <w:r w:rsidRPr="00965BD2">
        <w:rPr>
          <w:rFonts w:cs="Arial"/>
          <w:szCs w:val="20"/>
        </w:rPr>
        <w:t xml:space="preserve"> in</w:t>
      </w:r>
    </w:p>
    <w:p w14:paraId="11B04C1E" w14:textId="77777777" w:rsidR="00965BD2" w:rsidRPr="00965BD2" w:rsidRDefault="00965BD2" w:rsidP="003951A6">
      <w:pPr>
        <w:spacing w:line="240" w:lineRule="auto"/>
        <w:jc w:val="both"/>
        <w:rPr>
          <w:rFonts w:cs="Arial"/>
          <w:szCs w:val="20"/>
        </w:rPr>
      </w:pPr>
      <w:r w:rsidRPr="00965BD2">
        <w:rPr>
          <w:rFonts w:cs="Arial"/>
          <w:szCs w:val="20"/>
        </w:rPr>
        <w:t>4.            Simono Zupančič.</w:t>
      </w:r>
    </w:p>
    <w:p w14:paraId="794E2030" w14:textId="77777777" w:rsidR="00965BD2" w:rsidRPr="003951A6" w:rsidRDefault="00965BD2" w:rsidP="003951A6">
      <w:pPr>
        <w:spacing w:line="240" w:lineRule="auto"/>
        <w:jc w:val="both"/>
        <w:rPr>
          <w:rFonts w:cs="Arial"/>
          <w:b/>
          <w:szCs w:val="20"/>
        </w:rPr>
      </w:pPr>
    </w:p>
    <w:p w14:paraId="01CD123F" w14:textId="77777777" w:rsidR="00965BD2" w:rsidRPr="003C4210" w:rsidRDefault="00965BD2" w:rsidP="003951A6">
      <w:pPr>
        <w:spacing w:line="240" w:lineRule="auto"/>
        <w:jc w:val="both"/>
        <w:rPr>
          <w:rFonts w:cs="Arial"/>
          <w:bCs/>
          <w:szCs w:val="20"/>
        </w:rPr>
      </w:pPr>
      <w:r w:rsidRPr="003C4210">
        <w:rPr>
          <w:rFonts w:cs="Arial"/>
          <w:bCs/>
          <w:szCs w:val="20"/>
        </w:rPr>
        <w:t>Vir: Ministrstvo za kulturo</w:t>
      </w:r>
    </w:p>
    <w:p w14:paraId="230151DF" w14:textId="78E26948" w:rsidR="00B75740" w:rsidRDefault="00B75740" w:rsidP="003951A6">
      <w:pPr>
        <w:spacing w:line="240" w:lineRule="auto"/>
        <w:jc w:val="both"/>
        <w:rPr>
          <w:rFonts w:cs="Arial"/>
          <w:b/>
          <w:szCs w:val="20"/>
        </w:rPr>
      </w:pPr>
    </w:p>
    <w:p w14:paraId="20EDF308" w14:textId="77777777" w:rsidR="008D1293" w:rsidRPr="003951A6" w:rsidRDefault="008D1293" w:rsidP="003951A6">
      <w:pPr>
        <w:spacing w:line="240" w:lineRule="auto"/>
        <w:jc w:val="both"/>
        <w:rPr>
          <w:rFonts w:cs="Arial"/>
          <w:b/>
          <w:szCs w:val="20"/>
        </w:rPr>
      </w:pPr>
    </w:p>
    <w:p w14:paraId="39913068" w14:textId="77777777" w:rsidR="00B75740" w:rsidRPr="003951A6" w:rsidRDefault="00B75740" w:rsidP="003951A6">
      <w:pPr>
        <w:spacing w:line="240" w:lineRule="auto"/>
        <w:jc w:val="both"/>
        <w:rPr>
          <w:rFonts w:cs="Arial"/>
          <w:b/>
          <w:szCs w:val="20"/>
        </w:rPr>
      </w:pPr>
    </w:p>
    <w:p w14:paraId="5A3142C0" w14:textId="04AE9B87" w:rsidR="00B75740" w:rsidRPr="003951A6" w:rsidRDefault="00B75740" w:rsidP="003951A6">
      <w:pPr>
        <w:spacing w:line="240" w:lineRule="auto"/>
        <w:jc w:val="both"/>
        <w:rPr>
          <w:rFonts w:cs="Arial"/>
          <w:b/>
          <w:szCs w:val="20"/>
        </w:rPr>
      </w:pPr>
      <w:r w:rsidRPr="003951A6">
        <w:rPr>
          <w:rFonts w:cs="Arial"/>
          <w:b/>
          <w:szCs w:val="20"/>
        </w:rPr>
        <w:lastRenderedPageBreak/>
        <w:t>Imenovanje v svet javnega zavoda Kozjanski park</w:t>
      </w:r>
    </w:p>
    <w:p w14:paraId="2EDA9F6F" w14:textId="77777777" w:rsidR="00B75740" w:rsidRPr="003951A6" w:rsidRDefault="00B75740" w:rsidP="003951A6">
      <w:pPr>
        <w:spacing w:line="240" w:lineRule="auto"/>
        <w:jc w:val="both"/>
        <w:rPr>
          <w:rFonts w:cs="Arial"/>
          <w:szCs w:val="20"/>
        </w:rPr>
      </w:pPr>
    </w:p>
    <w:p w14:paraId="14233D71" w14:textId="77777777" w:rsidR="00B75740" w:rsidRPr="003951A6" w:rsidRDefault="00B75740" w:rsidP="003951A6">
      <w:pPr>
        <w:spacing w:line="240" w:lineRule="auto"/>
        <w:jc w:val="both"/>
        <w:rPr>
          <w:rFonts w:cs="Arial"/>
          <w:szCs w:val="20"/>
        </w:rPr>
      </w:pPr>
      <w:r w:rsidRPr="003951A6">
        <w:rPr>
          <w:rFonts w:cs="Arial"/>
          <w:szCs w:val="20"/>
        </w:rPr>
        <w:t xml:space="preserve">Vlada je v svet javnega zavoda Kozjanski park za mandatno dobo štirih let, in sicer od ustanovitvene seje, z možnostjo ponovnega imenovanja, kot predstavnike ustanovitelja imenuje: </w:t>
      </w:r>
    </w:p>
    <w:p w14:paraId="26F8E2E8" w14:textId="77777777" w:rsidR="00B75740" w:rsidRPr="003951A6" w:rsidRDefault="00B75740" w:rsidP="003951A6">
      <w:pPr>
        <w:pStyle w:val="Odstavekseznama"/>
        <w:numPr>
          <w:ilvl w:val="0"/>
          <w:numId w:val="14"/>
        </w:numPr>
        <w:spacing w:line="240" w:lineRule="auto"/>
        <w:jc w:val="both"/>
        <w:rPr>
          <w:rFonts w:cs="Arial"/>
          <w:szCs w:val="20"/>
        </w:rPr>
      </w:pPr>
      <w:r w:rsidRPr="003951A6">
        <w:rPr>
          <w:rFonts w:cs="Arial"/>
          <w:szCs w:val="20"/>
        </w:rPr>
        <w:t xml:space="preserve">Tomislav </w:t>
      </w:r>
      <w:proofErr w:type="spellStart"/>
      <w:r w:rsidRPr="003951A6">
        <w:rPr>
          <w:rFonts w:cs="Arial"/>
          <w:szCs w:val="20"/>
        </w:rPr>
        <w:t>Laktić</w:t>
      </w:r>
      <w:proofErr w:type="spellEnd"/>
      <w:r w:rsidRPr="003951A6">
        <w:rPr>
          <w:rFonts w:cs="Arial"/>
          <w:szCs w:val="20"/>
        </w:rPr>
        <w:t>, predstavnik Ministrstva za okolje in prostor;</w:t>
      </w:r>
    </w:p>
    <w:p w14:paraId="3525A35E" w14:textId="77777777" w:rsidR="00B75740" w:rsidRPr="003951A6" w:rsidRDefault="00B75740" w:rsidP="003951A6">
      <w:pPr>
        <w:pStyle w:val="Odstavekseznama"/>
        <w:numPr>
          <w:ilvl w:val="0"/>
          <w:numId w:val="14"/>
        </w:numPr>
        <w:spacing w:line="240" w:lineRule="auto"/>
        <w:jc w:val="both"/>
        <w:rPr>
          <w:rFonts w:cs="Arial"/>
          <w:szCs w:val="20"/>
        </w:rPr>
      </w:pPr>
      <w:r w:rsidRPr="003951A6">
        <w:rPr>
          <w:rFonts w:cs="Arial"/>
          <w:szCs w:val="20"/>
        </w:rPr>
        <w:t>Jožefa Užmah, predstavnica Ministrstva za kulturo;</w:t>
      </w:r>
    </w:p>
    <w:p w14:paraId="7FF912C1" w14:textId="77777777" w:rsidR="00B75740" w:rsidRPr="003951A6" w:rsidRDefault="00B75740" w:rsidP="003951A6">
      <w:pPr>
        <w:pStyle w:val="Odstavekseznama"/>
        <w:numPr>
          <w:ilvl w:val="0"/>
          <w:numId w:val="14"/>
        </w:numPr>
        <w:spacing w:line="240" w:lineRule="auto"/>
        <w:jc w:val="both"/>
        <w:rPr>
          <w:rFonts w:cs="Arial"/>
          <w:szCs w:val="20"/>
        </w:rPr>
      </w:pPr>
      <w:r w:rsidRPr="003951A6">
        <w:rPr>
          <w:rFonts w:cs="Arial"/>
          <w:szCs w:val="20"/>
        </w:rPr>
        <w:t>Polonca Drofenik, predstavnica Ministrstva za kmetijstvo, gozdarstvo in prehrano;</w:t>
      </w:r>
    </w:p>
    <w:p w14:paraId="11516C81" w14:textId="77777777" w:rsidR="00B75740" w:rsidRPr="003951A6" w:rsidRDefault="00B75740" w:rsidP="003951A6">
      <w:pPr>
        <w:pStyle w:val="Odstavekseznama"/>
        <w:numPr>
          <w:ilvl w:val="0"/>
          <w:numId w:val="14"/>
        </w:numPr>
        <w:spacing w:line="240" w:lineRule="auto"/>
        <w:jc w:val="both"/>
        <w:rPr>
          <w:rFonts w:cs="Arial"/>
          <w:szCs w:val="20"/>
        </w:rPr>
      </w:pPr>
      <w:r w:rsidRPr="003951A6">
        <w:rPr>
          <w:rFonts w:cs="Arial"/>
          <w:szCs w:val="20"/>
        </w:rPr>
        <w:t xml:space="preserve">Gabrijela Jerič </w:t>
      </w:r>
      <w:proofErr w:type="spellStart"/>
      <w:r w:rsidRPr="003951A6">
        <w:rPr>
          <w:rFonts w:cs="Arial"/>
          <w:szCs w:val="20"/>
        </w:rPr>
        <w:t>Jevšenak</w:t>
      </w:r>
      <w:proofErr w:type="spellEnd"/>
      <w:r w:rsidRPr="003951A6">
        <w:rPr>
          <w:rFonts w:cs="Arial"/>
          <w:szCs w:val="20"/>
        </w:rPr>
        <w:t>, predstavnica Ministrstva za gospodarski razvoj in tehnologijo;</w:t>
      </w:r>
    </w:p>
    <w:p w14:paraId="7BBC4409" w14:textId="77777777" w:rsidR="00B75740" w:rsidRPr="003951A6" w:rsidRDefault="00B75740" w:rsidP="003951A6">
      <w:pPr>
        <w:pStyle w:val="Odstavekseznama"/>
        <w:numPr>
          <w:ilvl w:val="0"/>
          <w:numId w:val="14"/>
        </w:numPr>
        <w:spacing w:line="240" w:lineRule="auto"/>
        <w:jc w:val="both"/>
        <w:rPr>
          <w:rFonts w:cs="Arial"/>
          <w:szCs w:val="20"/>
        </w:rPr>
      </w:pPr>
      <w:r w:rsidRPr="003951A6">
        <w:rPr>
          <w:rFonts w:cs="Arial"/>
          <w:szCs w:val="20"/>
        </w:rPr>
        <w:t>Danica Cerar, predstavnica Ministrstva za izobraževanje, znanost in šport.</w:t>
      </w:r>
    </w:p>
    <w:p w14:paraId="008B0FCC" w14:textId="77777777" w:rsidR="00B75740" w:rsidRPr="003951A6" w:rsidRDefault="00B75740" w:rsidP="003951A6">
      <w:pPr>
        <w:spacing w:line="240" w:lineRule="auto"/>
        <w:jc w:val="both"/>
        <w:rPr>
          <w:rFonts w:cs="Arial"/>
          <w:szCs w:val="20"/>
        </w:rPr>
      </w:pPr>
    </w:p>
    <w:p w14:paraId="71E9C8C4" w14:textId="77777777" w:rsidR="00B75740" w:rsidRPr="003951A6" w:rsidRDefault="00B75740" w:rsidP="003951A6">
      <w:pPr>
        <w:spacing w:line="240" w:lineRule="auto"/>
        <w:jc w:val="both"/>
        <w:rPr>
          <w:rFonts w:cs="Arial"/>
          <w:szCs w:val="20"/>
        </w:rPr>
      </w:pPr>
      <w:r w:rsidRPr="003951A6">
        <w:rPr>
          <w:rFonts w:cs="Arial"/>
          <w:szCs w:val="20"/>
        </w:rPr>
        <w:t xml:space="preserve">Članom sveta se bo mandat iztekel, zato je Ministrstvo za okolje in prostor pridobilo predloge za imenovanje novih članov v svet zavoda s strani vseh pristojnih ministrstev. </w:t>
      </w:r>
    </w:p>
    <w:p w14:paraId="63D71F31" w14:textId="77777777" w:rsidR="003C4210" w:rsidRDefault="003C4210" w:rsidP="003951A6">
      <w:pPr>
        <w:autoSpaceDE w:val="0"/>
        <w:autoSpaceDN w:val="0"/>
        <w:adjustRightInd w:val="0"/>
        <w:spacing w:line="240" w:lineRule="auto"/>
        <w:jc w:val="both"/>
        <w:rPr>
          <w:rFonts w:cs="Arial"/>
          <w:b/>
          <w:bCs/>
          <w:color w:val="000000"/>
          <w:szCs w:val="20"/>
        </w:rPr>
      </w:pPr>
    </w:p>
    <w:p w14:paraId="1EED97A6" w14:textId="7B5AC226" w:rsidR="00B75740" w:rsidRPr="003C4210" w:rsidRDefault="00B75740" w:rsidP="003951A6">
      <w:pPr>
        <w:autoSpaceDE w:val="0"/>
        <w:autoSpaceDN w:val="0"/>
        <w:adjustRightInd w:val="0"/>
        <w:spacing w:line="240" w:lineRule="auto"/>
        <w:jc w:val="both"/>
        <w:rPr>
          <w:rFonts w:cs="Arial"/>
          <w:color w:val="000000"/>
          <w:szCs w:val="20"/>
        </w:rPr>
      </w:pPr>
      <w:r w:rsidRPr="003C4210">
        <w:rPr>
          <w:rFonts w:cs="Arial"/>
          <w:color w:val="000000"/>
          <w:szCs w:val="20"/>
        </w:rPr>
        <w:t>Vir: Ministrstvo za okolje in prostor</w:t>
      </w:r>
    </w:p>
    <w:p w14:paraId="30C8083B" w14:textId="77777777" w:rsidR="00B75740" w:rsidRPr="003951A6" w:rsidRDefault="00B75740" w:rsidP="003951A6">
      <w:pPr>
        <w:spacing w:line="240" w:lineRule="auto"/>
        <w:jc w:val="both"/>
        <w:rPr>
          <w:rFonts w:cs="Arial"/>
          <w:szCs w:val="20"/>
        </w:rPr>
      </w:pPr>
    </w:p>
    <w:p w14:paraId="04F09C93" w14:textId="77777777" w:rsidR="00B75740" w:rsidRPr="003951A6" w:rsidRDefault="00B75740" w:rsidP="003951A6">
      <w:pPr>
        <w:spacing w:line="240" w:lineRule="auto"/>
        <w:jc w:val="both"/>
        <w:rPr>
          <w:rFonts w:cs="Arial"/>
          <w:szCs w:val="20"/>
        </w:rPr>
      </w:pPr>
    </w:p>
    <w:p w14:paraId="0143B28B" w14:textId="0D6F14F8" w:rsidR="005634B6" w:rsidRPr="003951A6" w:rsidRDefault="005634B6" w:rsidP="003951A6">
      <w:pPr>
        <w:pStyle w:val="Neotevilenodstavek"/>
        <w:spacing w:before="0" w:after="0" w:line="240" w:lineRule="auto"/>
        <w:rPr>
          <w:b/>
          <w:bCs/>
          <w:sz w:val="20"/>
          <w:szCs w:val="20"/>
        </w:rPr>
      </w:pPr>
      <w:r w:rsidRPr="003951A6">
        <w:rPr>
          <w:b/>
          <w:bCs/>
          <w:sz w:val="20"/>
          <w:szCs w:val="20"/>
        </w:rPr>
        <w:t>Vlada dala soglasje k imenovanju direktorice javnega zdravstvenega zavoda Psihiatrične bolnišnice Idrija</w:t>
      </w:r>
    </w:p>
    <w:p w14:paraId="1D252B02" w14:textId="77777777" w:rsidR="005634B6" w:rsidRPr="003951A6" w:rsidRDefault="005634B6" w:rsidP="003951A6">
      <w:pPr>
        <w:pStyle w:val="Neotevilenodstavek"/>
        <w:spacing w:before="0" w:after="0" w:line="240" w:lineRule="auto"/>
        <w:rPr>
          <w:b/>
          <w:bCs/>
          <w:sz w:val="20"/>
          <w:szCs w:val="20"/>
        </w:rPr>
      </w:pPr>
    </w:p>
    <w:p w14:paraId="35EF9B29" w14:textId="5EEE79DA" w:rsidR="005634B6" w:rsidRPr="003951A6" w:rsidRDefault="005634B6" w:rsidP="003951A6">
      <w:pPr>
        <w:overflowPunct w:val="0"/>
        <w:autoSpaceDE w:val="0"/>
        <w:autoSpaceDN w:val="0"/>
        <w:adjustRightInd w:val="0"/>
        <w:spacing w:line="240" w:lineRule="auto"/>
        <w:jc w:val="both"/>
        <w:textAlignment w:val="baseline"/>
        <w:rPr>
          <w:rFonts w:cs="Arial"/>
          <w:iCs/>
          <w:szCs w:val="20"/>
          <w:lang w:eastAsia="sl-SI"/>
        </w:rPr>
      </w:pPr>
      <w:r w:rsidRPr="003951A6">
        <w:rPr>
          <w:rFonts w:cs="Arial"/>
          <w:iCs/>
          <w:szCs w:val="20"/>
          <w:lang w:eastAsia="sl-SI"/>
        </w:rPr>
        <w:t xml:space="preserve">Vlada je dala soglasje k imenovanju mag. Klavdije </w:t>
      </w:r>
      <w:proofErr w:type="spellStart"/>
      <w:r w:rsidRPr="003951A6">
        <w:rPr>
          <w:rFonts w:cs="Arial"/>
          <w:iCs/>
          <w:szCs w:val="20"/>
          <w:lang w:eastAsia="sl-SI"/>
        </w:rPr>
        <w:t>Širaj</w:t>
      </w:r>
      <w:proofErr w:type="spellEnd"/>
      <w:r w:rsidRPr="003951A6">
        <w:rPr>
          <w:rFonts w:cs="Arial"/>
          <w:iCs/>
          <w:szCs w:val="20"/>
          <w:lang w:eastAsia="sl-SI"/>
        </w:rPr>
        <w:t xml:space="preserve"> Mažgon za direktorico javnega zdravstvenega zavoda Psihiatrične bolnišnice Idrija, za mandatno dobo štirih let. </w:t>
      </w:r>
    </w:p>
    <w:p w14:paraId="222CD6B8" w14:textId="77777777" w:rsidR="005634B6" w:rsidRPr="003951A6" w:rsidRDefault="005634B6" w:rsidP="003951A6">
      <w:pPr>
        <w:spacing w:line="240" w:lineRule="auto"/>
        <w:jc w:val="both"/>
        <w:rPr>
          <w:rFonts w:cs="Arial"/>
          <w:szCs w:val="20"/>
          <w:lang w:eastAsia="sl-SI"/>
        </w:rPr>
      </w:pPr>
    </w:p>
    <w:p w14:paraId="5C81F93E" w14:textId="644C4EC1" w:rsidR="005634B6" w:rsidRPr="003C4210" w:rsidRDefault="005634B6" w:rsidP="003951A6">
      <w:pPr>
        <w:autoSpaceDE w:val="0"/>
        <w:autoSpaceDN w:val="0"/>
        <w:adjustRightInd w:val="0"/>
        <w:spacing w:line="240" w:lineRule="auto"/>
        <w:jc w:val="both"/>
        <w:rPr>
          <w:rFonts w:cs="Arial"/>
          <w:color w:val="000000"/>
          <w:szCs w:val="20"/>
        </w:rPr>
      </w:pPr>
      <w:r w:rsidRPr="003C4210">
        <w:rPr>
          <w:rFonts w:cs="Arial"/>
          <w:color w:val="000000"/>
          <w:szCs w:val="20"/>
        </w:rPr>
        <w:t>Vir: Ministrstvo za zdravje</w:t>
      </w:r>
    </w:p>
    <w:p w14:paraId="5E761F19" w14:textId="7DC59A1A" w:rsidR="005634B6" w:rsidRDefault="005634B6" w:rsidP="003951A6">
      <w:pPr>
        <w:autoSpaceDE w:val="0"/>
        <w:autoSpaceDN w:val="0"/>
        <w:adjustRightInd w:val="0"/>
        <w:spacing w:line="240" w:lineRule="auto"/>
        <w:jc w:val="both"/>
        <w:rPr>
          <w:rFonts w:cs="Arial"/>
          <w:b/>
          <w:bCs/>
          <w:color w:val="000000"/>
          <w:szCs w:val="20"/>
        </w:rPr>
      </w:pPr>
    </w:p>
    <w:p w14:paraId="20B5C598" w14:textId="77777777" w:rsidR="003C4210" w:rsidRPr="003951A6" w:rsidRDefault="003C4210" w:rsidP="003951A6">
      <w:pPr>
        <w:autoSpaceDE w:val="0"/>
        <w:autoSpaceDN w:val="0"/>
        <w:adjustRightInd w:val="0"/>
        <w:spacing w:line="240" w:lineRule="auto"/>
        <w:jc w:val="both"/>
        <w:rPr>
          <w:rFonts w:cs="Arial"/>
          <w:b/>
          <w:bCs/>
          <w:color w:val="000000"/>
          <w:szCs w:val="20"/>
        </w:rPr>
      </w:pPr>
    </w:p>
    <w:p w14:paraId="78F38FF4" w14:textId="77777777" w:rsidR="005634B6" w:rsidRPr="003951A6" w:rsidRDefault="005634B6" w:rsidP="003951A6">
      <w:pPr>
        <w:pStyle w:val="Neotevilenodstavek"/>
        <w:spacing w:before="0" w:after="0" w:line="240" w:lineRule="auto"/>
        <w:rPr>
          <w:b/>
          <w:bCs/>
          <w:sz w:val="20"/>
          <w:szCs w:val="20"/>
        </w:rPr>
      </w:pPr>
      <w:r w:rsidRPr="003951A6">
        <w:rPr>
          <w:b/>
          <w:bCs/>
          <w:sz w:val="20"/>
          <w:szCs w:val="20"/>
        </w:rPr>
        <w:t>Vlada dala soglasje k imenovanju generalnega direktorja javnega zdravstvenega zavoda Univerzitetnega rehabilitacijskega inštituta Republike Slovenije - Soča</w:t>
      </w:r>
    </w:p>
    <w:p w14:paraId="32E68245" w14:textId="77777777" w:rsidR="005634B6" w:rsidRPr="003951A6" w:rsidRDefault="005634B6" w:rsidP="003951A6">
      <w:pPr>
        <w:pStyle w:val="Neotevilenodstavek"/>
        <w:spacing w:before="0" w:after="0" w:line="240" w:lineRule="auto"/>
        <w:rPr>
          <w:b/>
          <w:bCs/>
          <w:sz w:val="20"/>
          <w:szCs w:val="20"/>
        </w:rPr>
      </w:pPr>
    </w:p>
    <w:p w14:paraId="50206A01" w14:textId="09BC96AA" w:rsidR="005634B6" w:rsidRPr="003951A6" w:rsidRDefault="005634B6" w:rsidP="003951A6">
      <w:pPr>
        <w:overflowPunct w:val="0"/>
        <w:autoSpaceDE w:val="0"/>
        <w:autoSpaceDN w:val="0"/>
        <w:adjustRightInd w:val="0"/>
        <w:spacing w:line="240" w:lineRule="auto"/>
        <w:jc w:val="both"/>
        <w:textAlignment w:val="baseline"/>
        <w:rPr>
          <w:rFonts w:cs="Arial"/>
          <w:iCs/>
          <w:szCs w:val="20"/>
          <w:lang w:eastAsia="sl-SI"/>
        </w:rPr>
      </w:pPr>
      <w:r w:rsidRPr="003951A6">
        <w:rPr>
          <w:rFonts w:cs="Arial"/>
          <w:iCs/>
          <w:szCs w:val="20"/>
          <w:lang w:eastAsia="sl-SI"/>
        </w:rPr>
        <w:t>Vlada je dala soglasje k imenovanju dr. Zvoneta Čadeža za generalnega direktorja javnega zdravstvenega zavoda Univerzitetnega rehabilitacijskega inštituta Republike Slovenije - Soča, za mandatno dobo štirih let.</w:t>
      </w:r>
    </w:p>
    <w:p w14:paraId="068F9982" w14:textId="77777777" w:rsidR="005634B6" w:rsidRPr="003951A6" w:rsidRDefault="005634B6" w:rsidP="003951A6">
      <w:pPr>
        <w:spacing w:line="240" w:lineRule="auto"/>
        <w:jc w:val="both"/>
        <w:rPr>
          <w:rFonts w:cs="Arial"/>
          <w:szCs w:val="20"/>
          <w:lang w:eastAsia="sl-SI"/>
        </w:rPr>
      </w:pPr>
    </w:p>
    <w:p w14:paraId="5CFBB5E3" w14:textId="77777777" w:rsidR="005634B6" w:rsidRPr="003C4210" w:rsidRDefault="005634B6" w:rsidP="003951A6">
      <w:pPr>
        <w:autoSpaceDE w:val="0"/>
        <w:autoSpaceDN w:val="0"/>
        <w:adjustRightInd w:val="0"/>
        <w:spacing w:line="240" w:lineRule="auto"/>
        <w:jc w:val="both"/>
        <w:rPr>
          <w:rFonts w:cs="Arial"/>
          <w:color w:val="000000"/>
          <w:szCs w:val="20"/>
        </w:rPr>
      </w:pPr>
      <w:r w:rsidRPr="003C4210">
        <w:rPr>
          <w:rFonts w:cs="Arial"/>
          <w:color w:val="000000"/>
          <w:szCs w:val="20"/>
        </w:rPr>
        <w:t>Vir: Ministrstvo za zdravje</w:t>
      </w:r>
    </w:p>
    <w:p w14:paraId="69CD02DC" w14:textId="279436ED" w:rsidR="005634B6" w:rsidRPr="003951A6" w:rsidRDefault="005634B6" w:rsidP="003951A6">
      <w:pPr>
        <w:autoSpaceDE w:val="0"/>
        <w:autoSpaceDN w:val="0"/>
        <w:adjustRightInd w:val="0"/>
        <w:spacing w:line="240" w:lineRule="auto"/>
        <w:jc w:val="both"/>
        <w:rPr>
          <w:rFonts w:cs="Arial"/>
          <w:b/>
          <w:bCs/>
          <w:color w:val="000000"/>
          <w:szCs w:val="20"/>
        </w:rPr>
      </w:pPr>
    </w:p>
    <w:p w14:paraId="7C0BEE99" w14:textId="70CD4EE0" w:rsidR="005634B6" w:rsidRPr="003951A6" w:rsidRDefault="005634B6" w:rsidP="003951A6">
      <w:pPr>
        <w:autoSpaceDE w:val="0"/>
        <w:autoSpaceDN w:val="0"/>
        <w:adjustRightInd w:val="0"/>
        <w:spacing w:line="240" w:lineRule="auto"/>
        <w:jc w:val="both"/>
        <w:rPr>
          <w:rFonts w:cs="Arial"/>
          <w:b/>
          <w:bCs/>
          <w:color w:val="000000"/>
          <w:szCs w:val="20"/>
        </w:rPr>
      </w:pPr>
    </w:p>
    <w:p w14:paraId="3AFCE345" w14:textId="77777777" w:rsidR="005634B6" w:rsidRPr="003951A6" w:rsidRDefault="005634B6" w:rsidP="003951A6">
      <w:pPr>
        <w:pStyle w:val="Neotevilenodstavek"/>
        <w:spacing w:before="0" w:after="0" w:line="240" w:lineRule="auto"/>
        <w:rPr>
          <w:b/>
          <w:bCs/>
          <w:sz w:val="20"/>
          <w:szCs w:val="20"/>
        </w:rPr>
      </w:pPr>
      <w:r w:rsidRPr="003951A6">
        <w:rPr>
          <w:b/>
          <w:bCs/>
          <w:sz w:val="20"/>
          <w:szCs w:val="20"/>
        </w:rPr>
        <w:t>Vlada dala soglasje k imenovanju direktorja javnega zdravstvenega zavoda Splošne bolnišnice Celje</w:t>
      </w:r>
    </w:p>
    <w:p w14:paraId="12A7ADD4" w14:textId="77777777" w:rsidR="005634B6" w:rsidRPr="003951A6" w:rsidRDefault="005634B6" w:rsidP="003951A6">
      <w:pPr>
        <w:pStyle w:val="Neotevilenodstavek"/>
        <w:spacing w:before="0" w:after="0" w:line="240" w:lineRule="auto"/>
        <w:rPr>
          <w:b/>
          <w:bCs/>
          <w:sz w:val="20"/>
          <w:szCs w:val="20"/>
        </w:rPr>
      </w:pPr>
    </w:p>
    <w:p w14:paraId="45C456BC" w14:textId="22ECA05F" w:rsidR="005634B6" w:rsidRPr="003951A6" w:rsidRDefault="005634B6" w:rsidP="003951A6">
      <w:pPr>
        <w:overflowPunct w:val="0"/>
        <w:autoSpaceDE w:val="0"/>
        <w:autoSpaceDN w:val="0"/>
        <w:adjustRightInd w:val="0"/>
        <w:spacing w:line="240" w:lineRule="auto"/>
        <w:jc w:val="both"/>
        <w:textAlignment w:val="baseline"/>
        <w:rPr>
          <w:rFonts w:cs="Arial"/>
          <w:iCs/>
          <w:szCs w:val="20"/>
          <w:lang w:eastAsia="sl-SI"/>
        </w:rPr>
      </w:pPr>
      <w:r w:rsidRPr="003951A6">
        <w:rPr>
          <w:rFonts w:cs="Arial"/>
          <w:iCs/>
          <w:szCs w:val="20"/>
          <w:lang w:eastAsia="sl-SI"/>
        </w:rPr>
        <w:t xml:space="preserve">Vlada je dala soglasje k imenovanju Aleksandra Svetelška za direktorja javnega zdravstvenega zavoda Splošne bolnišnice Celje, za mandatno dobo štirih let. </w:t>
      </w:r>
    </w:p>
    <w:p w14:paraId="18405765" w14:textId="77777777" w:rsidR="005634B6" w:rsidRPr="003951A6" w:rsidRDefault="005634B6" w:rsidP="003951A6">
      <w:pPr>
        <w:overflowPunct w:val="0"/>
        <w:autoSpaceDE w:val="0"/>
        <w:autoSpaceDN w:val="0"/>
        <w:adjustRightInd w:val="0"/>
        <w:spacing w:line="240" w:lineRule="auto"/>
        <w:jc w:val="both"/>
        <w:textAlignment w:val="baseline"/>
        <w:rPr>
          <w:rFonts w:cs="Arial"/>
          <w:iCs/>
          <w:szCs w:val="20"/>
          <w:lang w:eastAsia="sl-SI"/>
        </w:rPr>
      </w:pPr>
    </w:p>
    <w:p w14:paraId="2009A8C2" w14:textId="019D3863" w:rsidR="005634B6" w:rsidRDefault="005634B6" w:rsidP="003951A6">
      <w:pPr>
        <w:autoSpaceDE w:val="0"/>
        <w:autoSpaceDN w:val="0"/>
        <w:adjustRightInd w:val="0"/>
        <w:spacing w:line="240" w:lineRule="auto"/>
        <w:jc w:val="both"/>
        <w:rPr>
          <w:rFonts w:cs="Arial"/>
          <w:color w:val="000000"/>
          <w:szCs w:val="20"/>
        </w:rPr>
      </w:pPr>
      <w:r w:rsidRPr="003C4210">
        <w:rPr>
          <w:rFonts w:cs="Arial"/>
          <w:color w:val="000000"/>
          <w:szCs w:val="20"/>
        </w:rPr>
        <w:t>Vir: Ministrstvo za zdravje</w:t>
      </w:r>
    </w:p>
    <w:p w14:paraId="19A221A0" w14:textId="77777777" w:rsidR="00BB2A7B" w:rsidRDefault="00BB2A7B" w:rsidP="00AE3A50">
      <w:pPr>
        <w:tabs>
          <w:tab w:val="left" w:pos="1701"/>
        </w:tabs>
        <w:autoSpaceDE w:val="0"/>
        <w:autoSpaceDN w:val="0"/>
        <w:adjustRightInd w:val="0"/>
        <w:spacing w:after="240" w:line="240" w:lineRule="auto"/>
        <w:jc w:val="both"/>
        <w:rPr>
          <w:rFonts w:cs="Arial"/>
          <w:b/>
          <w:bCs/>
          <w:lang w:eastAsia="sl-SI"/>
        </w:rPr>
      </w:pPr>
    </w:p>
    <w:p w14:paraId="348B00EE" w14:textId="59CA9BAA" w:rsidR="00AE3A50" w:rsidRDefault="00AE3A50" w:rsidP="00AE3A50">
      <w:pPr>
        <w:tabs>
          <w:tab w:val="left" w:pos="1701"/>
        </w:tabs>
        <w:autoSpaceDE w:val="0"/>
        <w:autoSpaceDN w:val="0"/>
        <w:adjustRightInd w:val="0"/>
        <w:spacing w:after="240" w:line="240" w:lineRule="auto"/>
        <w:jc w:val="both"/>
        <w:rPr>
          <w:rFonts w:cs="Arial"/>
          <w:b/>
          <w:bCs/>
          <w:lang w:eastAsia="sl-SI"/>
        </w:rPr>
      </w:pPr>
      <w:r>
        <w:rPr>
          <w:rFonts w:cs="Arial"/>
          <w:b/>
          <w:bCs/>
          <w:lang w:eastAsia="sl-SI"/>
        </w:rPr>
        <w:t>Razrešitev članice in imenovanje člana Upravnega odbora Univerze na Primorskem</w:t>
      </w:r>
    </w:p>
    <w:p w14:paraId="53AF7696" w14:textId="627FE945" w:rsidR="00AE3A50" w:rsidRPr="00C80B45" w:rsidRDefault="00AE3A50" w:rsidP="00AE3A50">
      <w:pPr>
        <w:spacing w:line="240" w:lineRule="atLeast"/>
        <w:jc w:val="both"/>
        <w:rPr>
          <w:rFonts w:cs="Arial"/>
        </w:rPr>
      </w:pPr>
      <w:r w:rsidRPr="00C80B45">
        <w:rPr>
          <w:rFonts w:cs="Arial"/>
        </w:rPr>
        <w:t xml:space="preserve">Vlada je na dopisni seji razrešila članico </w:t>
      </w:r>
      <w:r>
        <w:rPr>
          <w:rFonts w:cs="Arial"/>
        </w:rPr>
        <w:t>U</w:t>
      </w:r>
      <w:r w:rsidRPr="00C80B45">
        <w:rPr>
          <w:rFonts w:cs="Arial"/>
        </w:rPr>
        <w:t xml:space="preserve">pravnega odbora Univerze na Primorskem, dr. Erno Štefe, ki je bila v upravnem odboru predstavnica ustanovitelja. Namesto nje je imenovala nadomestnega člana, mag. Borisa </w:t>
      </w:r>
      <w:proofErr w:type="spellStart"/>
      <w:r w:rsidRPr="00C80B45">
        <w:rPr>
          <w:rFonts w:cs="Arial"/>
        </w:rPr>
        <w:t>Munišiča</w:t>
      </w:r>
      <w:proofErr w:type="spellEnd"/>
      <w:r w:rsidRPr="00C80B45">
        <w:rPr>
          <w:rFonts w:cs="Arial"/>
        </w:rPr>
        <w:t xml:space="preserve">, in sicer do izteka mandata Upravnega odbora Univerze na Primorskem, to je do 4. decembra 2023. </w:t>
      </w:r>
    </w:p>
    <w:p w14:paraId="61FCA677" w14:textId="7CB32C1A" w:rsidR="00AE3A50" w:rsidRDefault="00AE3A50" w:rsidP="003951A6">
      <w:pPr>
        <w:autoSpaceDE w:val="0"/>
        <w:autoSpaceDN w:val="0"/>
        <w:adjustRightInd w:val="0"/>
        <w:spacing w:line="240" w:lineRule="auto"/>
        <w:jc w:val="both"/>
        <w:rPr>
          <w:rFonts w:cs="Arial"/>
          <w:color w:val="000000"/>
          <w:szCs w:val="20"/>
        </w:rPr>
      </w:pPr>
    </w:p>
    <w:p w14:paraId="00AFDE81" w14:textId="109EF92F" w:rsidR="00AE3A50" w:rsidRPr="003C4210" w:rsidRDefault="00AE3A50" w:rsidP="003951A6">
      <w:pPr>
        <w:autoSpaceDE w:val="0"/>
        <w:autoSpaceDN w:val="0"/>
        <w:adjustRightInd w:val="0"/>
        <w:spacing w:line="240" w:lineRule="auto"/>
        <w:jc w:val="both"/>
        <w:rPr>
          <w:rFonts w:cs="Arial"/>
          <w:color w:val="000000"/>
          <w:szCs w:val="20"/>
        </w:rPr>
      </w:pPr>
      <w:r>
        <w:rPr>
          <w:rFonts w:cs="Arial"/>
          <w:color w:val="000000"/>
          <w:szCs w:val="20"/>
        </w:rPr>
        <w:t>Vir: Ministrstvo za izobraževanje, znanost in šport</w:t>
      </w:r>
    </w:p>
    <w:p w14:paraId="77658326" w14:textId="1D158611" w:rsidR="005634B6" w:rsidRDefault="005634B6" w:rsidP="003951A6">
      <w:pPr>
        <w:spacing w:line="240" w:lineRule="auto"/>
        <w:jc w:val="both"/>
        <w:rPr>
          <w:rFonts w:cs="Arial"/>
          <w:szCs w:val="20"/>
          <w:lang w:eastAsia="sl-SI"/>
        </w:rPr>
      </w:pPr>
    </w:p>
    <w:p w14:paraId="5DC4F478" w14:textId="77777777" w:rsidR="00D43CDC" w:rsidRPr="003951A6" w:rsidRDefault="00D43CDC" w:rsidP="003951A6">
      <w:pPr>
        <w:spacing w:line="240" w:lineRule="auto"/>
        <w:jc w:val="both"/>
        <w:rPr>
          <w:rFonts w:cs="Arial"/>
          <w:szCs w:val="20"/>
          <w:lang w:eastAsia="sl-SI"/>
        </w:rPr>
      </w:pPr>
    </w:p>
    <w:p w14:paraId="3BED0AD9" w14:textId="77777777" w:rsidR="004F0BBD" w:rsidRDefault="004F0BBD" w:rsidP="008D1293">
      <w:pPr>
        <w:spacing w:line="240" w:lineRule="auto"/>
        <w:jc w:val="both"/>
        <w:rPr>
          <w:rFonts w:cs="Arial"/>
          <w:b/>
          <w:szCs w:val="20"/>
        </w:rPr>
      </w:pPr>
      <w:r w:rsidRPr="00476169">
        <w:rPr>
          <w:b/>
          <w:iCs/>
          <w:szCs w:val="20"/>
        </w:rPr>
        <w:t xml:space="preserve">Sklep o </w:t>
      </w:r>
      <w:r>
        <w:rPr>
          <w:b/>
          <w:iCs/>
          <w:szCs w:val="20"/>
        </w:rPr>
        <w:t>ustanovitvi</w:t>
      </w:r>
      <w:r w:rsidRPr="00476169">
        <w:rPr>
          <w:b/>
          <w:iCs/>
          <w:szCs w:val="20"/>
        </w:rPr>
        <w:t xml:space="preserve"> Delovne skupine vlade za pripravo </w:t>
      </w:r>
      <w:r>
        <w:rPr>
          <w:b/>
          <w:iCs/>
          <w:szCs w:val="20"/>
        </w:rPr>
        <w:t xml:space="preserve">osnutka </w:t>
      </w:r>
      <w:r w:rsidRPr="00476169">
        <w:rPr>
          <w:b/>
          <w:iCs/>
          <w:szCs w:val="20"/>
        </w:rPr>
        <w:t>akcijsk</w:t>
      </w:r>
      <w:r>
        <w:rPr>
          <w:b/>
          <w:iCs/>
          <w:szCs w:val="20"/>
        </w:rPr>
        <w:t>ega</w:t>
      </w:r>
      <w:r w:rsidRPr="00476169">
        <w:rPr>
          <w:b/>
          <w:iCs/>
          <w:szCs w:val="20"/>
        </w:rPr>
        <w:t xml:space="preserve"> načrt</w:t>
      </w:r>
      <w:r>
        <w:rPr>
          <w:b/>
          <w:iCs/>
          <w:szCs w:val="20"/>
        </w:rPr>
        <w:t>a</w:t>
      </w:r>
      <w:r w:rsidRPr="00476169">
        <w:rPr>
          <w:b/>
          <w:iCs/>
          <w:szCs w:val="20"/>
        </w:rPr>
        <w:t xml:space="preserve"> za manj izgub hrane in odpadne hrane v verigi preskrbe s hrano </w:t>
      </w:r>
      <w:r w:rsidRPr="00476169">
        <w:rPr>
          <w:rFonts w:cs="Arial"/>
          <w:b/>
          <w:szCs w:val="20"/>
        </w:rPr>
        <w:t xml:space="preserve"> </w:t>
      </w:r>
    </w:p>
    <w:p w14:paraId="0FC5FC67" w14:textId="77777777" w:rsidR="004F0BBD" w:rsidRDefault="004F0BBD" w:rsidP="008D1293">
      <w:pPr>
        <w:spacing w:line="240" w:lineRule="auto"/>
        <w:jc w:val="both"/>
        <w:rPr>
          <w:rFonts w:cs="Arial"/>
          <w:b/>
          <w:szCs w:val="20"/>
        </w:rPr>
      </w:pPr>
    </w:p>
    <w:p w14:paraId="3757C367" w14:textId="77777777" w:rsidR="004F0BBD" w:rsidRDefault="004F0BBD" w:rsidP="008D1293">
      <w:pPr>
        <w:spacing w:line="240" w:lineRule="auto"/>
        <w:jc w:val="both"/>
        <w:rPr>
          <w:rFonts w:cs="Arial"/>
          <w:szCs w:val="20"/>
        </w:rPr>
      </w:pPr>
      <w:r w:rsidRPr="00AC72CD">
        <w:rPr>
          <w:rFonts w:cs="Arial"/>
          <w:szCs w:val="20"/>
        </w:rPr>
        <w:t xml:space="preserve">Vlada je na današnji dopisni seji </w:t>
      </w:r>
      <w:r>
        <w:rPr>
          <w:rFonts w:cs="Arial"/>
          <w:szCs w:val="20"/>
        </w:rPr>
        <w:t xml:space="preserve">sprejela Sklep </w:t>
      </w:r>
      <w:r w:rsidRPr="002B2414">
        <w:rPr>
          <w:rFonts w:cs="Arial"/>
          <w:szCs w:val="20"/>
        </w:rPr>
        <w:t>o ustanovitvi Delovne skupine vlade za pripravo osnutka akcijskega načrta za manj izgub hrane in odpadne h</w:t>
      </w:r>
      <w:r>
        <w:rPr>
          <w:rFonts w:cs="Arial"/>
          <w:szCs w:val="20"/>
        </w:rPr>
        <w:t>rane v verigi preskrbe s hrano.</w:t>
      </w:r>
    </w:p>
    <w:p w14:paraId="3CF01B16" w14:textId="77777777" w:rsidR="004F0BBD" w:rsidRDefault="004F0BBD" w:rsidP="008D1293">
      <w:pPr>
        <w:spacing w:line="240" w:lineRule="auto"/>
        <w:jc w:val="both"/>
        <w:rPr>
          <w:rFonts w:cs="Arial"/>
          <w:szCs w:val="20"/>
        </w:rPr>
      </w:pPr>
    </w:p>
    <w:p w14:paraId="624BFE92" w14:textId="77777777" w:rsidR="004F0BBD" w:rsidRPr="002B2414" w:rsidRDefault="004F0BBD" w:rsidP="008D1293">
      <w:pPr>
        <w:spacing w:line="240" w:lineRule="auto"/>
        <w:jc w:val="both"/>
        <w:rPr>
          <w:rFonts w:cs="Arial"/>
          <w:szCs w:val="20"/>
        </w:rPr>
      </w:pPr>
      <w:r w:rsidRPr="002B2414">
        <w:rPr>
          <w:rFonts w:cs="Arial"/>
          <w:szCs w:val="20"/>
        </w:rPr>
        <w:lastRenderedPageBreak/>
        <w:t>Sklep o ustanovitvi Delovne skupine vlade za pripravo osnutka akcijskega načrta za manj izgub hrane in odpadne h</w:t>
      </w:r>
      <w:r>
        <w:rPr>
          <w:rFonts w:cs="Arial"/>
          <w:szCs w:val="20"/>
        </w:rPr>
        <w:t>rane v verigi preskrbe s hrano</w:t>
      </w:r>
      <w:r w:rsidRPr="002B2414">
        <w:rPr>
          <w:rFonts w:cs="Arial"/>
          <w:szCs w:val="20"/>
        </w:rPr>
        <w:t xml:space="preserve"> je Ministrstvo za kmetijstvo, gozdarstvo in prehrano pripravilo skladno s Strategijo za manj izgub hrane in odpadne hrane v verigi preskrbe s hrano: »Spoštujmo hrano, spoštujmo planet« (v nadaljnjem besedilu: strategija), ki </w:t>
      </w:r>
      <w:r>
        <w:rPr>
          <w:rFonts w:cs="Arial"/>
          <w:szCs w:val="20"/>
        </w:rPr>
        <w:t xml:space="preserve">jo je Vlada </w:t>
      </w:r>
      <w:r w:rsidRPr="002B2414">
        <w:rPr>
          <w:rFonts w:cs="Arial"/>
          <w:szCs w:val="20"/>
        </w:rPr>
        <w:t>sprejela na svoji 108. redni seji 23. decembra 2021.</w:t>
      </w:r>
    </w:p>
    <w:p w14:paraId="1872103E" w14:textId="77777777" w:rsidR="004F0BBD" w:rsidRDefault="004F0BBD" w:rsidP="008D1293">
      <w:pPr>
        <w:spacing w:line="240" w:lineRule="auto"/>
        <w:jc w:val="both"/>
        <w:rPr>
          <w:rFonts w:cs="Arial"/>
          <w:szCs w:val="20"/>
        </w:rPr>
      </w:pPr>
    </w:p>
    <w:p w14:paraId="6AE5CEE5" w14:textId="77777777" w:rsidR="004F0BBD" w:rsidRDefault="004F0BBD" w:rsidP="008D1293">
      <w:pPr>
        <w:spacing w:line="240" w:lineRule="auto"/>
        <w:jc w:val="both"/>
        <w:rPr>
          <w:rFonts w:cs="Arial"/>
          <w:szCs w:val="20"/>
        </w:rPr>
      </w:pPr>
      <w:r w:rsidRPr="002B2414">
        <w:rPr>
          <w:rFonts w:cs="Arial"/>
          <w:szCs w:val="20"/>
        </w:rPr>
        <w:t>Delovno skupino sestavljajo</w:t>
      </w:r>
      <w:r>
        <w:rPr>
          <w:rFonts w:cs="Arial"/>
          <w:szCs w:val="20"/>
        </w:rPr>
        <w:t xml:space="preserve"> predstavniki resorjev:</w:t>
      </w:r>
    </w:p>
    <w:p w14:paraId="0D3F2620"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kmetijstvo, gozdarstvo in prehrano, </w:t>
      </w:r>
    </w:p>
    <w:p w14:paraId="4AA641B6"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okolje in prostor, </w:t>
      </w:r>
    </w:p>
    <w:p w14:paraId="6733C3C6"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izobraževanje, znanost in šport, </w:t>
      </w:r>
    </w:p>
    <w:p w14:paraId="47EA68E8"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delo, družino, socialne zadeve in enake možnosti, </w:t>
      </w:r>
    </w:p>
    <w:p w14:paraId="06C76E4B"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finance, </w:t>
      </w:r>
    </w:p>
    <w:p w14:paraId="2BDED6D7"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gospodarski razvoj in tehnologijo, </w:t>
      </w:r>
    </w:p>
    <w:p w14:paraId="1EE4B44C"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Ministrstva za zdravje, </w:t>
      </w:r>
    </w:p>
    <w:p w14:paraId="46E5984F"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Statističnega urada Republike Slovenije, </w:t>
      </w:r>
    </w:p>
    <w:p w14:paraId="7110DA39" w14:textId="77777777" w:rsidR="004F0BBD" w:rsidRDefault="004F0BBD" w:rsidP="008D1293">
      <w:pPr>
        <w:pStyle w:val="Odstavekseznama"/>
        <w:numPr>
          <w:ilvl w:val="0"/>
          <w:numId w:val="27"/>
        </w:numPr>
        <w:spacing w:line="240" w:lineRule="auto"/>
        <w:jc w:val="both"/>
        <w:rPr>
          <w:rFonts w:cs="Arial"/>
          <w:szCs w:val="20"/>
        </w:rPr>
      </w:pPr>
      <w:r w:rsidRPr="002B2414">
        <w:rPr>
          <w:rFonts w:cs="Arial"/>
          <w:szCs w:val="20"/>
        </w:rPr>
        <w:t xml:space="preserve">Uprave </w:t>
      </w:r>
      <w:r>
        <w:rPr>
          <w:rFonts w:cs="Arial"/>
          <w:szCs w:val="20"/>
        </w:rPr>
        <w:t xml:space="preserve">RS </w:t>
      </w:r>
      <w:r w:rsidRPr="002B2414">
        <w:rPr>
          <w:rFonts w:cs="Arial"/>
          <w:szCs w:val="20"/>
        </w:rPr>
        <w:t xml:space="preserve">za varno hrano, veterinarstvo in varstvo rastlin. </w:t>
      </w:r>
    </w:p>
    <w:p w14:paraId="2E90C082" w14:textId="77777777" w:rsidR="004F0BBD" w:rsidRDefault="004F0BBD" w:rsidP="008D1293">
      <w:pPr>
        <w:spacing w:line="240" w:lineRule="auto"/>
        <w:jc w:val="both"/>
        <w:rPr>
          <w:rFonts w:cs="Arial"/>
          <w:szCs w:val="20"/>
        </w:rPr>
      </w:pPr>
    </w:p>
    <w:p w14:paraId="02360230" w14:textId="77777777" w:rsidR="004F0BBD" w:rsidRDefault="004F0BBD" w:rsidP="008D1293">
      <w:pPr>
        <w:spacing w:line="240" w:lineRule="auto"/>
        <w:jc w:val="both"/>
        <w:rPr>
          <w:rFonts w:cs="Arial"/>
          <w:szCs w:val="20"/>
        </w:rPr>
      </w:pPr>
      <w:r>
        <w:rPr>
          <w:rFonts w:cs="Arial"/>
          <w:szCs w:val="20"/>
        </w:rPr>
        <w:t xml:space="preserve">Na delovno skupino bodo vabljeni tudi predstavniki </w:t>
      </w:r>
      <w:r w:rsidRPr="002B2414">
        <w:rPr>
          <w:rFonts w:cs="Arial"/>
          <w:szCs w:val="20"/>
        </w:rPr>
        <w:t xml:space="preserve">ključnih deležnikov, kot so: Kmetijsko </w:t>
      </w:r>
      <w:r>
        <w:rPr>
          <w:rFonts w:cs="Arial"/>
          <w:szCs w:val="20"/>
        </w:rPr>
        <w:t xml:space="preserve">gozdarska zbornica </w:t>
      </w:r>
      <w:r w:rsidRPr="002B2414">
        <w:rPr>
          <w:rFonts w:cs="Arial"/>
          <w:szCs w:val="20"/>
        </w:rPr>
        <w:t>Slovenije</w:t>
      </w:r>
      <w:r>
        <w:rPr>
          <w:rFonts w:cs="Arial"/>
          <w:szCs w:val="20"/>
        </w:rPr>
        <w:t xml:space="preserve"> (KGZS), Gospodarska zbornica Slovenija </w:t>
      </w:r>
      <w:r w:rsidRPr="002B2414">
        <w:rPr>
          <w:rFonts w:cs="Arial"/>
          <w:szCs w:val="20"/>
        </w:rPr>
        <w:t>- Zbornice kmetijskih in živilskih podjetij,</w:t>
      </w:r>
      <w:r>
        <w:rPr>
          <w:rFonts w:cs="Arial"/>
          <w:szCs w:val="20"/>
        </w:rPr>
        <w:t xml:space="preserve"> (GZS _ ZKŽP), Zadružna zveza </w:t>
      </w:r>
      <w:r w:rsidRPr="002B2414">
        <w:rPr>
          <w:rFonts w:cs="Arial"/>
          <w:szCs w:val="20"/>
        </w:rPr>
        <w:t>Slovenije</w:t>
      </w:r>
      <w:r>
        <w:rPr>
          <w:rFonts w:cs="Arial"/>
          <w:szCs w:val="20"/>
        </w:rPr>
        <w:t xml:space="preserve"> (ZZS=, Trgovinska zbornica</w:t>
      </w:r>
      <w:r w:rsidRPr="002B2414">
        <w:rPr>
          <w:rFonts w:cs="Arial"/>
          <w:szCs w:val="20"/>
        </w:rPr>
        <w:t xml:space="preserve"> Slovenije,</w:t>
      </w:r>
      <w:r>
        <w:rPr>
          <w:rFonts w:cs="Arial"/>
          <w:szCs w:val="20"/>
        </w:rPr>
        <w:t xml:space="preserve"> (TZS), Zveza </w:t>
      </w:r>
      <w:r w:rsidRPr="002B2414">
        <w:rPr>
          <w:rFonts w:cs="Arial"/>
          <w:szCs w:val="20"/>
        </w:rPr>
        <w:t>potrošnikov Slovenije</w:t>
      </w:r>
      <w:r>
        <w:rPr>
          <w:rFonts w:cs="Arial"/>
          <w:szCs w:val="20"/>
        </w:rPr>
        <w:t xml:space="preserve"> (ZPS), Obrtna zbornica </w:t>
      </w:r>
      <w:r w:rsidRPr="002B2414">
        <w:rPr>
          <w:rFonts w:cs="Arial"/>
          <w:szCs w:val="20"/>
        </w:rPr>
        <w:t>Slovenije</w:t>
      </w:r>
      <w:r>
        <w:rPr>
          <w:rFonts w:cs="Arial"/>
          <w:szCs w:val="20"/>
        </w:rPr>
        <w:t xml:space="preserve"> (OZS), Zavoda</w:t>
      </w:r>
      <w:r w:rsidRPr="002B2414">
        <w:rPr>
          <w:rFonts w:cs="Arial"/>
          <w:szCs w:val="20"/>
        </w:rPr>
        <w:t xml:space="preserve"> za šolstvo Slovenije </w:t>
      </w:r>
      <w:r>
        <w:rPr>
          <w:rFonts w:cs="Arial"/>
          <w:szCs w:val="20"/>
        </w:rPr>
        <w:t xml:space="preserve"> (ZRSS), </w:t>
      </w:r>
      <w:r w:rsidRPr="002B2414">
        <w:rPr>
          <w:rFonts w:cs="Arial"/>
          <w:szCs w:val="20"/>
        </w:rPr>
        <w:t>Turisti</w:t>
      </w:r>
      <w:r>
        <w:rPr>
          <w:rFonts w:cs="Arial"/>
          <w:szCs w:val="20"/>
        </w:rPr>
        <w:t>čno gostinska zbornica</w:t>
      </w:r>
      <w:r w:rsidRPr="002B2414">
        <w:rPr>
          <w:rFonts w:cs="Arial"/>
          <w:szCs w:val="20"/>
        </w:rPr>
        <w:t xml:space="preserve"> Slovenije </w:t>
      </w:r>
      <w:r>
        <w:rPr>
          <w:rFonts w:cs="Arial"/>
          <w:szCs w:val="20"/>
        </w:rPr>
        <w:t>(TGZS) in drugi</w:t>
      </w:r>
      <w:r w:rsidRPr="002B2414">
        <w:rPr>
          <w:rFonts w:cs="Arial"/>
          <w:szCs w:val="20"/>
        </w:rPr>
        <w:t xml:space="preserve">.  </w:t>
      </w:r>
    </w:p>
    <w:p w14:paraId="6CFE9F6F" w14:textId="77777777" w:rsidR="004F0BBD" w:rsidRDefault="004F0BBD" w:rsidP="008D1293">
      <w:pPr>
        <w:spacing w:line="240" w:lineRule="auto"/>
        <w:jc w:val="both"/>
        <w:rPr>
          <w:rFonts w:cs="Arial"/>
          <w:szCs w:val="20"/>
        </w:rPr>
      </w:pPr>
    </w:p>
    <w:p w14:paraId="7F3767C6" w14:textId="77777777" w:rsidR="004F0BBD" w:rsidRPr="002B2414" w:rsidRDefault="004F0BBD" w:rsidP="008D1293">
      <w:pPr>
        <w:spacing w:line="240" w:lineRule="auto"/>
        <w:jc w:val="both"/>
        <w:rPr>
          <w:rFonts w:cs="Arial"/>
          <w:szCs w:val="20"/>
        </w:rPr>
      </w:pPr>
      <w:r w:rsidRPr="002B2414">
        <w:rPr>
          <w:rFonts w:cs="Arial"/>
          <w:szCs w:val="20"/>
        </w:rPr>
        <w:t>V akcijskem načrtu bodo podrobno določene dejavnosti in nosilci ter potrebna finančna sredstva, kazalniki in roki izvedbe posamezne aktivnosti. Izvedbene aktivnosti bodo usmerjene v dolgoročne in kratkoročne učinke (kazalnike), ki bodo podlaga za procesno spremljanje izvajanja akcijskega načrta.</w:t>
      </w:r>
    </w:p>
    <w:p w14:paraId="3D3DF1A0" w14:textId="77777777" w:rsidR="004F0BBD" w:rsidRDefault="004F0BBD" w:rsidP="008D1293">
      <w:pPr>
        <w:spacing w:line="240" w:lineRule="auto"/>
        <w:jc w:val="both"/>
        <w:rPr>
          <w:rFonts w:cs="Arial"/>
          <w:szCs w:val="20"/>
        </w:rPr>
      </w:pPr>
    </w:p>
    <w:p w14:paraId="0E7D2AAA" w14:textId="1F679BF3" w:rsidR="004F0BBD" w:rsidRPr="008D1293" w:rsidRDefault="004F0BBD" w:rsidP="008D1293">
      <w:pPr>
        <w:spacing w:line="240" w:lineRule="auto"/>
        <w:jc w:val="both"/>
        <w:rPr>
          <w:rFonts w:cs="Arial"/>
          <w:bCs/>
          <w:szCs w:val="20"/>
        </w:rPr>
      </w:pPr>
      <w:r w:rsidRPr="008D1293">
        <w:rPr>
          <w:rFonts w:cs="Arial"/>
          <w:bCs/>
          <w:szCs w:val="20"/>
        </w:rPr>
        <w:t>Vir: Ministrstvo za kmetijstvo, gozdarstvo in prehrano</w:t>
      </w:r>
    </w:p>
    <w:p w14:paraId="3F017874" w14:textId="77777777" w:rsidR="004F0BBD" w:rsidRDefault="004F0BBD" w:rsidP="008D1293">
      <w:pPr>
        <w:spacing w:line="240" w:lineRule="auto"/>
        <w:jc w:val="both"/>
        <w:rPr>
          <w:rFonts w:cs="Arial"/>
          <w:b/>
          <w:szCs w:val="20"/>
        </w:rPr>
      </w:pPr>
    </w:p>
    <w:p w14:paraId="5E249174" w14:textId="77777777" w:rsidR="004F0BBD" w:rsidRDefault="004F0BBD" w:rsidP="005B7922">
      <w:pPr>
        <w:spacing w:line="240" w:lineRule="auto"/>
        <w:jc w:val="both"/>
        <w:rPr>
          <w:rFonts w:cs="Arial"/>
          <w:b/>
          <w:szCs w:val="20"/>
        </w:rPr>
      </w:pPr>
    </w:p>
    <w:p w14:paraId="67A40691" w14:textId="061B3DF5" w:rsidR="005B7922" w:rsidRPr="003951A6" w:rsidRDefault="005B7922" w:rsidP="005B7922">
      <w:pPr>
        <w:spacing w:line="240" w:lineRule="auto"/>
        <w:jc w:val="both"/>
        <w:rPr>
          <w:rFonts w:cs="Arial"/>
          <w:b/>
          <w:szCs w:val="20"/>
        </w:rPr>
      </w:pPr>
      <w:r w:rsidRPr="003951A6">
        <w:rPr>
          <w:rFonts w:cs="Arial"/>
          <w:b/>
          <w:szCs w:val="20"/>
        </w:rPr>
        <w:t>Vlada se je seznanila z namero o sklenitvi sodne poravnave v pravdni zadevi Republike Slovenije zoper Mestno občino Koper v pravdni zadevi, ki teče pred Okrožnim sodiščem v Kopru pod opr. št. P 25/2020, 71103-18/2022</w:t>
      </w:r>
    </w:p>
    <w:p w14:paraId="1A9CE369" w14:textId="77777777" w:rsidR="005B7922" w:rsidRPr="003951A6" w:rsidRDefault="005B7922" w:rsidP="005B7922">
      <w:pPr>
        <w:spacing w:line="240" w:lineRule="auto"/>
        <w:jc w:val="both"/>
        <w:rPr>
          <w:rFonts w:cs="Arial"/>
          <w:b/>
          <w:szCs w:val="20"/>
        </w:rPr>
      </w:pPr>
    </w:p>
    <w:p w14:paraId="0FCCFADB" w14:textId="77777777" w:rsidR="005B7922" w:rsidRDefault="005B7922" w:rsidP="005B7922">
      <w:pPr>
        <w:tabs>
          <w:tab w:val="left" w:pos="1640"/>
        </w:tabs>
        <w:spacing w:line="240" w:lineRule="auto"/>
        <w:jc w:val="both"/>
        <w:rPr>
          <w:rFonts w:cs="Arial"/>
          <w:szCs w:val="20"/>
        </w:rPr>
      </w:pPr>
      <w:r w:rsidRPr="003951A6">
        <w:rPr>
          <w:rFonts w:cs="Arial"/>
          <w:szCs w:val="20"/>
        </w:rPr>
        <w:t xml:space="preserve">Med Republiko Slovenijo kot tožečo stranko in Mestno občino Koper (v nadaljevanju: MOK) in stranskim </w:t>
      </w:r>
      <w:proofErr w:type="spellStart"/>
      <w:r w:rsidRPr="003951A6">
        <w:rPr>
          <w:rFonts w:cs="Arial"/>
          <w:szCs w:val="20"/>
        </w:rPr>
        <w:t>intervenientom</w:t>
      </w:r>
      <w:proofErr w:type="spellEnd"/>
      <w:r w:rsidRPr="003951A6">
        <w:rPr>
          <w:rFonts w:cs="Arial"/>
          <w:szCs w:val="20"/>
        </w:rPr>
        <w:t xml:space="preserve"> Občino Ankaran kot toženo stranko poteka od leta 2012 kompleksen sodni postopek zaradi ugotovitve lastninske pravice na nepremičninah, ki se nahajajo na območju koprskega tovornega pristanišča in so namenjene izvajanju gospodarske javne službe – pristaniške dejavnosti. Med Republiko Slovenijo in MOK je sporno, katera od njiju je olastninila nepremičnine, ki so predmet pravde in na kateri pravni podlagi. Stališče Republike Slovenije je, da je ex lege postala lastnica predmetnih nepremičnin z dnem 2. 7. 1993, to je z dnem uveljavitve Zakona o gospodarskih javnih službah, v nadaljnjem besedilu: ZGJS. V skladu s prvim odstavkom 76. člena ZGJS postanejo lastnina Republike Slovenije infrastrukturni objekti, naprave oziroma omrežja ter mobilna in druga sredstva, ki so v skladu s predpisi namenjena izvajanju dejavnosti iz 68. člena ZGJS. Vlada Republike Slovenije je dne 4. 8. 1994 sprejela sklep o obsegu državnega premoženja v družbenem podjetju Luka Koper, s katerim je bil določen obseg državnega premoženja ter parcele, ki so postale last Republike Slovenije. Navedeni sklep ima značaj pisne izjave novega lastnika o pridobitvi lastninske pravice v smislu določb ZGJS. </w:t>
      </w:r>
    </w:p>
    <w:p w14:paraId="45C05084" w14:textId="77777777" w:rsidR="005B7922" w:rsidRPr="003951A6" w:rsidRDefault="005B7922" w:rsidP="005B7922">
      <w:pPr>
        <w:tabs>
          <w:tab w:val="left" w:pos="1640"/>
        </w:tabs>
        <w:spacing w:line="240" w:lineRule="auto"/>
        <w:jc w:val="both"/>
        <w:rPr>
          <w:rFonts w:cs="Arial"/>
          <w:szCs w:val="20"/>
        </w:rPr>
      </w:pPr>
    </w:p>
    <w:p w14:paraId="7DDDB130" w14:textId="77777777" w:rsidR="005B7922" w:rsidRPr="003951A6" w:rsidRDefault="005B7922" w:rsidP="005B7922">
      <w:pPr>
        <w:tabs>
          <w:tab w:val="left" w:pos="1640"/>
        </w:tabs>
        <w:spacing w:line="240" w:lineRule="auto"/>
        <w:jc w:val="both"/>
        <w:rPr>
          <w:rFonts w:cs="Arial"/>
          <w:szCs w:val="20"/>
        </w:rPr>
      </w:pPr>
      <w:r w:rsidRPr="003951A6">
        <w:rPr>
          <w:rFonts w:cs="Arial"/>
          <w:szCs w:val="20"/>
        </w:rPr>
        <w:t xml:space="preserve">Stališče MOK je, da sporne nepremičnine niso bile namenjene izvajanju pristaniške dejavnosti, lastninsko pravico na </w:t>
      </w:r>
      <w:proofErr w:type="spellStart"/>
      <w:r w:rsidRPr="003951A6">
        <w:rPr>
          <w:rFonts w:cs="Arial"/>
          <w:szCs w:val="20"/>
        </w:rPr>
        <w:t>vtoževanih</w:t>
      </w:r>
      <w:proofErr w:type="spellEnd"/>
      <w:r w:rsidRPr="003951A6">
        <w:rPr>
          <w:rFonts w:cs="Arial"/>
          <w:szCs w:val="20"/>
        </w:rPr>
        <w:t xml:space="preserve"> nepremičninah je MOK pridobila na podlagi 5. člena Zakona o lastninjenju nepremičnin v družbeni lastnini. Po mnenju MOK se 76. člen ZGJS in sklep Vlade Republike Slovenije o obsegu državnega premoženja v družbenem podjetju Luka Koper z dne 4. 8. 1994 nanaša zgolj na lastninjenje infrastrukturnih objektov in naprav ter ne ureja tudi lastninjenja zemljišč.  </w:t>
      </w:r>
    </w:p>
    <w:p w14:paraId="3CE38B74" w14:textId="77777777" w:rsidR="005B7922" w:rsidRPr="003951A6" w:rsidRDefault="005B7922" w:rsidP="005B7922">
      <w:pPr>
        <w:tabs>
          <w:tab w:val="left" w:pos="1640"/>
        </w:tabs>
        <w:spacing w:line="240" w:lineRule="auto"/>
        <w:jc w:val="both"/>
        <w:rPr>
          <w:rFonts w:cs="Arial"/>
          <w:szCs w:val="20"/>
        </w:rPr>
      </w:pPr>
    </w:p>
    <w:p w14:paraId="0069B54A" w14:textId="77777777" w:rsidR="005B7922" w:rsidRPr="003951A6" w:rsidRDefault="005B7922" w:rsidP="005B7922">
      <w:pPr>
        <w:tabs>
          <w:tab w:val="left" w:pos="1640"/>
        </w:tabs>
        <w:spacing w:line="240" w:lineRule="auto"/>
        <w:jc w:val="both"/>
        <w:rPr>
          <w:rFonts w:cs="Arial"/>
          <w:szCs w:val="20"/>
        </w:rPr>
      </w:pPr>
      <w:r w:rsidRPr="003951A6">
        <w:rPr>
          <w:rFonts w:cs="Arial"/>
          <w:szCs w:val="20"/>
        </w:rPr>
        <w:t xml:space="preserve">Med Republiko Slovenijo in MOK obstaja interes po ureditvi vseh medsebojnih spornih razmerij, ki se obravnavajo v sporu, ki teče pod opr. št. P 25/2020 pred Okrožnim sodiščem v Kopru, zato se s to poravnavo usklajuje zemljiškoknjižno stanje z dejanskim ter brezplačno prenaša oziroma </w:t>
      </w:r>
      <w:r w:rsidRPr="003951A6">
        <w:rPr>
          <w:rFonts w:cs="Arial"/>
          <w:szCs w:val="20"/>
        </w:rPr>
        <w:lastRenderedPageBreak/>
        <w:t xml:space="preserve">dovoljuje vknjižba lastninske pravice na nepremičninah, kjer zemljiškoknjižno stanje doslej še ni usklajeno. Republika Slovenija in MOK z medsebojnim popuščanjem v celoti in dokončno rešujeta vsa obstoječa in bodoča medsebojna sporna razmerja, ki se navezujejo na nepremičnine iz zadeve opr. št. P 25/2020 pred Okrožnim sodiščem v Kopru. S to poravnavo stranki na način brezplačnega prenosa urejata tudi lastninsko pravna razmerja na nepremičninah, ki predstavljajo občinsko prometno infrastrukturo Mestne občine Koper, ki jih Mestna občina Koper kot take uporablja in vzdržuje, zemljiškoknjižna lastnica teh nepremičnin pa je Republika Slovenija. S sklenitvijo predlagane sodne poravnave, bo spor, ki je med pravdnima strankama v teku že 10 let, pred sodiščem pravnomočno zaključen. Republika Slovenija bo postala lastnica 25-tih nepremičnin, ki se v izmeri 45.595 m2 nahajajo znotraj koprskega tovornega pristanišča, določenega z Uredbo o upravljanju koprskega tovornega pristanišča, opravljanju pristaniške dejavnosti, podelitvi koncesije za upravljanje, vodenje, razvoj in redno vzdrževanje pristaniške infrastrukture v tem pristanišču. Republika Slovenija je kot upravljavec pristanišča, v skladu z 41. členom Pomorskega zakonika, dolžna organizirati delovanje pristanišča za javni promet tako, da zagotavlja varno plovbo, varstvo okolja in voda, zaščito pristanišča ter zagotavljati dejavnosti, ki so potrebne za nemoteno delovanje pristanišča, za katerega je pristanišče namenjeno. Za izpolnjevanje svoje obveznosti iz 41. člena Pomorskega zakonika je Republika Slovenija kot </w:t>
      </w:r>
      <w:proofErr w:type="spellStart"/>
      <w:r w:rsidRPr="003951A6">
        <w:rPr>
          <w:rFonts w:cs="Arial"/>
          <w:szCs w:val="20"/>
        </w:rPr>
        <w:t>koncedent</w:t>
      </w:r>
      <w:proofErr w:type="spellEnd"/>
      <w:r w:rsidRPr="003951A6">
        <w:rPr>
          <w:rFonts w:cs="Arial"/>
          <w:szCs w:val="20"/>
        </w:rPr>
        <w:t xml:space="preserve"> sprejela določene obveznosti. Republika Slovenija mora kot upravljavec pristanišča storiti vse za nemoteno delovanje pristanišča. Med nalogami upravljavca pristanišča, ki so določene v 5. členu uredbe, so tudi skrb za nemoteno obratovanje pristanišča, skrb, da se na območju pristanišča trajno izvaja pristaniška dejavnost in zagotavljati razvoj pristanišča. Predmetne nepremičnine ležijo na območju zajetem v Uredbi o državnem prostorskem načrtu za celovito prostorsko ureditev pristanišča za mednarodni promet v Kopru in so namenjene izvajanju pristaniške dejavnosti. Na nepremičninah so načrtovane ureditve pristaniške infrastrukture v skladu s Programom razvoja pristanišča za mednarodni promet v Kopru za obdobje 2021–2025, ki ga je sprejela Vlada Republike Slovenije dne 16. 2. 2022. </w:t>
      </w:r>
    </w:p>
    <w:p w14:paraId="725C8AAE" w14:textId="77777777" w:rsidR="005B7922" w:rsidRPr="003951A6" w:rsidRDefault="005B7922" w:rsidP="005B7922">
      <w:pPr>
        <w:tabs>
          <w:tab w:val="left" w:pos="1640"/>
        </w:tabs>
        <w:spacing w:line="240" w:lineRule="auto"/>
        <w:jc w:val="both"/>
        <w:rPr>
          <w:rFonts w:cs="Arial"/>
          <w:szCs w:val="20"/>
        </w:rPr>
      </w:pPr>
    </w:p>
    <w:p w14:paraId="63413B42" w14:textId="77777777" w:rsidR="005B7922" w:rsidRPr="003951A6" w:rsidRDefault="005B7922" w:rsidP="005B7922">
      <w:pPr>
        <w:tabs>
          <w:tab w:val="left" w:pos="1640"/>
        </w:tabs>
        <w:spacing w:line="240" w:lineRule="auto"/>
        <w:jc w:val="both"/>
        <w:rPr>
          <w:rFonts w:cs="Arial"/>
          <w:szCs w:val="20"/>
        </w:rPr>
      </w:pPr>
      <w:r w:rsidRPr="003951A6">
        <w:rPr>
          <w:rFonts w:cs="Arial"/>
          <w:szCs w:val="20"/>
        </w:rPr>
        <w:t>Ministrstvo za infrastrukturo ocenjuje, da je sklenitev te sodne poravnave utemeljena, primerna, smiselna, gospodarna, učinkovita in v interesu Republike Slovenije.</w:t>
      </w:r>
    </w:p>
    <w:p w14:paraId="588B398D" w14:textId="77777777" w:rsidR="005B7922" w:rsidRPr="003951A6" w:rsidRDefault="005B7922" w:rsidP="005B7922">
      <w:pPr>
        <w:tabs>
          <w:tab w:val="left" w:pos="1640"/>
        </w:tabs>
        <w:spacing w:line="240" w:lineRule="auto"/>
        <w:jc w:val="both"/>
        <w:rPr>
          <w:rFonts w:cs="Arial"/>
          <w:szCs w:val="20"/>
        </w:rPr>
      </w:pPr>
    </w:p>
    <w:p w14:paraId="702BC99C" w14:textId="77777777" w:rsidR="005B7922" w:rsidRPr="003C4210" w:rsidRDefault="005B7922" w:rsidP="005B7922">
      <w:pPr>
        <w:autoSpaceDE w:val="0"/>
        <w:autoSpaceDN w:val="0"/>
        <w:adjustRightInd w:val="0"/>
        <w:spacing w:line="240" w:lineRule="auto"/>
        <w:jc w:val="both"/>
        <w:rPr>
          <w:rFonts w:cs="Arial"/>
          <w:color w:val="000000"/>
          <w:szCs w:val="20"/>
        </w:rPr>
      </w:pPr>
      <w:r w:rsidRPr="003C4210">
        <w:rPr>
          <w:rFonts w:cs="Arial"/>
          <w:color w:val="000000"/>
          <w:szCs w:val="20"/>
        </w:rPr>
        <w:t>Vir: Ministrstvo za infrastrukturo</w:t>
      </w:r>
    </w:p>
    <w:p w14:paraId="5AE25B62" w14:textId="77777777" w:rsidR="005B7922" w:rsidRPr="003951A6" w:rsidRDefault="005B7922" w:rsidP="005B7922">
      <w:pPr>
        <w:spacing w:line="240" w:lineRule="auto"/>
        <w:jc w:val="both"/>
        <w:rPr>
          <w:rFonts w:cs="Arial"/>
          <w:b/>
          <w:szCs w:val="20"/>
        </w:rPr>
      </w:pPr>
    </w:p>
    <w:p w14:paraId="38D8A63A" w14:textId="77777777" w:rsidR="005B7922" w:rsidRPr="003951A6" w:rsidRDefault="005B7922" w:rsidP="005B7922">
      <w:pPr>
        <w:spacing w:line="240" w:lineRule="auto"/>
        <w:jc w:val="both"/>
        <w:rPr>
          <w:rFonts w:cs="Arial"/>
          <w:b/>
          <w:szCs w:val="20"/>
        </w:rPr>
      </w:pPr>
    </w:p>
    <w:p w14:paraId="6A6DE0ED" w14:textId="77777777" w:rsidR="005B7922" w:rsidRPr="003951A6" w:rsidRDefault="005B7922" w:rsidP="005B7922">
      <w:pPr>
        <w:spacing w:line="240" w:lineRule="auto"/>
        <w:jc w:val="both"/>
        <w:rPr>
          <w:rFonts w:cs="Arial"/>
          <w:b/>
          <w:szCs w:val="20"/>
        </w:rPr>
      </w:pPr>
      <w:r w:rsidRPr="003951A6">
        <w:rPr>
          <w:rFonts w:cs="Arial"/>
          <w:b/>
          <w:szCs w:val="20"/>
        </w:rPr>
        <w:t xml:space="preserve">Vlada sprejela sklep, s katerim je odvzela status javno dobro - javna železniška infrastruktura  nepremičninam </w:t>
      </w:r>
      <w:proofErr w:type="spellStart"/>
      <w:r w:rsidRPr="003951A6">
        <w:rPr>
          <w:rFonts w:cs="Arial"/>
          <w:b/>
          <w:szCs w:val="20"/>
        </w:rPr>
        <w:t>parc</w:t>
      </w:r>
      <w:proofErr w:type="spellEnd"/>
      <w:r w:rsidRPr="003951A6">
        <w:rPr>
          <w:rFonts w:cs="Arial"/>
          <w:b/>
          <w:szCs w:val="20"/>
        </w:rPr>
        <w:t xml:space="preserve">. št. 2111/56, 2111/57, 2111/58 in 2170/9, vse </w:t>
      </w:r>
      <w:proofErr w:type="spellStart"/>
      <w:r w:rsidRPr="003951A6">
        <w:rPr>
          <w:rFonts w:cs="Arial"/>
          <w:b/>
          <w:szCs w:val="20"/>
        </w:rPr>
        <w:t>k.o</w:t>
      </w:r>
      <w:proofErr w:type="spellEnd"/>
      <w:r w:rsidRPr="003951A6">
        <w:rPr>
          <w:rFonts w:cs="Arial"/>
          <w:b/>
          <w:szCs w:val="20"/>
        </w:rPr>
        <w:t xml:space="preserve">. 1577 Kočevje in </w:t>
      </w:r>
      <w:proofErr w:type="spellStart"/>
      <w:r w:rsidRPr="003951A6">
        <w:rPr>
          <w:rFonts w:cs="Arial"/>
          <w:b/>
          <w:szCs w:val="20"/>
        </w:rPr>
        <w:t>parc</w:t>
      </w:r>
      <w:proofErr w:type="spellEnd"/>
      <w:r w:rsidRPr="003951A6">
        <w:rPr>
          <w:rFonts w:cs="Arial"/>
          <w:b/>
          <w:szCs w:val="20"/>
        </w:rPr>
        <w:t xml:space="preserve">. št. 2464/13 </w:t>
      </w:r>
      <w:proofErr w:type="spellStart"/>
      <w:r w:rsidRPr="003951A6">
        <w:rPr>
          <w:rFonts w:cs="Arial"/>
          <w:b/>
          <w:szCs w:val="20"/>
        </w:rPr>
        <w:t>k.o</w:t>
      </w:r>
      <w:proofErr w:type="spellEnd"/>
      <w:r w:rsidRPr="003951A6">
        <w:rPr>
          <w:rFonts w:cs="Arial"/>
          <w:b/>
          <w:szCs w:val="20"/>
        </w:rPr>
        <w:t>. 1410 Mirna</w:t>
      </w:r>
    </w:p>
    <w:p w14:paraId="145AC67B" w14:textId="77777777" w:rsidR="005B7922" w:rsidRPr="003951A6" w:rsidRDefault="005B7922" w:rsidP="005B7922">
      <w:pPr>
        <w:spacing w:line="240" w:lineRule="auto"/>
        <w:jc w:val="both"/>
        <w:rPr>
          <w:rFonts w:cs="Arial"/>
          <w:b/>
          <w:szCs w:val="20"/>
        </w:rPr>
      </w:pPr>
    </w:p>
    <w:p w14:paraId="797D231D" w14:textId="77777777" w:rsidR="005B7922" w:rsidRPr="003951A6" w:rsidRDefault="005B7922" w:rsidP="005B7922">
      <w:pPr>
        <w:tabs>
          <w:tab w:val="left" w:pos="1640"/>
        </w:tabs>
        <w:spacing w:line="240" w:lineRule="auto"/>
        <w:jc w:val="both"/>
        <w:rPr>
          <w:rFonts w:cs="Arial"/>
          <w:szCs w:val="20"/>
        </w:rPr>
      </w:pPr>
      <w:r w:rsidRPr="003951A6">
        <w:rPr>
          <w:rFonts w:cs="Arial"/>
          <w:szCs w:val="20"/>
        </w:rPr>
        <w:t xml:space="preserve">Vlada je sprejela sklep, s katerim je odvzela status javno dobro - javna železniška infrastruktura  nepremičninam </w:t>
      </w:r>
      <w:proofErr w:type="spellStart"/>
      <w:r w:rsidRPr="003951A6">
        <w:rPr>
          <w:rFonts w:cs="Arial"/>
          <w:szCs w:val="20"/>
        </w:rPr>
        <w:t>parc</w:t>
      </w:r>
      <w:proofErr w:type="spellEnd"/>
      <w:r w:rsidRPr="003951A6">
        <w:rPr>
          <w:rFonts w:cs="Arial"/>
          <w:szCs w:val="20"/>
        </w:rPr>
        <w:t xml:space="preserve">. št. 2111/56, 2111/57, 2111/58 in 2170/9, vse </w:t>
      </w:r>
      <w:proofErr w:type="spellStart"/>
      <w:r w:rsidRPr="003951A6">
        <w:rPr>
          <w:rFonts w:cs="Arial"/>
          <w:szCs w:val="20"/>
        </w:rPr>
        <w:t>k.o</w:t>
      </w:r>
      <w:proofErr w:type="spellEnd"/>
      <w:r w:rsidRPr="003951A6">
        <w:rPr>
          <w:rFonts w:cs="Arial"/>
          <w:szCs w:val="20"/>
        </w:rPr>
        <w:t xml:space="preserve">. 1577 Kočevje in </w:t>
      </w:r>
      <w:proofErr w:type="spellStart"/>
      <w:r w:rsidRPr="003951A6">
        <w:rPr>
          <w:rFonts w:cs="Arial"/>
          <w:szCs w:val="20"/>
        </w:rPr>
        <w:t>parc</w:t>
      </w:r>
      <w:proofErr w:type="spellEnd"/>
      <w:r w:rsidRPr="003951A6">
        <w:rPr>
          <w:rFonts w:cs="Arial"/>
          <w:szCs w:val="20"/>
        </w:rPr>
        <w:t xml:space="preserve">. št. 2464/13 </w:t>
      </w:r>
      <w:proofErr w:type="spellStart"/>
      <w:r w:rsidRPr="003951A6">
        <w:rPr>
          <w:rFonts w:cs="Arial"/>
          <w:szCs w:val="20"/>
        </w:rPr>
        <w:t>k.o</w:t>
      </w:r>
      <w:proofErr w:type="spellEnd"/>
      <w:r w:rsidRPr="003951A6">
        <w:rPr>
          <w:rFonts w:cs="Arial"/>
          <w:szCs w:val="20"/>
        </w:rPr>
        <w:t xml:space="preserve">. 1410 Mirna. Ministrstvo za infrastrukturo izda odločbo, s katero se odvzame status javnega dobra – javna železniška infrastruktura in jo po pravnomočnosti pošlje pristojnemu organu kot predlog za vknjižbo lastninske pravice v korist Republike Slovenije. Po izbrisu zaznambe statusa javno dobro – javna železniška infrastruktura iz zemljiške knjige, se na nepremičnini </w:t>
      </w:r>
      <w:proofErr w:type="spellStart"/>
      <w:r w:rsidRPr="003951A6">
        <w:rPr>
          <w:rFonts w:cs="Arial"/>
          <w:szCs w:val="20"/>
        </w:rPr>
        <w:t>parc</w:t>
      </w:r>
      <w:proofErr w:type="spellEnd"/>
      <w:r w:rsidRPr="003951A6">
        <w:rPr>
          <w:rFonts w:cs="Arial"/>
          <w:szCs w:val="20"/>
        </w:rPr>
        <w:t xml:space="preserve">. št. 2111/56, 2111/57, 2111/58 in 2170/9, vse </w:t>
      </w:r>
      <w:proofErr w:type="spellStart"/>
      <w:r w:rsidRPr="003951A6">
        <w:rPr>
          <w:rFonts w:cs="Arial"/>
          <w:szCs w:val="20"/>
        </w:rPr>
        <w:t>k.o</w:t>
      </w:r>
      <w:proofErr w:type="spellEnd"/>
      <w:r w:rsidRPr="003951A6">
        <w:rPr>
          <w:rFonts w:cs="Arial"/>
          <w:szCs w:val="20"/>
        </w:rPr>
        <w:t xml:space="preserve">. 1577 Kočevje kot upravljavec določi Ministrstvo za infrastrukturo. Po izbrisu zaznambe statusa javno dobro – javna železniška infrastruktura iz zemljiške knjige, se na nepremičnini </w:t>
      </w:r>
      <w:proofErr w:type="spellStart"/>
      <w:r w:rsidRPr="003951A6">
        <w:rPr>
          <w:rFonts w:cs="Arial"/>
          <w:szCs w:val="20"/>
        </w:rPr>
        <w:t>parc</w:t>
      </w:r>
      <w:proofErr w:type="spellEnd"/>
      <w:r w:rsidRPr="003951A6">
        <w:rPr>
          <w:rFonts w:cs="Arial"/>
          <w:szCs w:val="20"/>
        </w:rPr>
        <w:t xml:space="preserve">. št. 2464/13 </w:t>
      </w:r>
      <w:proofErr w:type="spellStart"/>
      <w:r w:rsidRPr="003951A6">
        <w:rPr>
          <w:rFonts w:cs="Arial"/>
          <w:szCs w:val="20"/>
        </w:rPr>
        <w:t>k.o</w:t>
      </w:r>
      <w:proofErr w:type="spellEnd"/>
      <w:r w:rsidRPr="003951A6">
        <w:rPr>
          <w:rFonts w:cs="Arial"/>
          <w:szCs w:val="20"/>
        </w:rPr>
        <w:t>. 1410 Mirna kot upravljavec določi Direkcija Republike Slovenije za infrastrukturo.</w:t>
      </w:r>
    </w:p>
    <w:p w14:paraId="50B905D9" w14:textId="77777777" w:rsidR="005B7922" w:rsidRPr="003951A6" w:rsidRDefault="005B7922" w:rsidP="005B7922">
      <w:pPr>
        <w:tabs>
          <w:tab w:val="left" w:pos="1640"/>
        </w:tabs>
        <w:spacing w:line="240" w:lineRule="auto"/>
        <w:jc w:val="both"/>
        <w:rPr>
          <w:rFonts w:cs="Arial"/>
          <w:szCs w:val="20"/>
        </w:rPr>
      </w:pPr>
    </w:p>
    <w:p w14:paraId="6522287A" w14:textId="77777777" w:rsidR="005B7922" w:rsidRPr="003951A6" w:rsidRDefault="005B7922" w:rsidP="005B7922">
      <w:pPr>
        <w:spacing w:line="240" w:lineRule="auto"/>
        <w:jc w:val="both"/>
        <w:rPr>
          <w:rFonts w:cs="Arial"/>
          <w:szCs w:val="20"/>
        </w:rPr>
      </w:pPr>
      <w:r w:rsidRPr="003951A6">
        <w:rPr>
          <w:rFonts w:cs="Arial"/>
          <w:szCs w:val="20"/>
        </w:rPr>
        <w:t xml:space="preserve">Predmetni nepremičnini je v zemljiški knjigi zaznamovan status javno dobro – javna železniška infrastruktura. Družba SŽ-Infrastruktura, </w:t>
      </w:r>
      <w:proofErr w:type="spellStart"/>
      <w:r w:rsidRPr="003951A6">
        <w:rPr>
          <w:rFonts w:cs="Arial"/>
          <w:szCs w:val="20"/>
        </w:rPr>
        <w:t>d.o.o</w:t>
      </w:r>
      <w:proofErr w:type="spellEnd"/>
      <w:r w:rsidRPr="003951A6">
        <w:rPr>
          <w:rFonts w:cs="Arial"/>
          <w:szCs w:val="20"/>
        </w:rPr>
        <w:t>., je kot zakoniti upravljavec javne železniške infrastrukture v dopisu podala izjavo, iz katere je razvidno, da na nepremičninah ni objektov in naprav, potrebnih za nemoteno odvijanje javnega železniškega prometa in, da parcele funkcionalno ne služijo njihovi namenski rabi. Nepremičnine v naravi predstavljajo zaraščena zemljišča ob občinski cesti.</w:t>
      </w:r>
    </w:p>
    <w:p w14:paraId="6A77B792" w14:textId="77777777" w:rsidR="005B7922" w:rsidRPr="003951A6" w:rsidRDefault="005B7922" w:rsidP="005B7922">
      <w:pPr>
        <w:spacing w:line="240" w:lineRule="auto"/>
        <w:jc w:val="both"/>
        <w:rPr>
          <w:rFonts w:cs="Arial"/>
          <w:szCs w:val="20"/>
        </w:rPr>
      </w:pPr>
    </w:p>
    <w:p w14:paraId="0DCA416C" w14:textId="77777777" w:rsidR="005B7922" w:rsidRPr="003951A6" w:rsidRDefault="005B7922" w:rsidP="005B7922">
      <w:pPr>
        <w:spacing w:line="240" w:lineRule="auto"/>
        <w:jc w:val="both"/>
        <w:rPr>
          <w:rFonts w:cs="Arial"/>
          <w:szCs w:val="20"/>
        </w:rPr>
      </w:pPr>
      <w:r w:rsidRPr="003951A6">
        <w:rPr>
          <w:rFonts w:cs="Arial"/>
          <w:szCs w:val="20"/>
        </w:rPr>
        <w:t xml:space="preserve">Drugi odstavek v povezavi s petim odstavkom 111. člena Zakona o zemljiški knjigi določa, da se zaznamba javnega dobra izbriše na podlagi odločbe pristojnega organa o prenehanju statusa javnega dobra. Nepremičnina, ki ima status javnega dobra, je v lasti bodisi države bodisi lokalne skupnosti, kar v skladu s področno zakonodajo tudi omogoča in zahteva vpis lastninske pravice. Zato bo Ministrstvo za infrastrukturo na podlagi sklepa Vlade RS o odvzemu statusa javne </w:t>
      </w:r>
      <w:r w:rsidRPr="003951A6">
        <w:rPr>
          <w:rFonts w:cs="Arial"/>
          <w:szCs w:val="20"/>
        </w:rPr>
        <w:lastRenderedPageBreak/>
        <w:t xml:space="preserve">železniške infrastrukture za predmetne nepremičnine izdalo odločbo o odvzemu statusa javnega dobra, ki jo bo na podlagi tretje alineje drugega odstavka 125a. člena Zakona o zemljiški knjigi posredovalo pristojnemu državnemu odvetništvu, da jo le ta pošlje na pristojno zemljiškoknjižno sodišče kot predlog za vpis spremembe stanja v zemljiški knjigi. </w:t>
      </w:r>
    </w:p>
    <w:p w14:paraId="233C767F" w14:textId="77777777" w:rsidR="005B7922" w:rsidRPr="003951A6" w:rsidRDefault="005B7922" w:rsidP="005B7922">
      <w:pPr>
        <w:spacing w:line="240" w:lineRule="auto"/>
        <w:jc w:val="both"/>
        <w:rPr>
          <w:rFonts w:cs="Arial"/>
          <w:szCs w:val="20"/>
        </w:rPr>
      </w:pPr>
    </w:p>
    <w:p w14:paraId="619AAAB2" w14:textId="77777777" w:rsidR="005B7922" w:rsidRPr="003951A6" w:rsidRDefault="005B7922" w:rsidP="005B7922">
      <w:pPr>
        <w:spacing w:line="240" w:lineRule="auto"/>
        <w:jc w:val="both"/>
        <w:rPr>
          <w:rFonts w:cs="Arial"/>
          <w:szCs w:val="20"/>
        </w:rPr>
      </w:pPr>
      <w:r w:rsidRPr="003951A6">
        <w:rPr>
          <w:rFonts w:cs="Arial"/>
          <w:szCs w:val="20"/>
        </w:rPr>
        <w:t xml:space="preserve">Upravljavec javne železniške infrastrukture je na podlagi Zakona o železniškem prometu podjetje SŽ-Infrastruktura, </w:t>
      </w:r>
      <w:proofErr w:type="spellStart"/>
      <w:r w:rsidRPr="003951A6">
        <w:rPr>
          <w:rFonts w:cs="Arial"/>
          <w:szCs w:val="20"/>
        </w:rPr>
        <w:t>d.o.o</w:t>
      </w:r>
      <w:proofErr w:type="spellEnd"/>
      <w:r w:rsidRPr="003951A6">
        <w:rPr>
          <w:rFonts w:cs="Arial"/>
          <w:szCs w:val="20"/>
        </w:rPr>
        <w:t>. Ker predmetna nepremičnina ne izpolnjuje več pogojev za status javne železniške infrastrukture ji je potrebno določiti novega dokončnega upravljavca, kot je navedeno v predlaganemu sklepu</w:t>
      </w:r>
    </w:p>
    <w:p w14:paraId="05935039" w14:textId="77777777" w:rsidR="005B7922" w:rsidRPr="003951A6" w:rsidRDefault="005B7922" w:rsidP="005B7922">
      <w:pPr>
        <w:spacing w:line="240" w:lineRule="auto"/>
        <w:jc w:val="both"/>
        <w:rPr>
          <w:rFonts w:cs="Arial"/>
          <w:b/>
          <w:szCs w:val="20"/>
          <w:lang w:eastAsia="sl-SI"/>
        </w:rPr>
      </w:pPr>
    </w:p>
    <w:p w14:paraId="7F796136" w14:textId="77777777" w:rsidR="005B7922" w:rsidRPr="003951A6" w:rsidRDefault="005B7922" w:rsidP="005B7922">
      <w:pPr>
        <w:spacing w:line="240" w:lineRule="auto"/>
        <w:jc w:val="both"/>
        <w:rPr>
          <w:rFonts w:cs="Arial"/>
          <w:szCs w:val="20"/>
        </w:rPr>
      </w:pPr>
      <w:r w:rsidRPr="003951A6">
        <w:rPr>
          <w:rFonts w:cs="Arial"/>
          <w:szCs w:val="20"/>
        </w:rPr>
        <w:t xml:space="preserve">V takih primerih, ko nepremičnina ne služi več namenu za katerega ji je bil dodeljen status javnega dobra, o njeni namembnosti odloča Vlada Republike Slovenije. Posledica ugotovitve namembnosti zemljišča je določitev konkretnega organa državne uprave oziroma pravne osebe javnega prava kot upravljavca, kateri se določi po izbrisu zaznambe statusa javno dobro – javna železniška infrastruktura iz zemljiške knjige. Šele z izbrisom zaznambe iz zemljiške knjige se lahko v zemljiški kataster vpiše nov upravljavec. Do izbrisa zaznambe so namreč po Zakonu o železniškem prometu upravljavec družba SŽ-Infrastruktura, </w:t>
      </w:r>
      <w:proofErr w:type="spellStart"/>
      <w:r w:rsidRPr="003951A6">
        <w:rPr>
          <w:rFonts w:cs="Arial"/>
          <w:szCs w:val="20"/>
        </w:rPr>
        <w:t>d.o.o</w:t>
      </w:r>
      <w:proofErr w:type="spellEnd"/>
      <w:r w:rsidRPr="003951A6">
        <w:rPr>
          <w:rFonts w:cs="Arial"/>
          <w:szCs w:val="20"/>
        </w:rPr>
        <w:t>..</w:t>
      </w:r>
    </w:p>
    <w:p w14:paraId="6E9351E5" w14:textId="77777777" w:rsidR="005B7922" w:rsidRPr="003951A6" w:rsidRDefault="005B7922" w:rsidP="005B7922">
      <w:pPr>
        <w:tabs>
          <w:tab w:val="left" w:pos="1640"/>
        </w:tabs>
        <w:spacing w:line="240" w:lineRule="auto"/>
        <w:jc w:val="both"/>
        <w:rPr>
          <w:rFonts w:cs="Arial"/>
          <w:szCs w:val="20"/>
        </w:rPr>
      </w:pPr>
    </w:p>
    <w:p w14:paraId="24B9B302" w14:textId="77777777" w:rsidR="005B7922" w:rsidRPr="003C4210" w:rsidRDefault="005B7922" w:rsidP="005B7922">
      <w:pPr>
        <w:autoSpaceDE w:val="0"/>
        <w:autoSpaceDN w:val="0"/>
        <w:adjustRightInd w:val="0"/>
        <w:spacing w:line="240" w:lineRule="auto"/>
        <w:jc w:val="both"/>
        <w:rPr>
          <w:rFonts w:cs="Arial"/>
          <w:color w:val="000000"/>
          <w:szCs w:val="20"/>
        </w:rPr>
      </w:pPr>
      <w:r w:rsidRPr="003C4210">
        <w:rPr>
          <w:rFonts w:cs="Arial"/>
          <w:color w:val="000000"/>
          <w:szCs w:val="20"/>
        </w:rPr>
        <w:t>Vir: Ministrstvo za infrastrukturo</w:t>
      </w:r>
    </w:p>
    <w:p w14:paraId="03150E1A" w14:textId="77777777" w:rsidR="005B7922" w:rsidRDefault="005B7922" w:rsidP="005B7922">
      <w:pPr>
        <w:pStyle w:val="Neotevilenodstavek"/>
        <w:spacing w:before="0" w:after="0" w:line="240" w:lineRule="auto"/>
        <w:rPr>
          <w:b/>
          <w:bCs/>
          <w:sz w:val="20"/>
          <w:szCs w:val="20"/>
        </w:rPr>
      </w:pPr>
    </w:p>
    <w:p w14:paraId="0F57EBC7" w14:textId="77777777" w:rsidR="005634B6" w:rsidRPr="003951A6" w:rsidRDefault="005634B6" w:rsidP="003951A6">
      <w:pPr>
        <w:autoSpaceDE w:val="0"/>
        <w:autoSpaceDN w:val="0"/>
        <w:adjustRightInd w:val="0"/>
        <w:spacing w:line="240" w:lineRule="auto"/>
        <w:jc w:val="both"/>
        <w:rPr>
          <w:rFonts w:cs="Arial"/>
          <w:b/>
          <w:bCs/>
          <w:color w:val="000000"/>
          <w:szCs w:val="20"/>
        </w:rPr>
      </w:pPr>
    </w:p>
    <w:sectPr w:rsidR="005634B6" w:rsidRPr="003951A6"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3F88" w14:textId="77777777" w:rsidR="00506A75" w:rsidRDefault="00506A75">
      <w:r>
        <w:separator/>
      </w:r>
    </w:p>
  </w:endnote>
  <w:endnote w:type="continuationSeparator" w:id="0">
    <w:p w14:paraId="2183BDFA" w14:textId="77777777" w:rsidR="00506A75" w:rsidRDefault="0050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Gungsuh">
    <w:charset w:val="81"/>
    <w:family w:val="roman"/>
    <w:pitch w:val="variable"/>
    <w:sig w:usb0="B00002AF" w:usb1="69D77CFB" w:usb2="00000030" w:usb3="00000000" w:csb0="000800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F87F" w14:textId="77777777" w:rsidR="00506A75" w:rsidRDefault="00506A75">
      <w:r>
        <w:separator/>
      </w:r>
    </w:p>
  </w:footnote>
  <w:footnote w:type="continuationSeparator" w:id="0">
    <w:p w14:paraId="7AB9F375" w14:textId="77777777" w:rsidR="00506A75" w:rsidRDefault="0050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1938DB"/>
    <w:multiLevelType w:val="hybridMultilevel"/>
    <w:tmpl w:val="C85034B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047C20"/>
    <w:multiLevelType w:val="hybridMultilevel"/>
    <w:tmpl w:val="4394DD92"/>
    <w:lvl w:ilvl="0" w:tplc="5044B5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B76A21"/>
    <w:multiLevelType w:val="hybridMultilevel"/>
    <w:tmpl w:val="98E89E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041018"/>
    <w:multiLevelType w:val="hybridMultilevel"/>
    <w:tmpl w:val="3C8A0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A76E05"/>
    <w:multiLevelType w:val="hybridMultilevel"/>
    <w:tmpl w:val="7456A28E"/>
    <w:lvl w:ilvl="0" w:tplc="F5A091E4">
      <w:start w:val="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593BBC"/>
    <w:multiLevelType w:val="hybridMultilevel"/>
    <w:tmpl w:val="BD9CA6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C55D15"/>
    <w:multiLevelType w:val="hybridMultilevel"/>
    <w:tmpl w:val="FFCAA8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A23AA4"/>
    <w:multiLevelType w:val="hybridMultilevel"/>
    <w:tmpl w:val="ECD419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5F7808"/>
    <w:multiLevelType w:val="hybridMultilevel"/>
    <w:tmpl w:val="519EA5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BCA7837"/>
    <w:multiLevelType w:val="hybridMultilevel"/>
    <w:tmpl w:val="C43A5CEE"/>
    <w:lvl w:ilvl="0" w:tplc="6C3473AA">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8C7AA4"/>
    <w:multiLevelType w:val="hybridMultilevel"/>
    <w:tmpl w:val="51A45E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F4D00A6"/>
    <w:multiLevelType w:val="hybridMultilevel"/>
    <w:tmpl w:val="FF8C55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1324E5"/>
    <w:multiLevelType w:val="hybridMultilevel"/>
    <w:tmpl w:val="BAD40334"/>
    <w:lvl w:ilvl="0" w:tplc="6A662A78">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266664"/>
    <w:multiLevelType w:val="hybridMultilevel"/>
    <w:tmpl w:val="8BCCB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474850"/>
    <w:multiLevelType w:val="hybridMultilevel"/>
    <w:tmpl w:val="52B8DFE4"/>
    <w:lvl w:ilvl="0" w:tplc="FFFFFFFF">
      <w:start w:val="1"/>
      <w:numFmt w:val="bullet"/>
      <w:lvlText w:val=""/>
      <w:lvlJc w:val="left"/>
      <w:pPr>
        <w:ind w:left="720" w:hanging="360"/>
      </w:pPr>
      <w:rPr>
        <w:rFonts w:ascii="Symbol" w:hAnsi="Symbol" w:hint="default"/>
      </w:rPr>
    </w:lvl>
    <w:lvl w:ilvl="1" w:tplc="5044B50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637B5F"/>
    <w:multiLevelType w:val="hybridMultilevel"/>
    <w:tmpl w:val="6E342D9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3E0BAC"/>
    <w:multiLevelType w:val="hybridMultilevel"/>
    <w:tmpl w:val="CD26C1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7679A4"/>
    <w:multiLevelType w:val="hybridMultilevel"/>
    <w:tmpl w:val="198EA5BC"/>
    <w:lvl w:ilvl="0" w:tplc="5044B5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F86717"/>
    <w:multiLevelType w:val="hybridMultilevel"/>
    <w:tmpl w:val="B96E3466"/>
    <w:lvl w:ilvl="0" w:tplc="5044B500">
      <w:start w:val="1"/>
      <w:numFmt w:val="bullet"/>
      <w:lvlText w:val=""/>
      <w:lvlJc w:val="left"/>
      <w:pPr>
        <w:ind w:left="1080" w:hanging="720"/>
      </w:pPr>
      <w:rPr>
        <w:rFonts w:ascii="Symbol" w:hAnsi="Symbol" w:hint="default"/>
      </w:rPr>
    </w:lvl>
    <w:lvl w:ilvl="1" w:tplc="B31CE710">
      <w:start w:val="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797601"/>
    <w:multiLevelType w:val="hybridMultilevel"/>
    <w:tmpl w:val="69CAD144"/>
    <w:lvl w:ilvl="0" w:tplc="EDF20ADE">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B02499"/>
    <w:multiLevelType w:val="hybridMultilevel"/>
    <w:tmpl w:val="745EC202"/>
    <w:lvl w:ilvl="0" w:tplc="5044B5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9644CA"/>
    <w:multiLevelType w:val="hybridMultilevel"/>
    <w:tmpl w:val="C8563F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651D15"/>
    <w:multiLevelType w:val="hybridMultilevel"/>
    <w:tmpl w:val="B7D4F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0B68B1"/>
    <w:multiLevelType w:val="hybridMultilevel"/>
    <w:tmpl w:val="1FBCD346"/>
    <w:lvl w:ilvl="0" w:tplc="FFFFFFFF">
      <w:start w:val="1"/>
      <w:numFmt w:val="bullet"/>
      <w:lvlText w:val=""/>
      <w:lvlJc w:val="left"/>
      <w:pPr>
        <w:ind w:left="720" w:hanging="360"/>
      </w:pPr>
      <w:rPr>
        <w:rFonts w:ascii="Symbol" w:hAnsi="Symbol" w:hint="default"/>
      </w:rPr>
    </w:lvl>
    <w:lvl w:ilvl="1" w:tplc="5044B50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1426611">
    <w:abstractNumId w:val="10"/>
  </w:num>
  <w:num w:numId="2" w16cid:durableId="1760902410">
    <w:abstractNumId w:val="13"/>
  </w:num>
  <w:num w:numId="3" w16cid:durableId="538668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084298">
    <w:abstractNumId w:val="14"/>
  </w:num>
  <w:num w:numId="5" w16cid:durableId="395664973">
    <w:abstractNumId w:val="26"/>
  </w:num>
  <w:num w:numId="6" w16cid:durableId="1931887142">
    <w:abstractNumId w:val="7"/>
  </w:num>
  <w:num w:numId="7" w16cid:durableId="1372148186">
    <w:abstractNumId w:val="12"/>
  </w:num>
  <w:num w:numId="8" w16cid:durableId="1377194470">
    <w:abstractNumId w:val="9"/>
  </w:num>
  <w:num w:numId="9" w16cid:durableId="1181892551">
    <w:abstractNumId w:val="8"/>
  </w:num>
  <w:num w:numId="10" w16cid:durableId="416948096">
    <w:abstractNumId w:val="6"/>
  </w:num>
  <w:num w:numId="11" w16cid:durableId="2090730735">
    <w:abstractNumId w:val="15"/>
  </w:num>
  <w:num w:numId="12" w16cid:durableId="1603999121">
    <w:abstractNumId w:val="20"/>
  </w:num>
  <w:num w:numId="13" w16cid:durableId="1073698886">
    <w:abstractNumId w:val="25"/>
  </w:num>
  <w:num w:numId="14" w16cid:durableId="1659264762">
    <w:abstractNumId w:val="19"/>
  </w:num>
  <w:num w:numId="15" w16cid:durableId="553925663">
    <w:abstractNumId w:val="4"/>
  </w:num>
  <w:num w:numId="16" w16cid:durableId="285746572">
    <w:abstractNumId w:val="11"/>
  </w:num>
  <w:num w:numId="17" w16cid:durableId="493111942">
    <w:abstractNumId w:val="22"/>
  </w:num>
  <w:num w:numId="18" w16cid:durableId="712271108">
    <w:abstractNumId w:val="1"/>
  </w:num>
  <w:num w:numId="19" w16cid:durableId="1439983675">
    <w:abstractNumId w:val="23"/>
  </w:num>
  <w:num w:numId="20" w16cid:durableId="1702780607">
    <w:abstractNumId w:val="2"/>
  </w:num>
  <w:num w:numId="21" w16cid:durableId="1970277610">
    <w:abstractNumId w:val="18"/>
  </w:num>
  <w:num w:numId="22" w16cid:durableId="85812486">
    <w:abstractNumId w:val="24"/>
  </w:num>
  <w:num w:numId="23" w16cid:durableId="267155751">
    <w:abstractNumId w:val="27"/>
  </w:num>
  <w:num w:numId="24" w16cid:durableId="2133788432">
    <w:abstractNumId w:val="3"/>
  </w:num>
  <w:num w:numId="25" w16cid:durableId="65033503">
    <w:abstractNumId w:val="16"/>
  </w:num>
  <w:num w:numId="26" w16cid:durableId="543710686">
    <w:abstractNumId w:val="17"/>
  </w:num>
  <w:num w:numId="27" w16cid:durableId="1177618414">
    <w:abstractNumId w:val="5"/>
  </w:num>
  <w:num w:numId="28" w16cid:durableId="173547119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21F"/>
    <w:rsid w:val="000F24BE"/>
    <w:rsid w:val="000F2A3F"/>
    <w:rsid w:val="000F42E2"/>
    <w:rsid w:val="000F453B"/>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5C9"/>
    <w:rsid w:val="00123355"/>
    <w:rsid w:val="00123D66"/>
    <w:rsid w:val="00123F27"/>
    <w:rsid w:val="0012435D"/>
    <w:rsid w:val="001244DF"/>
    <w:rsid w:val="00124A40"/>
    <w:rsid w:val="00125A59"/>
    <w:rsid w:val="00125AE7"/>
    <w:rsid w:val="00125C9E"/>
    <w:rsid w:val="00125D08"/>
    <w:rsid w:val="00125F2C"/>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F37"/>
    <w:rsid w:val="00141836"/>
    <w:rsid w:val="00141B5C"/>
    <w:rsid w:val="00141FF6"/>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7489"/>
    <w:rsid w:val="002074BF"/>
    <w:rsid w:val="00207509"/>
    <w:rsid w:val="00207AE9"/>
    <w:rsid w:val="00207B9B"/>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7D18"/>
    <w:rsid w:val="00290269"/>
    <w:rsid w:val="00290338"/>
    <w:rsid w:val="00290570"/>
    <w:rsid w:val="00290B51"/>
    <w:rsid w:val="00290E60"/>
    <w:rsid w:val="00290F6F"/>
    <w:rsid w:val="0029110C"/>
    <w:rsid w:val="002912DD"/>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AA9"/>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1A6"/>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A8F"/>
    <w:rsid w:val="003A1EB8"/>
    <w:rsid w:val="003A1F63"/>
    <w:rsid w:val="003A2494"/>
    <w:rsid w:val="003A262C"/>
    <w:rsid w:val="003A2F96"/>
    <w:rsid w:val="003A3A81"/>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5A4"/>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4210"/>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ABF"/>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BBD"/>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A75"/>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83"/>
    <w:rsid w:val="005620C8"/>
    <w:rsid w:val="0056275D"/>
    <w:rsid w:val="005628CD"/>
    <w:rsid w:val="00562969"/>
    <w:rsid w:val="005634B6"/>
    <w:rsid w:val="005639E8"/>
    <w:rsid w:val="005642F1"/>
    <w:rsid w:val="00564689"/>
    <w:rsid w:val="00564786"/>
    <w:rsid w:val="005647FA"/>
    <w:rsid w:val="0056480A"/>
    <w:rsid w:val="00564D06"/>
    <w:rsid w:val="0056542F"/>
    <w:rsid w:val="0056647E"/>
    <w:rsid w:val="00567106"/>
    <w:rsid w:val="0056715C"/>
    <w:rsid w:val="00567211"/>
    <w:rsid w:val="005676A9"/>
    <w:rsid w:val="00567D63"/>
    <w:rsid w:val="00567E71"/>
    <w:rsid w:val="0057011E"/>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838"/>
    <w:rsid w:val="005B4D62"/>
    <w:rsid w:val="005B50A9"/>
    <w:rsid w:val="005B519C"/>
    <w:rsid w:val="005B538F"/>
    <w:rsid w:val="005B5DFE"/>
    <w:rsid w:val="005B6949"/>
    <w:rsid w:val="005B6ABC"/>
    <w:rsid w:val="005B6B28"/>
    <w:rsid w:val="005B70BE"/>
    <w:rsid w:val="005B7922"/>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765D"/>
    <w:rsid w:val="005F76D9"/>
    <w:rsid w:val="005F78F3"/>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406"/>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286B"/>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492C"/>
    <w:rsid w:val="007251A8"/>
    <w:rsid w:val="00725289"/>
    <w:rsid w:val="007252D5"/>
    <w:rsid w:val="0072535A"/>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93"/>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5BD2"/>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71C6"/>
    <w:rsid w:val="00987AF7"/>
    <w:rsid w:val="00990389"/>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EE4"/>
    <w:rsid w:val="009D1383"/>
    <w:rsid w:val="009D169B"/>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A50"/>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740"/>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2A7B"/>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1E3C"/>
    <w:rsid w:val="00C92578"/>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3CDC"/>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496C"/>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26B"/>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06B"/>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174"/>
    <w:rsid w:val="00FB321F"/>
    <w:rsid w:val="00FB364A"/>
    <w:rsid w:val="00FB4022"/>
    <w:rsid w:val="00FB41F9"/>
    <w:rsid w:val="00FB4651"/>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0C5"/>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Privzeto">
    <w:name w:val="Privzeto"/>
    <w:basedOn w:val="Navaden"/>
    <w:rsid w:val="00B75740"/>
    <w:pPr>
      <w:overflowPunct w:val="0"/>
      <w:autoSpaceDE w:val="0"/>
      <w:autoSpaceDN w:val="0"/>
      <w:adjustRightInd w:val="0"/>
      <w:spacing w:line="240" w:lineRule="auto"/>
      <w:jc w:val="both"/>
    </w:pPr>
    <w:rPr>
      <w:rFonts w:ascii="Times New Roman" w:hAnsi="Times New Roman"/>
      <w:sz w:val="24"/>
      <w:szCs w:val="20"/>
      <w:lang w:eastAsia="sl-SI"/>
    </w:rPr>
  </w:style>
  <w:style w:type="paragraph" w:customStyle="1" w:styleId="Navaden1">
    <w:name w:val="Navaden1"/>
    <w:basedOn w:val="Navaden"/>
    <w:rsid w:val="00BB2A7B"/>
    <w:rPr>
      <w:rFonts w:eastAsia="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16007373">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964507022">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74476179">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39747746">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8301</Words>
  <Characters>51152</Characters>
  <Application>Microsoft Office Word</Application>
  <DocSecurity>0</DocSecurity>
  <Lines>426</Lines>
  <Paragraphs>118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59335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2022-04-14T11:37:00Z</dcterms:created>
  <dcterms:modified xsi:type="dcterms:W3CDTF">2022-04-14T11:37:00Z</dcterms:modified>
</cp:coreProperties>
</file>