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8197" w14:textId="77777777" w:rsidR="002D2E48" w:rsidRPr="0004492D" w:rsidRDefault="002D2E48" w:rsidP="0004492D">
      <w:pPr>
        <w:autoSpaceDE w:val="0"/>
        <w:autoSpaceDN w:val="0"/>
        <w:adjustRightInd w:val="0"/>
        <w:spacing w:line="240" w:lineRule="auto"/>
        <w:rPr>
          <w:rFonts w:cs="Arial"/>
          <w:color w:val="000000"/>
          <w:szCs w:val="20"/>
        </w:rPr>
      </w:pPr>
    </w:p>
    <w:p w14:paraId="7062101F" w14:textId="0F4A1E35" w:rsidR="00A075C0" w:rsidRPr="0004492D" w:rsidRDefault="00A075C0" w:rsidP="0004492D">
      <w:pPr>
        <w:autoSpaceDE w:val="0"/>
        <w:autoSpaceDN w:val="0"/>
        <w:adjustRightInd w:val="0"/>
        <w:spacing w:line="240" w:lineRule="auto"/>
        <w:rPr>
          <w:rFonts w:cs="Arial"/>
          <w:b/>
          <w:bCs/>
          <w:color w:val="000000"/>
          <w:szCs w:val="20"/>
        </w:rPr>
      </w:pPr>
      <w:r w:rsidRPr="0004492D">
        <w:rPr>
          <w:rFonts w:cs="Arial"/>
          <w:b/>
          <w:bCs/>
          <w:color w:val="000000"/>
          <w:szCs w:val="20"/>
        </w:rPr>
        <w:t>SPOROČILO ZA JAVNOST</w:t>
      </w:r>
    </w:p>
    <w:p w14:paraId="501C02EF" w14:textId="44ED8BC8" w:rsidR="00A075C0" w:rsidRPr="0004492D" w:rsidRDefault="000735E5" w:rsidP="0004492D">
      <w:pPr>
        <w:autoSpaceDE w:val="0"/>
        <w:autoSpaceDN w:val="0"/>
        <w:adjustRightInd w:val="0"/>
        <w:spacing w:line="240" w:lineRule="auto"/>
        <w:jc w:val="both"/>
        <w:rPr>
          <w:rFonts w:cs="Arial"/>
          <w:color w:val="000000"/>
          <w:szCs w:val="20"/>
        </w:rPr>
      </w:pPr>
      <w:r w:rsidRPr="0004492D">
        <w:rPr>
          <w:rFonts w:cs="Arial"/>
          <w:color w:val="000000"/>
          <w:szCs w:val="20"/>
        </w:rPr>
        <w:t>17</w:t>
      </w:r>
      <w:r w:rsidR="00FC07EF" w:rsidRPr="0004492D">
        <w:rPr>
          <w:rFonts w:cs="Arial"/>
          <w:color w:val="000000"/>
          <w:szCs w:val="20"/>
        </w:rPr>
        <w:t>.</w:t>
      </w:r>
      <w:r w:rsidR="00C6261D" w:rsidRPr="0004492D">
        <w:rPr>
          <w:rFonts w:cs="Arial"/>
          <w:color w:val="000000"/>
          <w:szCs w:val="20"/>
        </w:rPr>
        <w:t xml:space="preserve"> </w:t>
      </w:r>
      <w:r w:rsidR="005A69AC" w:rsidRPr="0004492D">
        <w:rPr>
          <w:rFonts w:cs="Arial"/>
          <w:color w:val="000000"/>
          <w:szCs w:val="20"/>
        </w:rPr>
        <w:t>dece</w:t>
      </w:r>
      <w:r w:rsidR="00146FD9" w:rsidRPr="0004492D">
        <w:rPr>
          <w:rFonts w:cs="Arial"/>
          <w:color w:val="000000"/>
          <w:szCs w:val="20"/>
        </w:rPr>
        <w:t>m</w:t>
      </w:r>
      <w:r w:rsidR="008E5CFA" w:rsidRPr="0004492D">
        <w:rPr>
          <w:rFonts w:cs="Arial"/>
          <w:color w:val="000000"/>
          <w:szCs w:val="20"/>
        </w:rPr>
        <w:t>ber</w:t>
      </w:r>
      <w:r w:rsidR="004C597B" w:rsidRPr="0004492D">
        <w:rPr>
          <w:rFonts w:cs="Arial"/>
          <w:color w:val="000000"/>
          <w:szCs w:val="20"/>
        </w:rPr>
        <w:t xml:space="preserve"> </w:t>
      </w:r>
      <w:r w:rsidR="00A45B9B" w:rsidRPr="0004492D">
        <w:rPr>
          <w:rFonts w:cs="Arial"/>
          <w:color w:val="000000"/>
          <w:szCs w:val="20"/>
        </w:rPr>
        <w:t>202</w:t>
      </w:r>
      <w:r w:rsidR="008160E3" w:rsidRPr="0004492D">
        <w:rPr>
          <w:rFonts w:cs="Arial"/>
          <w:color w:val="000000"/>
          <w:szCs w:val="20"/>
        </w:rPr>
        <w:t>1</w:t>
      </w:r>
    </w:p>
    <w:p w14:paraId="52B180B9" w14:textId="2584CF7C" w:rsidR="00246179" w:rsidRPr="0004492D" w:rsidRDefault="00246179" w:rsidP="0004492D">
      <w:pPr>
        <w:autoSpaceDE w:val="0"/>
        <w:autoSpaceDN w:val="0"/>
        <w:adjustRightInd w:val="0"/>
        <w:spacing w:line="240" w:lineRule="auto"/>
        <w:jc w:val="both"/>
        <w:rPr>
          <w:rFonts w:cs="Arial"/>
          <w:b/>
          <w:bCs/>
          <w:color w:val="000000"/>
          <w:szCs w:val="20"/>
        </w:rPr>
      </w:pPr>
    </w:p>
    <w:p w14:paraId="731888EF" w14:textId="77777777" w:rsidR="002D2E48" w:rsidRPr="0004492D" w:rsidRDefault="002D2E48" w:rsidP="0004492D">
      <w:pPr>
        <w:autoSpaceDE w:val="0"/>
        <w:autoSpaceDN w:val="0"/>
        <w:adjustRightInd w:val="0"/>
        <w:spacing w:line="240" w:lineRule="auto"/>
        <w:jc w:val="both"/>
        <w:rPr>
          <w:rFonts w:cs="Arial"/>
          <w:b/>
          <w:bCs/>
          <w:color w:val="000000"/>
          <w:szCs w:val="20"/>
        </w:rPr>
      </w:pPr>
    </w:p>
    <w:p w14:paraId="7EA4173D" w14:textId="77777777" w:rsidR="00246179" w:rsidRPr="0004492D" w:rsidRDefault="00246179"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I. LISTA A</w:t>
      </w:r>
    </w:p>
    <w:p w14:paraId="781C7DC9"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683E3CF8" w14:textId="14F484B3" w:rsidR="00022D10" w:rsidRPr="0004492D" w:rsidRDefault="00022D10"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Predlog resolucije o nacionalnem programu za kulturo</w:t>
      </w:r>
    </w:p>
    <w:p w14:paraId="36B5F553" w14:textId="77777777" w:rsidR="00022D10" w:rsidRPr="0004492D" w:rsidRDefault="00022D10" w:rsidP="0004492D">
      <w:pPr>
        <w:autoSpaceDE w:val="0"/>
        <w:autoSpaceDN w:val="0"/>
        <w:adjustRightInd w:val="0"/>
        <w:spacing w:line="240" w:lineRule="auto"/>
        <w:jc w:val="both"/>
        <w:rPr>
          <w:rFonts w:cs="Arial"/>
          <w:b/>
          <w:bCs/>
          <w:color w:val="000000"/>
          <w:szCs w:val="20"/>
        </w:rPr>
      </w:pPr>
    </w:p>
    <w:p w14:paraId="7D9134F6" w14:textId="77777777" w:rsidR="00022D10" w:rsidRPr="0004492D" w:rsidRDefault="00022D10" w:rsidP="0004492D">
      <w:pPr>
        <w:autoSpaceDE w:val="0"/>
        <w:autoSpaceDN w:val="0"/>
        <w:adjustRightInd w:val="0"/>
        <w:spacing w:line="240" w:lineRule="auto"/>
        <w:jc w:val="both"/>
        <w:rPr>
          <w:rFonts w:cs="Arial"/>
          <w:color w:val="000000"/>
          <w:szCs w:val="20"/>
        </w:rPr>
      </w:pPr>
      <w:r w:rsidRPr="0004492D">
        <w:rPr>
          <w:rFonts w:cs="Arial"/>
          <w:color w:val="000000"/>
          <w:szCs w:val="20"/>
        </w:rPr>
        <w:t>Vlada je na današnji seji določila besedilo predloga Resolucije o nacionalnem programu za kulturo 2022‒2029 in ga poslala v obravnavo Državnemu zboru po rednem postopku.</w:t>
      </w:r>
    </w:p>
    <w:p w14:paraId="46A9A9F8" w14:textId="77777777" w:rsidR="00022D10" w:rsidRPr="0004492D" w:rsidRDefault="00022D10" w:rsidP="0004492D">
      <w:pPr>
        <w:autoSpaceDE w:val="0"/>
        <w:autoSpaceDN w:val="0"/>
        <w:adjustRightInd w:val="0"/>
        <w:spacing w:line="240" w:lineRule="auto"/>
        <w:jc w:val="both"/>
        <w:rPr>
          <w:rFonts w:cs="Arial"/>
          <w:color w:val="000000"/>
          <w:szCs w:val="20"/>
        </w:rPr>
      </w:pPr>
    </w:p>
    <w:p w14:paraId="75EA5872" w14:textId="77777777" w:rsidR="00022D10" w:rsidRPr="0004492D" w:rsidRDefault="00022D10" w:rsidP="0004492D">
      <w:pPr>
        <w:autoSpaceDE w:val="0"/>
        <w:autoSpaceDN w:val="0"/>
        <w:adjustRightInd w:val="0"/>
        <w:spacing w:line="240" w:lineRule="auto"/>
        <w:jc w:val="both"/>
        <w:rPr>
          <w:rFonts w:cs="Arial"/>
          <w:color w:val="000000"/>
          <w:szCs w:val="20"/>
        </w:rPr>
      </w:pPr>
      <w:r w:rsidRPr="0004492D">
        <w:rPr>
          <w:rFonts w:cs="Arial"/>
          <w:color w:val="000000"/>
          <w:szCs w:val="20"/>
        </w:rPr>
        <w:t>Resolucija celostno obravnava in povezuje vrsto različnih področij, s ciljem oblikovanja celovite in heterogene strategije na področju kulture. Poslanstvo NPK 2022‒2029 je, da se slovensko kulturo uveljavi kot pomemben družbeni dejavnik, ki omogoča razvoj, rast in prepoznavnost slovenske narodne substance tako doma kot v svetu.  Za dosego tega se povezuje z drugimi sektorji, s ciljem sooblikovanja ustvarjalne, povezane in trajnostno usmerjene demokratične družbe.</w:t>
      </w:r>
    </w:p>
    <w:p w14:paraId="3A5006F3" w14:textId="77777777" w:rsidR="00022D10" w:rsidRPr="0004492D" w:rsidRDefault="00022D10" w:rsidP="0004492D">
      <w:pPr>
        <w:autoSpaceDE w:val="0"/>
        <w:autoSpaceDN w:val="0"/>
        <w:adjustRightInd w:val="0"/>
        <w:spacing w:line="240" w:lineRule="auto"/>
        <w:jc w:val="both"/>
        <w:rPr>
          <w:rFonts w:cs="Arial"/>
          <w:color w:val="000000"/>
          <w:szCs w:val="20"/>
        </w:rPr>
      </w:pPr>
    </w:p>
    <w:p w14:paraId="2B2763BB" w14:textId="77777777" w:rsidR="00022D10" w:rsidRPr="0004492D" w:rsidRDefault="00022D10" w:rsidP="0004492D">
      <w:pPr>
        <w:autoSpaceDE w:val="0"/>
        <w:autoSpaceDN w:val="0"/>
        <w:adjustRightInd w:val="0"/>
        <w:spacing w:line="240" w:lineRule="auto"/>
        <w:jc w:val="both"/>
        <w:rPr>
          <w:rFonts w:cs="Arial"/>
          <w:color w:val="000000"/>
          <w:szCs w:val="20"/>
        </w:rPr>
      </w:pPr>
      <w:r w:rsidRPr="0004492D">
        <w:rPr>
          <w:rFonts w:cs="Arial"/>
          <w:color w:val="000000"/>
          <w:szCs w:val="20"/>
        </w:rPr>
        <w:t>Resolucija prinaša izhodišča za učinkovitejše vključevanje kulture pri načrtovanju družbenega razvoja in osebne rasti slehernega posameznika, ki temeljijo na poglobljenem razumevanju javnega interesa in skupnega dobrega, sodobnih znanstvenih dognanjih ter oblikovanju spodbudnega okolja za varovanje in uresničevanje širokega nabora potencialov kulture in kulturnih vrednot.</w:t>
      </w:r>
    </w:p>
    <w:p w14:paraId="2129D367" w14:textId="77777777" w:rsidR="00022D10" w:rsidRPr="0004492D" w:rsidRDefault="00022D10" w:rsidP="0004492D">
      <w:pPr>
        <w:autoSpaceDE w:val="0"/>
        <w:autoSpaceDN w:val="0"/>
        <w:adjustRightInd w:val="0"/>
        <w:spacing w:line="240" w:lineRule="auto"/>
        <w:jc w:val="both"/>
        <w:rPr>
          <w:rFonts w:cs="Arial"/>
          <w:color w:val="000000"/>
          <w:szCs w:val="20"/>
        </w:rPr>
      </w:pPr>
    </w:p>
    <w:p w14:paraId="78128752" w14:textId="5C9FE16B" w:rsidR="00246179" w:rsidRPr="0004492D" w:rsidRDefault="00022D10"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kulturo</w:t>
      </w:r>
    </w:p>
    <w:p w14:paraId="79DE4601"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3919877C" w14:textId="09636163" w:rsidR="008907BA" w:rsidRPr="0004492D" w:rsidRDefault="008907BA"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določila predlog Resolucije o znanstvenoraziskovalni in inovacijski strategiji Slovenije 2030</w:t>
      </w:r>
    </w:p>
    <w:p w14:paraId="236F8068" w14:textId="77777777" w:rsidR="008907BA" w:rsidRPr="0004492D" w:rsidRDefault="008907BA" w:rsidP="0004492D">
      <w:pPr>
        <w:autoSpaceDE w:val="0"/>
        <w:autoSpaceDN w:val="0"/>
        <w:adjustRightInd w:val="0"/>
        <w:spacing w:line="240" w:lineRule="auto"/>
        <w:jc w:val="both"/>
        <w:rPr>
          <w:rFonts w:cs="Arial"/>
          <w:b/>
          <w:bCs/>
          <w:color w:val="000000"/>
          <w:szCs w:val="20"/>
        </w:rPr>
      </w:pPr>
    </w:p>
    <w:p w14:paraId="079DDFE4" w14:textId="77777777" w:rsidR="008907BA" w:rsidRPr="0004492D" w:rsidRDefault="008907BA" w:rsidP="0004492D">
      <w:pPr>
        <w:autoSpaceDE w:val="0"/>
        <w:autoSpaceDN w:val="0"/>
        <w:adjustRightInd w:val="0"/>
        <w:spacing w:line="240" w:lineRule="auto"/>
        <w:jc w:val="both"/>
        <w:rPr>
          <w:rFonts w:cs="Arial"/>
          <w:color w:val="000000"/>
          <w:szCs w:val="20"/>
        </w:rPr>
      </w:pPr>
      <w:r w:rsidRPr="0004492D">
        <w:rPr>
          <w:rFonts w:cs="Arial"/>
          <w:color w:val="000000"/>
          <w:szCs w:val="20"/>
        </w:rPr>
        <w:t>Vlada Republike Slovenije je določila predlog Resolucije o znanstvenoraziskovalni in inovacijski strategiji Slovenije 2030 (ZRRIS 2030) in jo bo poslala v Državni zbor Republike Slovenije v obravnavo in sprejetje. Gre za ključni strateški dokument za področje raziskav, razvoja in inovacij, ki bo osnova za oblikovanje politik, povezanih s področji družbenega, gospodarskega in trajnostnega razvoja ter družbenimi izzivi.</w:t>
      </w:r>
    </w:p>
    <w:p w14:paraId="4EA2D397" w14:textId="77777777" w:rsidR="008907BA" w:rsidRPr="0004492D" w:rsidRDefault="008907BA" w:rsidP="0004492D">
      <w:pPr>
        <w:autoSpaceDE w:val="0"/>
        <w:autoSpaceDN w:val="0"/>
        <w:adjustRightInd w:val="0"/>
        <w:spacing w:line="240" w:lineRule="auto"/>
        <w:jc w:val="both"/>
        <w:rPr>
          <w:rFonts w:cs="Arial"/>
          <w:color w:val="000000"/>
          <w:szCs w:val="20"/>
        </w:rPr>
      </w:pPr>
    </w:p>
    <w:p w14:paraId="579C36AC" w14:textId="77777777" w:rsidR="008907BA" w:rsidRPr="0004492D" w:rsidRDefault="008907BA"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ZRISS 2030 je usklajen s Strategijo razvoja Slovenije 2030, komplementarno pa se povezuje tudi z drugimi področnimi strateškimi dokumenti na nacionalni ravni (npr. Slovensko industrijsko strategijo, Slovensko strategijo pametne specializacije, Nacionalnim energetskim in podnebnim načrtom, Digitalno Slovenijo ter Nacionalnim programom spodbujanja razvoja in uporabe umetne inteligence v RS do leta 2025). Temelji na izhodiščih in usmeritvah, ki jih je januarja letos sprejel Svet za znanost in tehnologijo Republike Slovenije in naslavlja ključne družbene izzive, izzive na mednarodni in na državni ravni ter na organizacijski ravni. </w:t>
      </w:r>
    </w:p>
    <w:p w14:paraId="1EEA5721" w14:textId="77777777" w:rsidR="008907BA" w:rsidRPr="0004492D" w:rsidRDefault="008907BA" w:rsidP="0004492D">
      <w:pPr>
        <w:autoSpaceDE w:val="0"/>
        <w:autoSpaceDN w:val="0"/>
        <w:adjustRightInd w:val="0"/>
        <w:spacing w:line="240" w:lineRule="auto"/>
        <w:jc w:val="both"/>
        <w:rPr>
          <w:rFonts w:cs="Arial"/>
          <w:color w:val="000000"/>
          <w:szCs w:val="20"/>
        </w:rPr>
      </w:pPr>
    </w:p>
    <w:p w14:paraId="1F1D3D05" w14:textId="77777777" w:rsidR="008907BA" w:rsidRPr="0004492D" w:rsidRDefault="008907BA"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Cilji upoštevajo novo nastajajoči okvir evropskega raziskovalnega prostora, ki želi  povečati konkurenčnost ter predvsem blagostanje prebivalcev EU, saj se je Evropa znašla pred velikimi družbenimi, gospodarskimi, varnostnimi in </w:t>
      </w:r>
      <w:proofErr w:type="spellStart"/>
      <w:r w:rsidRPr="0004492D">
        <w:rPr>
          <w:rFonts w:cs="Arial"/>
          <w:color w:val="000000"/>
          <w:szCs w:val="20"/>
        </w:rPr>
        <w:t>okoljskimi</w:t>
      </w:r>
      <w:proofErr w:type="spellEnd"/>
      <w:r w:rsidRPr="0004492D">
        <w:rPr>
          <w:rFonts w:cs="Arial"/>
          <w:color w:val="000000"/>
          <w:szCs w:val="20"/>
        </w:rPr>
        <w:t xml:space="preserve"> izzivi. Za uresničitev tega je nujno treba </w:t>
      </w:r>
      <w:proofErr w:type="spellStart"/>
      <w:r w:rsidRPr="0004492D">
        <w:rPr>
          <w:rFonts w:cs="Arial"/>
          <w:color w:val="000000"/>
          <w:szCs w:val="20"/>
        </w:rPr>
        <w:t>udejaniti</w:t>
      </w:r>
      <w:proofErr w:type="spellEnd"/>
      <w:r w:rsidRPr="0004492D">
        <w:rPr>
          <w:rFonts w:cs="Arial"/>
          <w:color w:val="000000"/>
          <w:szCs w:val="20"/>
        </w:rPr>
        <w:t xml:space="preserve"> zeleni in digitalni prehod.</w:t>
      </w:r>
    </w:p>
    <w:p w14:paraId="3FBAACDA" w14:textId="77777777" w:rsidR="008907BA" w:rsidRPr="0004492D" w:rsidRDefault="008907BA" w:rsidP="0004492D">
      <w:pPr>
        <w:autoSpaceDE w:val="0"/>
        <w:autoSpaceDN w:val="0"/>
        <w:adjustRightInd w:val="0"/>
        <w:spacing w:line="240" w:lineRule="auto"/>
        <w:jc w:val="both"/>
        <w:rPr>
          <w:rFonts w:cs="Arial"/>
          <w:color w:val="000000"/>
          <w:szCs w:val="20"/>
        </w:rPr>
      </w:pPr>
    </w:p>
    <w:p w14:paraId="7785FE55" w14:textId="77777777" w:rsidR="008907BA" w:rsidRPr="0004492D" w:rsidRDefault="008907BA"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Pričakovani razvojni učinki in rezultati RISS 2030 so, da se bo Slovenija do takrat razvila v uspešno na znanju in inovacijah temelječo družbo ter se uvrstila v skupino držav vodilnih inovatork na lestvici evropskega inovacijskega indeksa. Javna vlaganja v znanstvenoraziskovalno in inovacijsko dejavnost bodo do leta 2030 znašala  1,25 % BDP, pri čemer je že v letu 2027 predviden obseg javnih vlaganj 1 % BDP, celotna vlaganja v znanstvenoraziskovalno, razvojno in inovacijsko dejavnost pa bodo do leta 2030 obsegala 3,5 % BDP. </w:t>
      </w:r>
    </w:p>
    <w:p w14:paraId="6A7B0C98" w14:textId="77777777" w:rsidR="008907BA" w:rsidRPr="0004492D" w:rsidRDefault="008907BA" w:rsidP="0004492D">
      <w:pPr>
        <w:autoSpaceDE w:val="0"/>
        <w:autoSpaceDN w:val="0"/>
        <w:adjustRightInd w:val="0"/>
        <w:spacing w:line="240" w:lineRule="auto"/>
        <w:jc w:val="both"/>
        <w:rPr>
          <w:rFonts w:cs="Arial"/>
          <w:color w:val="000000"/>
          <w:szCs w:val="20"/>
        </w:rPr>
      </w:pPr>
    </w:p>
    <w:p w14:paraId="5F307FE2" w14:textId="0D9F1E08" w:rsidR="00246179" w:rsidRPr="0004492D" w:rsidRDefault="008907BA"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izobraževanje, znanost in šport</w:t>
      </w:r>
    </w:p>
    <w:p w14:paraId="62A6F41D"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421EEA9A" w14:textId="22604A52" w:rsidR="00564689" w:rsidRPr="0004492D" w:rsidRDefault="00564689"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Poročilo o izvajanju Resolucije o nacionalnem programu varnosti cestnega prometa za leto 2020</w:t>
      </w:r>
    </w:p>
    <w:p w14:paraId="371AF2A2" w14:textId="77777777" w:rsidR="00564689" w:rsidRPr="0004492D" w:rsidRDefault="00564689" w:rsidP="0004492D">
      <w:pPr>
        <w:autoSpaceDE w:val="0"/>
        <w:autoSpaceDN w:val="0"/>
        <w:adjustRightInd w:val="0"/>
        <w:spacing w:line="240" w:lineRule="auto"/>
        <w:jc w:val="both"/>
        <w:rPr>
          <w:rFonts w:cs="Arial"/>
          <w:b/>
          <w:bCs/>
          <w:color w:val="000000"/>
          <w:szCs w:val="20"/>
        </w:rPr>
      </w:pPr>
    </w:p>
    <w:p w14:paraId="1FDAFEC7" w14:textId="16C7F97E" w:rsidR="00564689" w:rsidRPr="0004492D" w:rsidRDefault="00564689" w:rsidP="0004492D">
      <w:pPr>
        <w:autoSpaceDE w:val="0"/>
        <w:autoSpaceDN w:val="0"/>
        <w:adjustRightInd w:val="0"/>
        <w:spacing w:line="240" w:lineRule="auto"/>
        <w:jc w:val="both"/>
        <w:rPr>
          <w:rFonts w:cs="Arial"/>
          <w:color w:val="000000"/>
          <w:szCs w:val="20"/>
        </w:rPr>
      </w:pPr>
      <w:r w:rsidRPr="0004492D">
        <w:rPr>
          <w:rFonts w:cs="Arial"/>
          <w:iCs/>
          <w:szCs w:val="20"/>
        </w:rPr>
        <w:t xml:space="preserve">Vlada Republike Slovenije je obravnavala Poročilo o izvajanju Resolucije o nacionalnem programu varnosti cestnega prometa za leto 2020. </w:t>
      </w:r>
      <w:r w:rsidRPr="0004492D">
        <w:rPr>
          <w:rFonts w:cs="Arial"/>
          <w:color w:val="000000"/>
          <w:szCs w:val="20"/>
        </w:rPr>
        <w:t>Predlog Poročila o izvajanju Resolucije o nacionalnem programu varnosti cestnega prometa za leto 2020 je pripravila Medresorska delovna skupina za spremljanje in izvajanje Resolucije o nacionalnem programu varnosti cestnega prometa za obdobje od 2013 do 2022 na podlagi poročil resornih ministrstev in drugih subjektov, ki so nosilci posameznih ukrepov in aktivnosti.</w:t>
      </w:r>
    </w:p>
    <w:p w14:paraId="2F6CEE89" w14:textId="77777777" w:rsidR="00564689" w:rsidRPr="0004492D" w:rsidRDefault="00564689" w:rsidP="0004492D">
      <w:pPr>
        <w:autoSpaceDE w:val="0"/>
        <w:autoSpaceDN w:val="0"/>
        <w:adjustRightInd w:val="0"/>
        <w:spacing w:line="240" w:lineRule="auto"/>
        <w:jc w:val="both"/>
        <w:rPr>
          <w:rFonts w:cs="Arial"/>
          <w:color w:val="000000"/>
          <w:szCs w:val="20"/>
        </w:rPr>
      </w:pPr>
    </w:p>
    <w:p w14:paraId="0107DA3C" w14:textId="77777777" w:rsidR="00564689" w:rsidRPr="0004492D" w:rsidRDefault="00564689"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Glede na ugotovitve Poročila o izvajanju Resolucije NPVCP za leto 2020 je treba poudariti sistemske premike za izboljšanje prometne varnosti, ki bodo dolgoročno uravnotežili to področje ne glede na gospodarske, družbene in politične vplive. </w:t>
      </w:r>
    </w:p>
    <w:p w14:paraId="254BE8D2" w14:textId="77777777" w:rsidR="00564689" w:rsidRPr="0004492D" w:rsidRDefault="00564689" w:rsidP="0004492D">
      <w:pPr>
        <w:autoSpaceDE w:val="0"/>
        <w:autoSpaceDN w:val="0"/>
        <w:adjustRightInd w:val="0"/>
        <w:spacing w:line="240" w:lineRule="auto"/>
        <w:jc w:val="both"/>
        <w:rPr>
          <w:rFonts w:cs="Arial"/>
          <w:color w:val="000000"/>
          <w:szCs w:val="20"/>
        </w:rPr>
      </w:pPr>
    </w:p>
    <w:p w14:paraId="6C2F7C88" w14:textId="77777777" w:rsidR="00564689" w:rsidRPr="0004492D" w:rsidRDefault="00564689" w:rsidP="0004492D">
      <w:pPr>
        <w:autoSpaceDE w:val="0"/>
        <w:autoSpaceDN w:val="0"/>
        <w:adjustRightInd w:val="0"/>
        <w:spacing w:line="240" w:lineRule="auto"/>
        <w:jc w:val="both"/>
        <w:rPr>
          <w:rFonts w:cs="Arial"/>
          <w:color w:val="000000"/>
          <w:szCs w:val="20"/>
        </w:rPr>
      </w:pPr>
      <w:r w:rsidRPr="0004492D">
        <w:rPr>
          <w:rFonts w:cs="Arial"/>
          <w:color w:val="000000"/>
          <w:szCs w:val="20"/>
        </w:rPr>
        <w:t>Uresničevanje »Vizije nič«, nič smrtnih žrtev v cestnem prometu, je skladno z določili Bele knjige treba zagotavljati s temi ukrepi: uskladitev in uveljavitev tehnologije za varnost cestnega prometa, kot so sistemi za pomoč voznikom, (pametni) omejevalniki hitrosti, opozorilniki pripetosti varnostnih pasov, e-klic, sistemi sodelovanja in vmesniki med vozili in infrastrukturo ter izboljšani tehnični pregledi, vključno za alternativne pogonske sisteme; oblikovanje celostne strategije ukrepanja v zvezi s poškodbami v prometu in službami za ukrepanje ob nesrečah, vključno z enotnimi definicijami in standardnimi razvrstitvami poškodb in nesreč s smrtnim izidom za določitev ciljnega zmanjšanja števila poškodb; osredotočanje na usposabljanje in izobraževanje vseh uporabnikov, spodbujanje uporabe varnostne opreme (varnostni pasovi, zaščitna oblačila in preprečevanje nedovoljenih sprememb vozila); posebno pozornost namenjati ranljivim uporabnikom, kot so pešci, kolesarji in motoristi, med drugim z varnejšimi tehnologijami za infrastrukturo in vozila.</w:t>
      </w:r>
    </w:p>
    <w:p w14:paraId="74C9543E" w14:textId="77777777" w:rsidR="00564689" w:rsidRPr="0004492D" w:rsidRDefault="00564689" w:rsidP="0004492D">
      <w:pPr>
        <w:autoSpaceDE w:val="0"/>
        <w:autoSpaceDN w:val="0"/>
        <w:adjustRightInd w:val="0"/>
        <w:spacing w:line="240" w:lineRule="auto"/>
        <w:jc w:val="both"/>
        <w:rPr>
          <w:rFonts w:cs="Arial"/>
          <w:color w:val="000000"/>
          <w:szCs w:val="20"/>
        </w:rPr>
      </w:pPr>
    </w:p>
    <w:p w14:paraId="6AB1C73B" w14:textId="77777777" w:rsidR="00564689" w:rsidRPr="0004492D" w:rsidRDefault="00564689" w:rsidP="0004492D">
      <w:pPr>
        <w:autoSpaceDE w:val="0"/>
        <w:autoSpaceDN w:val="0"/>
        <w:adjustRightInd w:val="0"/>
        <w:spacing w:line="240" w:lineRule="auto"/>
        <w:jc w:val="both"/>
        <w:rPr>
          <w:rFonts w:cs="Arial"/>
          <w:color w:val="000000"/>
          <w:szCs w:val="20"/>
        </w:rPr>
      </w:pPr>
      <w:r w:rsidRPr="0004492D">
        <w:rPr>
          <w:rFonts w:cs="Arial"/>
          <w:color w:val="000000"/>
          <w:szCs w:val="20"/>
        </w:rPr>
        <w:t>Za dosego ciljev na področju varnosti cestnega prometa je potreben celostni in integralni pristop na politični, strateški, strokovni in izvajalski ravni. Pri tem so prednostne naloge in cilji določeni z Nacionalnim programom varnosti cestnega prometa 2013–2022 ter obdobnimi načrti, ki natančno opredeljujejo nacionalni program in so sistematična podpora trajnostnemu in celostnemu razvoju na področju varnosti cestnega prometa.</w:t>
      </w:r>
    </w:p>
    <w:p w14:paraId="41351440" w14:textId="77777777" w:rsidR="00564689" w:rsidRPr="0004492D" w:rsidRDefault="00564689" w:rsidP="0004492D">
      <w:pPr>
        <w:autoSpaceDE w:val="0"/>
        <w:autoSpaceDN w:val="0"/>
        <w:adjustRightInd w:val="0"/>
        <w:spacing w:line="240" w:lineRule="auto"/>
        <w:jc w:val="both"/>
        <w:rPr>
          <w:rFonts w:cs="Arial"/>
          <w:color w:val="000000"/>
          <w:szCs w:val="20"/>
        </w:rPr>
      </w:pPr>
    </w:p>
    <w:p w14:paraId="39EFF5C5" w14:textId="2C56B1B8" w:rsidR="00246179" w:rsidRPr="0004492D" w:rsidRDefault="00564689"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infrastrukturo</w:t>
      </w:r>
    </w:p>
    <w:p w14:paraId="45B45C5C"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2A651162" w14:textId="189A1623" w:rsidR="007D4183" w:rsidRPr="0004492D" w:rsidRDefault="007D4183"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izdala Uredbo o izvajanju javnega najema stanovanj</w:t>
      </w:r>
    </w:p>
    <w:p w14:paraId="0258A3DD" w14:textId="77777777" w:rsidR="007D4183" w:rsidRPr="0004492D" w:rsidRDefault="007D4183" w:rsidP="0004492D">
      <w:pPr>
        <w:autoSpaceDE w:val="0"/>
        <w:autoSpaceDN w:val="0"/>
        <w:adjustRightInd w:val="0"/>
        <w:spacing w:line="240" w:lineRule="auto"/>
        <w:jc w:val="both"/>
        <w:rPr>
          <w:rFonts w:cs="Arial"/>
          <w:b/>
          <w:bCs/>
          <w:color w:val="000000"/>
          <w:szCs w:val="20"/>
        </w:rPr>
      </w:pPr>
    </w:p>
    <w:p w14:paraId="1D92FECC" w14:textId="77777777" w:rsidR="007D4183" w:rsidRPr="0004492D" w:rsidRDefault="007D4183" w:rsidP="0004492D">
      <w:pPr>
        <w:autoSpaceDE w:val="0"/>
        <w:autoSpaceDN w:val="0"/>
        <w:adjustRightInd w:val="0"/>
        <w:spacing w:line="240" w:lineRule="auto"/>
        <w:jc w:val="both"/>
        <w:rPr>
          <w:rFonts w:cs="Arial"/>
          <w:color w:val="000000"/>
          <w:szCs w:val="20"/>
        </w:rPr>
      </w:pPr>
      <w:r w:rsidRPr="0004492D">
        <w:rPr>
          <w:rFonts w:cs="Arial"/>
          <w:color w:val="000000"/>
          <w:szCs w:val="20"/>
        </w:rPr>
        <w:t>Vlada je izdala Uredbo o izvajanju javnega najema stanovanj, ki ureja vse faze izvajanja javnega najema stanovanj. Uredba določa vsebine javnega razpisa, kriterije za najem stanovanj in postopek izbora, vključno s sestavo strokovne komisije za izbor.</w:t>
      </w:r>
    </w:p>
    <w:p w14:paraId="2B45A3B7" w14:textId="77777777" w:rsidR="007D4183" w:rsidRPr="0004492D" w:rsidRDefault="007D4183" w:rsidP="0004492D">
      <w:pPr>
        <w:autoSpaceDE w:val="0"/>
        <w:autoSpaceDN w:val="0"/>
        <w:adjustRightInd w:val="0"/>
        <w:spacing w:line="240" w:lineRule="auto"/>
        <w:jc w:val="both"/>
        <w:rPr>
          <w:rFonts w:cs="Arial"/>
          <w:color w:val="000000"/>
          <w:szCs w:val="20"/>
        </w:rPr>
      </w:pPr>
    </w:p>
    <w:p w14:paraId="29A67887" w14:textId="77777777" w:rsidR="007D4183" w:rsidRPr="0004492D" w:rsidRDefault="007D4183" w:rsidP="0004492D">
      <w:pPr>
        <w:autoSpaceDE w:val="0"/>
        <w:autoSpaceDN w:val="0"/>
        <w:adjustRightInd w:val="0"/>
        <w:spacing w:line="240" w:lineRule="auto"/>
        <w:jc w:val="both"/>
        <w:rPr>
          <w:rFonts w:cs="Arial"/>
          <w:color w:val="000000"/>
          <w:szCs w:val="20"/>
        </w:rPr>
      </w:pPr>
      <w:r w:rsidRPr="0004492D">
        <w:rPr>
          <w:rFonts w:cs="Arial"/>
          <w:color w:val="000000"/>
          <w:szCs w:val="20"/>
        </w:rPr>
        <w:t>Prav tako določa vsebine javnega razpisa za oddajanje najetih stanovanj v podnajem upravičencem, prednostne kategorije prosilcev za najem stanovanj in postopek oddaje stanovanj v podnajem.</w:t>
      </w:r>
    </w:p>
    <w:p w14:paraId="726A8CBC" w14:textId="77777777" w:rsidR="007D4183" w:rsidRPr="0004492D" w:rsidRDefault="007D4183" w:rsidP="0004492D">
      <w:pPr>
        <w:autoSpaceDE w:val="0"/>
        <w:autoSpaceDN w:val="0"/>
        <w:adjustRightInd w:val="0"/>
        <w:spacing w:line="240" w:lineRule="auto"/>
        <w:jc w:val="both"/>
        <w:rPr>
          <w:rFonts w:cs="Arial"/>
          <w:color w:val="000000"/>
          <w:szCs w:val="20"/>
        </w:rPr>
      </w:pPr>
    </w:p>
    <w:p w14:paraId="7CA60340" w14:textId="77777777" w:rsidR="007D4183" w:rsidRPr="0004492D" w:rsidRDefault="007D4183" w:rsidP="0004492D">
      <w:pPr>
        <w:autoSpaceDE w:val="0"/>
        <w:autoSpaceDN w:val="0"/>
        <w:adjustRightInd w:val="0"/>
        <w:spacing w:line="240" w:lineRule="auto"/>
        <w:jc w:val="both"/>
        <w:rPr>
          <w:rFonts w:cs="Arial"/>
          <w:color w:val="000000"/>
          <w:szCs w:val="20"/>
        </w:rPr>
      </w:pPr>
      <w:r w:rsidRPr="0004492D">
        <w:rPr>
          <w:rFonts w:cs="Arial"/>
          <w:color w:val="000000"/>
          <w:szCs w:val="20"/>
        </w:rPr>
        <w:t>Z uredbo se določita tudi način izračuna najemnine za podnajemnike in način subvencioniranja najemnine, pri čemer gre za odstop od siceršnje prakse pri stanovanjih, ki se oddajajo za neprofitno najemnino, saj se za subvencioniranje najemnine upoštevajo splošni pogoji za pridobitev subvencije k plačilu tržne najemnine, pri čemer upravičencem ni treba izpolnjevati pogoja o uvrstitvi na prednostno listo na zadnjem javnem razpisu.</w:t>
      </w:r>
    </w:p>
    <w:p w14:paraId="07D7B14E" w14:textId="77777777" w:rsidR="007D4183" w:rsidRPr="0004492D" w:rsidRDefault="007D4183" w:rsidP="0004492D">
      <w:pPr>
        <w:autoSpaceDE w:val="0"/>
        <w:autoSpaceDN w:val="0"/>
        <w:adjustRightInd w:val="0"/>
        <w:spacing w:line="240" w:lineRule="auto"/>
        <w:jc w:val="both"/>
        <w:rPr>
          <w:rFonts w:cs="Arial"/>
          <w:color w:val="000000"/>
          <w:szCs w:val="20"/>
        </w:rPr>
      </w:pPr>
    </w:p>
    <w:p w14:paraId="78B9A4F8" w14:textId="77777777" w:rsidR="007D4183" w:rsidRPr="0004492D" w:rsidRDefault="007D4183" w:rsidP="0004492D">
      <w:pPr>
        <w:autoSpaceDE w:val="0"/>
        <w:autoSpaceDN w:val="0"/>
        <w:adjustRightInd w:val="0"/>
        <w:spacing w:line="240" w:lineRule="auto"/>
        <w:jc w:val="both"/>
        <w:rPr>
          <w:rFonts w:cs="Arial"/>
          <w:color w:val="000000"/>
          <w:szCs w:val="20"/>
        </w:rPr>
      </w:pPr>
      <w:r w:rsidRPr="0004492D">
        <w:rPr>
          <w:rFonts w:cs="Arial"/>
          <w:color w:val="000000"/>
          <w:szCs w:val="20"/>
        </w:rPr>
        <w:t>Uredba ureja tudi obseg zagotovljenih sredstev za kritje stroškov izvajanja javnega najema stanovanj in vsebino izvajalčevega poročila o stroških izvajanja javnega najema stanovanj, ki se uporablja kot podlaga za pridobitev predvidenih proračunskih sredstev.</w:t>
      </w:r>
    </w:p>
    <w:p w14:paraId="04FAC1AC" w14:textId="77777777" w:rsidR="007D4183" w:rsidRPr="0004492D" w:rsidRDefault="007D4183" w:rsidP="0004492D">
      <w:pPr>
        <w:autoSpaceDE w:val="0"/>
        <w:autoSpaceDN w:val="0"/>
        <w:adjustRightInd w:val="0"/>
        <w:spacing w:line="240" w:lineRule="auto"/>
        <w:jc w:val="both"/>
        <w:rPr>
          <w:rFonts w:cs="Arial"/>
          <w:color w:val="000000"/>
          <w:szCs w:val="20"/>
        </w:rPr>
      </w:pPr>
    </w:p>
    <w:p w14:paraId="22E49577" w14:textId="77777777" w:rsidR="007D4183" w:rsidRPr="0004492D" w:rsidRDefault="007D4183" w:rsidP="0004492D">
      <w:pPr>
        <w:autoSpaceDE w:val="0"/>
        <w:autoSpaceDN w:val="0"/>
        <w:adjustRightInd w:val="0"/>
        <w:spacing w:line="240" w:lineRule="auto"/>
        <w:jc w:val="both"/>
        <w:rPr>
          <w:rFonts w:cs="Arial"/>
          <w:color w:val="000000"/>
          <w:szCs w:val="20"/>
        </w:rPr>
      </w:pPr>
      <w:r w:rsidRPr="0004492D">
        <w:rPr>
          <w:rFonts w:cs="Arial"/>
          <w:color w:val="000000"/>
          <w:szCs w:val="20"/>
        </w:rPr>
        <w:t>Zakon o spremembah in dopolnitvah Stanovanjskega zakona, ki je podlaga za sprejem uredbe, določa, da začne Stanovanjski sklad Republike Slovenije izvajati javni najem stanovanj 1. januarja 2022.</w:t>
      </w:r>
    </w:p>
    <w:p w14:paraId="3646AFA0" w14:textId="77777777" w:rsidR="007D4183" w:rsidRPr="0004492D" w:rsidRDefault="007D4183" w:rsidP="0004492D">
      <w:pPr>
        <w:autoSpaceDE w:val="0"/>
        <w:autoSpaceDN w:val="0"/>
        <w:adjustRightInd w:val="0"/>
        <w:spacing w:line="240" w:lineRule="auto"/>
        <w:jc w:val="both"/>
        <w:rPr>
          <w:rFonts w:cs="Arial"/>
          <w:color w:val="000000"/>
          <w:szCs w:val="20"/>
        </w:rPr>
      </w:pPr>
    </w:p>
    <w:p w14:paraId="33480E70" w14:textId="50CC6C35" w:rsidR="00246179" w:rsidRPr="0004492D" w:rsidRDefault="007D4183" w:rsidP="0004492D">
      <w:pPr>
        <w:autoSpaceDE w:val="0"/>
        <w:autoSpaceDN w:val="0"/>
        <w:adjustRightInd w:val="0"/>
        <w:spacing w:line="240" w:lineRule="auto"/>
        <w:jc w:val="both"/>
        <w:rPr>
          <w:rFonts w:cs="Arial"/>
          <w:color w:val="000000"/>
          <w:szCs w:val="20"/>
        </w:rPr>
      </w:pPr>
      <w:r w:rsidRPr="0004492D">
        <w:rPr>
          <w:rFonts w:cs="Arial"/>
          <w:color w:val="000000"/>
          <w:szCs w:val="20"/>
        </w:rPr>
        <w:lastRenderedPageBreak/>
        <w:t>Vir: Ministrstvo za okolje in prostor</w:t>
      </w:r>
    </w:p>
    <w:p w14:paraId="6E5EB06F"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1F482CEF" w14:textId="0491153C" w:rsidR="005417ED" w:rsidRPr="0004492D" w:rsidRDefault="005417ED"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izdala spremembo Uredbe o preprečevanju in zmanjševanju emisije delcev iz gradbišč</w:t>
      </w:r>
    </w:p>
    <w:p w14:paraId="2EF09C53" w14:textId="77777777" w:rsidR="005417ED" w:rsidRPr="0004492D" w:rsidRDefault="005417ED" w:rsidP="0004492D">
      <w:pPr>
        <w:autoSpaceDE w:val="0"/>
        <w:autoSpaceDN w:val="0"/>
        <w:adjustRightInd w:val="0"/>
        <w:spacing w:line="240" w:lineRule="auto"/>
        <w:jc w:val="both"/>
        <w:rPr>
          <w:rFonts w:cs="Arial"/>
          <w:b/>
          <w:bCs/>
          <w:color w:val="000000"/>
          <w:szCs w:val="20"/>
        </w:rPr>
      </w:pPr>
    </w:p>
    <w:p w14:paraId="5FA9EB46" w14:textId="77777777" w:rsidR="005417ED" w:rsidRPr="0004492D" w:rsidRDefault="005417ED" w:rsidP="0004492D">
      <w:pPr>
        <w:autoSpaceDE w:val="0"/>
        <w:autoSpaceDN w:val="0"/>
        <w:adjustRightInd w:val="0"/>
        <w:spacing w:line="240" w:lineRule="auto"/>
        <w:jc w:val="both"/>
        <w:rPr>
          <w:rFonts w:cs="Arial"/>
          <w:color w:val="000000"/>
          <w:szCs w:val="20"/>
        </w:rPr>
      </w:pPr>
      <w:r w:rsidRPr="0004492D">
        <w:rPr>
          <w:rFonts w:cs="Arial"/>
          <w:color w:val="000000"/>
          <w:szCs w:val="20"/>
        </w:rPr>
        <w:t>Vlada je izdala Uredbo o spremembah in dopolnitvi Uredbe o preprečevanju in zmanjševanju emisije delcev iz gradbišč. Sprememba in dopolnitev uredbe ne bo imela negativnega vpliva na okolje, hkrati pa bo olajšala izvajanje aktivnosti investitorjev in izvajalcev del na gradbiščih.</w:t>
      </w:r>
    </w:p>
    <w:p w14:paraId="14B3D571" w14:textId="77777777" w:rsidR="005417ED" w:rsidRPr="0004492D" w:rsidRDefault="005417ED" w:rsidP="0004492D">
      <w:pPr>
        <w:autoSpaceDE w:val="0"/>
        <w:autoSpaceDN w:val="0"/>
        <w:adjustRightInd w:val="0"/>
        <w:spacing w:line="240" w:lineRule="auto"/>
        <w:jc w:val="both"/>
        <w:rPr>
          <w:rFonts w:cs="Arial"/>
          <w:color w:val="000000"/>
          <w:szCs w:val="20"/>
        </w:rPr>
      </w:pPr>
    </w:p>
    <w:p w14:paraId="521010F0" w14:textId="77777777" w:rsidR="005417ED" w:rsidRPr="0004492D" w:rsidRDefault="005417ED" w:rsidP="0004492D">
      <w:pPr>
        <w:autoSpaceDE w:val="0"/>
        <w:autoSpaceDN w:val="0"/>
        <w:adjustRightInd w:val="0"/>
        <w:spacing w:line="240" w:lineRule="auto"/>
        <w:jc w:val="both"/>
        <w:rPr>
          <w:rFonts w:cs="Arial"/>
          <w:color w:val="000000"/>
          <w:szCs w:val="20"/>
        </w:rPr>
      </w:pPr>
      <w:r w:rsidRPr="0004492D">
        <w:rPr>
          <w:rFonts w:cs="Arial"/>
          <w:color w:val="000000"/>
          <w:szCs w:val="20"/>
        </w:rPr>
        <w:t>S predlogom uredbe se:</w:t>
      </w:r>
    </w:p>
    <w:p w14:paraId="4D66AC91" w14:textId="7EC4F3E1" w:rsidR="005417ED" w:rsidRPr="0004492D" w:rsidRDefault="005417ED" w:rsidP="0004492D">
      <w:pPr>
        <w:pStyle w:val="Odstavekseznama"/>
        <w:numPr>
          <w:ilvl w:val="0"/>
          <w:numId w:val="36"/>
        </w:numPr>
        <w:autoSpaceDE w:val="0"/>
        <w:autoSpaceDN w:val="0"/>
        <w:adjustRightInd w:val="0"/>
        <w:spacing w:line="240" w:lineRule="auto"/>
        <w:jc w:val="both"/>
        <w:rPr>
          <w:rFonts w:cs="Arial"/>
          <w:color w:val="000000"/>
          <w:szCs w:val="20"/>
        </w:rPr>
      </w:pPr>
      <w:r w:rsidRPr="0004492D">
        <w:rPr>
          <w:rFonts w:cs="Arial"/>
          <w:color w:val="000000"/>
          <w:szCs w:val="20"/>
        </w:rPr>
        <w:t>omogoča uporaba gradbene mehanizacije, ki ima vgrajen homologiran motor s stopnjo zmanjšanja emisij IIIB, IV ali V. Omenjene stopnje zmanjšanja emisij so novejše od prvotne stopnje IIIA in temu primerno pripomorejo h kakovosti zraka;</w:t>
      </w:r>
    </w:p>
    <w:p w14:paraId="76F7074C" w14:textId="5C6629BE" w:rsidR="005417ED" w:rsidRPr="0004492D" w:rsidRDefault="005417ED" w:rsidP="0004492D">
      <w:pPr>
        <w:pStyle w:val="Odstavekseznama"/>
        <w:numPr>
          <w:ilvl w:val="0"/>
          <w:numId w:val="36"/>
        </w:numPr>
        <w:autoSpaceDE w:val="0"/>
        <w:autoSpaceDN w:val="0"/>
        <w:adjustRightInd w:val="0"/>
        <w:spacing w:line="240" w:lineRule="auto"/>
        <w:jc w:val="both"/>
        <w:rPr>
          <w:rFonts w:cs="Arial"/>
          <w:color w:val="000000"/>
          <w:szCs w:val="20"/>
        </w:rPr>
      </w:pPr>
      <w:r w:rsidRPr="0004492D">
        <w:rPr>
          <w:rFonts w:cs="Arial"/>
          <w:color w:val="000000"/>
          <w:szCs w:val="20"/>
        </w:rPr>
        <w:t>dodaja možnost obdelave mineralnih surovin na gradbiščih;</w:t>
      </w:r>
    </w:p>
    <w:p w14:paraId="7DDFD987" w14:textId="5F2B3066" w:rsidR="005417ED" w:rsidRPr="0004492D" w:rsidRDefault="005417ED" w:rsidP="0004492D">
      <w:pPr>
        <w:pStyle w:val="Odstavekseznama"/>
        <w:numPr>
          <w:ilvl w:val="0"/>
          <w:numId w:val="36"/>
        </w:numPr>
        <w:autoSpaceDE w:val="0"/>
        <w:autoSpaceDN w:val="0"/>
        <w:adjustRightInd w:val="0"/>
        <w:spacing w:line="240" w:lineRule="auto"/>
        <w:jc w:val="both"/>
        <w:rPr>
          <w:rFonts w:cs="Arial"/>
          <w:color w:val="000000"/>
          <w:szCs w:val="20"/>
        </w:rPr>
      </w:pPr>
      <w:r w:rsidRPr="0004492D">
        <w:rPr>
          <w:rFonts w:cs="Arial"/>
          <w:color w:val="000000"/>
          <w:szCs w:val="20"/>
        </w:rPr>
        <w:t>kot opcija se k zajemu in čiščenju izstopnega zraka iz obdelave gradbenih odpadkov in mineralnih surovin omogoči tudi uporaba vodne meglice ali vodne zavese v sklopu avtomatsko vodene naprave;</w:t>
      </w:r>
    </w:p>
    <w:p w14:paraId="0FA9180B" w14:textId="352B95B3" w:rsidR="005417ED" w:rsidRPr="0004492D" w:rsidRDefault="005417ED" w:rsidP="0004492D">
      <w:pPr>
        <w:pStyle w:val="Odstavekseznama"/>
        <w:numPr>
          <w:ilvl w:val="0"/>
          <w:numId w:val="36"/>
        </w:numPr>
        <w:autoSpaceDE w:val="0"/>
        <w:autoSpaceDN w:val="0"/>
        <w:adjustRightInd w:val="0"/>
        <w:spacing w:line="240" w:lineRule="auto"/>
        <w:jc w:val="both"/>
        <w:rPr>
          <w:rFonts w:cs="Arial"/>
          <w:color w:val="000000"/>
          <w:szCs w:val="20"/>
        </w:rPr>
      </w:pPr>
      <w:r w:rsidRPr="0004492D">
        <w:rPr>
          <w:rFonts w:cs="Arial"/>
          <w:color w:val="000000"/>
          <w:szCs w:val="20"/>
        </w:rPr>
        <w:t>pri skladiščenju materiala zrnatosti z velikostjo manj kot 5 mm črta zahteva glede zajema in čiščenja izstopnega zraka iz zaprtega skladišča, hkrati pa se doda kot enakovredna opcija možnost pokrivanja materiala, ki ni skladiščen v zaprtem prostoru;</w:t>
      </w:r>
    </w:p>
    <w:p w14:paraId="650C052F" w14:textId="28A0BA05" w:rsidR="005417ED" w:rsidRPr="0004492D" w:rsidRDefault="005417ED" w:rsidP="0004492D">
      <w:pPr>
        <w:pStyle w:val="Odstavekseznama"/>
        <w:numPr>
          <w:ilvl w:val="0"/>
          <w:numId w:val="36"/>
        </w:numPr>
        <w:autoSpaceDE w:val="0"/>
        <w:autoSpaceDN w:val="0"/>
        <w:adjustRightInd w:val="0"/>
        <w:spacing w:line="240" w:lineRule="auto"/>
        <w:jc w:val="both"/>
        <w:rPr>
          <w:rFonts w:cs="Arial"/>
          <w:color w:val="000000"/>
          <w:szCs w:val="20"/>
        </w:rPr>
      </w:pPr>
      <w:r w:rsidRPr="0004492D">
        <w:rPr>
          <w:rFonts w:cs="Arial"/>
          <w:color w:val="000000"/>
          <w:szCs w:val="20"/>
        </w:rPr>
        <w:t>omogoča obdelava gradbenih odpadkov in mineralnih snovi tudi na gradbiščih na območju degradiranega okolja, ob pogoju, da za to območje ni razglašena čezmerna stopnja onesnaženosti z delci PM10, ki jo izda Agencija Republike Slovenija za okolje;</w:t>
      </w:r>
    </w:p>
    <w:p w14:paraId="192FB5D7" w14:textId="2A282E83" w:rsidR="005417ED" w:rsidRPr="0004492D" w:rsidRDefault="005417ED" w:rsidP="0004492D">
      <w:pPr>
        <w:pStyle w:val="Odstavekseznama"/>
        <w:numPr>
          <w:ilvl w:val="0"/>
          <w:numId w:val="36"/>
        </w:numPr>
        <w:autoSpaceDE w:val="0"/>
        <w:autoSpaceDN w:val="0"/>
        <w:adjustRightInd w:val="0"/>
        <w:spacing w:line="240" w:lineRule="auto"/>
        <w:jc w:val="both"/>
        <w:rPr>
          <w:rFonts w:cs="Arial"/>
          <w:color w:val="000000"/>
          <w:szCs w:val="20"/>
        </w:rPr>
      </w:pPr>
      <w:r w:rsidRPr="0004492D">
        <w:rPr>
          <w:rFonts w:cs="Arial"/>
          <w:color w:val="000000"/>
          <w:szCs w:val="20"/>
        </w:rPr>
        <w:t xml:space="preserve">za namen izboljšanja kakovosti zraka zmanjša največja dovoljena hitrost na gradbišču, ki nima asfaltiranih ali stalno omočenih cest, s 40 km/h na 20 km/h; </w:t>
      </w:r>
    </w:p>
    <w:p w14:paraId="565FC3CF" w14:textId="42E250E6" w:rsidR="005417ED" w:rsidRPr="0004492D" w:rsidRDefault="005417ED" w:rsidP="0004492D">
      <w:pPr>
        <w:pStyle w:val="Odstavekseznama"/>
        <w:numPr>
          <w:ilvl w:val="0"/>
          <w:numId w:val="36"/>
        </w:numPr>
        <w:autoSpaceDE w:val="0"/>
        <w:autoSpaceDN w:val="0"/>
        <w:adjustRightInd w:val="0"/>
        <w:spacing w:line="240" w:lineRule="auto"/>
        <w:jc w:val="both"/>
        <w:rPr>
          <w:rFonts w:cs="Arial"/>
          <w:color w:val="000000"/>
          <w:szCs w:val="20"/>
        </w:rPr>
      </w:pPr>
      <w:r w:rsidRPr="0004492D">
        <w:rPr>
          <w:rFonts w:cs="Arial"/>
          <w:color w:val="000000"/>
          <w:szCs w:val="20"/>
        </w:rPr>
        <w:t>določa, da mora izvajalec del dopolniti elaborat preprečevanja in zmanjševanja emisije delcev iz gradbišča v primeru sprememb med gradnjo.</w:t>
      </w:r>
    </w:p>
    <w:p w14:paraId="32E7B9B6" w14:textId="77777777" w:rsidR="005417ED" w:rsidRPr="0004492D" w:rsidRDefault="005417ED" w:rsidP="0004492D">
      <w:pPr>
        <w:autoSpaceDE w:val="0"/>
        <w:autoSpaceDN w:val="0"/>
        <w:adjustRightInd w:val="0"/>
        <w:spacing w:line="240" w:lineRule="auto"/>
        <w:jc w:val="both"/>
        <w:rPr>
          <w:rFonts w:cs="Arial"/>
          <w:color w:val="000000"/>
          <w:szCs w:val="20"/>
        </w:rPr>
      </w:pPr>
    </w:p>
    <w:p w14:paraId="41A372AF" w14:textId="7ECC48F7" w:rsidR="00246179" w:rsidRPr="0004492D" w:rsidRDefault="005417ED"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okolje in prostor</w:t>
      </w:r>
    </w:p>
    <w:p w14:paraId="36736DD4"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73F20E5D" w14:textId="20B14223" w:rsidR="00007FB5" w:rsidRPr="0004492D" w:rsidRDefault="00007FB5"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Uredba o spremembah Uredbe o shemah neposrednih plačil</w:t>
      </w:r>
    </w:p>
    <w:p w14:paraId="281DE88B" w14:textId="77777777" w:rsidR="00007FB5" w:rsidRPr="0004492D" w:rsidRDefault="00007FB5" w:rsidP="0004492D">
      <w:pPr>
        <w:autoSpaceDE w:val="0"/>
        <w:autoSpaceDN w:val="0"/>
        <w:adjustRightInd w:val="0"/>
        <w:spacing w:line="240" w:lineRule="auto"/>
        <w:jc w:val="both"/>
        <w:rPr>
          <w:rFonts w:cs="Arial"/>
          <w:b/>
          <w:bCs/>
          <w:color w:val="000000"/>
          <w:szCs w:val="20"/>
        </w:rPr>
      </w:pPr>
    </w:p>
    <w:p w14:paraId="1E6EDF8F" w14:textId="77777777" w:rsidR="00007FB5" w:rsidRPr="0004492D" w:rsidRDefault="00007FB5" w:rsidP="0004492D">
      <w:pPr>
        <w:autoSpaceDE w:val="0"/>
        <w:autoSpaceDN w:val="0"/>
        <w:adjustRightInd w:val="0"/>
        <w:spacing w:line="240" w:lineRule="auto"/>
        <w:jc w:val="both"/>
        <w:rPr>
          <w:rFonts w:cs="Arial"/>
          <w:color w:val="000000"/>
          <w:szCs w:val="20"/>
        </w:rPr>
      </w:pPr>
      <w:r w:rsidRPr="0004492D">
        <w:rPr>
          <w:rFonts w:cs="Arial"/>
          <w:color w:val="000000"/>
          <w:szCs w:val="20"/>
        </w:rPr>
        <w:t>Vlada je izdala Uredbo o spremembah Uredbe o shemah neposrednih plačil in jo objavi v Uradnem listu RS.</w:t>
      </w:r>
    </w:p>
    <w:p w14:paraId="1E833A3B" w14:textId="77777777" w:rsidR="00007FB5" w:rsidRPr="0004492D" w:rsidRDefault="00007FB5" w:rsidP="0004492D">
      <w:pPr>
        <w:autoSpaceDE w:val="0"/>
        <w:autoSpaceDN w:val="0"/>
        <w:adjustRightInd w:val="0"/>
        <w:spacing w:line="240" w:lineRule="auto"/>
        <w:jc w:val="both"/>
        <w:rPr>
          <w:rFonts w:cs="Arial"/>
          <w:color w:val="000000"/>
          <w:szCs w:val="20"/>
        </w:rPr>
      </w:pPr>
    </w:p>
    <w:p w14:paraId="2B5DB5A3" w14:textId="77777777" w:rsidR="00007FB5" w:rsidRPr="0004492D" w:rsidRDefault="00007FB5"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Uredba se spreminja in dopolnjuje zaradi: </w:t>
      </w:r>
    </w:p>
    <w:p w14:paraId="450DFDA4" w14:textId="5C10443E" w:rsidR="00007FB5" w:rsidRPr="0004492D" w:rsidRDefault="00007FB5" w:rsidP="0004492D">
      <w:pPr>
        <w:pStyle w:val="Odstavekseznama"/>
        <w:numPr>
          <w:ilvl w:val="0"/>
          <w:numId w:val="39"/>
        </w:numPr>
        <w:autoSpaceDE w:val="0"/>
        <w:autoSpaceDN w:val="0"/>
        <w:adjustRightInd w:val="0"/>
        <w:spacing w:line="240" w:lineRule="auto"/>
        <w:jc w:val="both"/>
        <w:rPr>
          <w:rFonts w:cs="Arial"/>
          <w:color w:val="000000"/>
          <w:szCs w:val="20"/>
        </w:rPr>
      </w:pPr>
      <w:r w:rsidRPr="0004492D">
        <w:rPr>
          <w:rFonts w:cs="Arial"/>
          <w:color w:val="000000"/>
          <w:szCs w:val="20"/>
        </w:rPr>
        <w:t xml:space="preserve">popravkov sklicev na spremembe predpisov EU, ki urejajo sheme za neposredna plačila; </w:t>
      </w:r>
    </w:p>
    <w:p w14:paraId="44C844BC" w14:textId="7F40C7A0" w:rsidR="00007FB5" w:rsidRPr="0004492D" w:rsidRDefault="00007FB5" w:rsidP="0004492D">
      <w:pPr>
        <w:pStyle w:val="Odstavekseznama"/>
        <w:numPr>
          <w:ilvl w:val="0"/>
          <w:numId w:val="39"/>
        </w:numPr>
        <w:autoSpaceDE w:val="0"/>
        <w:autoSpaceDN w:val="0"/>
        <w:adjustRightInd w:val="0"/>
        <w:spacing w:line="240" w:lineRule="auto"/>
        <w:jc w:val="both"/>
        <w:rPr>
          <w:rFonts w:cs="Arial"/>
          <w:color w:val="000000"/>
          <w:szCs w:val="20"/>
        </w:rPr>
      </w:pPr>
      <w:r w:rsidRPr="0004492D">
        <w:rPr>
          <w:rFonts w:cs="Arial"/>
          <w:color w:val="000000"/>
          <w:szCs w:val="20"/>
        </w:rPr>
        <w:t>odstotka ovojnice, ki se namenja za dohodkovno podporo za mlade kmete (za plačilo za mlade kmete se za izognitev neizkoriščenim sredstvom nameni do 1,2 % ovojnice za neposredna plačila);</w:t>
      </w:r>
    </w:p>
    <w:p w14:paraId="5201B710" w14:textId="0CC57951" w:rsidR="00007FB5" w:rsidRPr="0004492D" w:rsidRDefault="00007FB5" w:rsidP="0004492D">
      <w:pPr>
        <w:pStyle w:val="Odstavekseznama"/>
        <w:numPr>
          <w:ilvl w:val="0"/>
          <w:numId w:val="39"/>
        </w:numPr>
        <w:autoSpaceDE w:val="0"/>
        <w:autoSpaceDN w:val="0"/>
        <w:adjustRightInd w:val="0"/>
        <w:spacing w:line="240" w:lineRule="auto"/>
        <w:jc w:val="both"/>
        <w:rPr>
          <w:rFonts w:cs="Arial"/>
          <w:color w:val="000000"/>
          <w:szCs w:val="20"/>
        </w:rPr>
      </w:pPr>
      <w:r w:rsidRPr="0004492D">
        <w:rPr>
          <w:rFonts w:cs="Arial"/>
          <w:color w:val="000000"/>
          <w:szCs w:val="20"/>
        </w:rPr>
        <w:t>spremembe pri dodelitvi plačilnih pravic iz naslova nacionalne rezerve. V celoti se mora upoštevati priporočilo, ki izhaja iz ugotovitev revizije Evropske komisije glede upravljanja in nadzora shem pomoči na površino in ukrepov na površino, povezanih z Evropskim kmetijskim jamstvenim skladom (EKJS) in Evropskim kmetijskim skladom za razvoj podeželja;</w:t>
      </w:r>
    </w:p>
    <w:p w14:paraId="26D8C7B1" w14:textId="6FE46DE1" w:rsidR="00007FB5" w:rsidRPr="0004492D" w:rsidRDefault="00007FB5" w:rsidP="0004492D">
      <w:pPr>
        <w:pStyle w:val="Odstavekseznama"/>
        <w:numPr>
          <w:ilvl w:val="0"/>
          <w:numId w:val="39"/>
        </w:numPr>
        <w:autoSpaceDE w:val="0"/>
        <w:autoSpaceDN w:val="0"/>
        <w:adjustRightInd w:val="0"/>
        <w:spacing w:line="240" w:lineRule="auto"/>
        <w:jc w:val="both"/>
        <w:rPr>
          <w:rFonts w:cs="Arial"/>
          <w:color w:val="000000"/>
          <w:szCs w:val="20"/>
        </w:rPr>
      </w:pPr>
      <w:r w:rsidRPr="0004492D">
        <w:rPr>
          <w:rFonts w:cs="Arial"/>
          <w:color w:val="000000"/>
          <w:szCs w:val="20"/>
        </w:rPr>
        <w:t>posodobitve podatkov o povprečnem hektarskem pridelku ene vrste zelenjadnic in povprečnega hektarskega pridelka zelenjadnic skupaj za leto 2022.</w:t>
      </w:r>
    </w:p>
    <w:p w14:paraId="657193D6" w14:textId="77777777" w:rsidR="00007FB5" w:rsidRPr="0004492D" w:rsidRDefault="00007FB5" w:rsidP="0004492D">
      <w:pPr>
        <w:autoSpaceDE w:val="0"/>
        <w:autoSpaceDN w:val="0"/>
        <w:adjustRightInd w:val="0"/>
        <w:spacing w:line="240" w:lineRule="auto"/>
        <w:jc w:val="both"/>
        <w:rPr>
          <w:rFonts w:cs="Arial"/>
          <w:color w:val="000000"/>
          <w:szCs w:val="20"/>
        </w:rPr>
      </w:pPr>
    </w:p>
    <w:p w14:paraId="05493815" w14:textId="51415DF8" w:rsidR="00246179" w:rsidRPr="0004492D" w:rsidRDefault="00007FB5" w:rsidP="0004492D">
      <w:pPr>
        <w:autoSpaceDE w:val="0"/>
        <w:autoSpaceDN w:val="0"/>
        <w:adjustRightInd w:val="0"/>
        <w:spacing w:line="240" w:lineRule="auto"/>
        <w:jc w:val="both"/>
        <w:rPr>
          <w:rFonts w:cs="Arial"/>
          <w:b/>
          <w:bCs/>
          <w:color w:val="000000"/>
          <w:szCs w:val="20"/>
        </w:rPr>
      </w:pPr>
      <w:r w:rsidRPr="0004492D">
        <w:rPr>
          <w:rFonts w:cs="Arial"/>
          <w:color w:val="000000"/>
          <w:szCs w:val="20"/>
        </w:rPr>
        <w:t>Vir: Ministrstvo za kmetijstvo, gozdarstvo in prehrano</w:t>
      </w:r>
    </w:p>
    <w:p w14:paraId="64F93DD7"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7AE09572" w14:textId="46B3BA09" w:rsidR="00692656" w:rsidRPr="0004492D" w:rsidRDefault="00692656"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Sprememba Uredbe o ukrepih kmetijsko-</w:t>
      </w:r>
      <w:proofErr w:type="spellStart"/>
      <w:r w:rsidRPr="0004492D">
        <w:rPr>
          <w:rFonts w:cs="Arial"/>
          <w:b/>
          <w:bCs/>
          <w:color w:val="000000"/>
          <w:szCs w:val="20"/>
        </w:rPr>
        <w:t>okoljska</w:t>
      </w:r>
      <w:proofErr w:type="spellEnd"/>
      <w:r w:rsidRPr="0004492D">
        <w:rPr>
          <w:rFonts w:cs="Arial"/>
          <w:b/>
          <w:bCs/>
          <w:color w:val="000000"/>
          <w:szCs w:val="20"/>
        </w:rPr>
        <w:t>-podnebna plačila, ekološko kmetovanje in plačila območjem z naravnimi ali drugimi posebnimi omejitvami iz Programa razvoja podeželja za obdobje 2014–2020</w:t>
      </w:r>
    </w:p>
    <w:p w14:paraId="14D22CE1" w14:textId="77777777" w:rsidR="00692656" w:rsidRPr="0004492D" w:rsidRDefault="00692656" w:rsidP="0004492D">
      <w:pPr>
        <w:autoSpaceDE w:val="0"/>
        <w:autoSpaceDN w:val="0"/>
        <w:adjustRightInd w:val="0"/>
        <w:spacing w:line="240" w:lineRule="auto"/>
        <w:jc w:val="both"/>
        <w:rPr>
          <w:rFonts w:cs="Arial"/>
          <w:b/>
          <w:bCs/>
          <w:color w:val="000000"/>
          <w:szCs w:val="20"/>
        </w:rPr>
      </w:pPr>
    </w:p>
    <w:p w14:paraId="5E106DF5" w14:textId="77777777" w:rsidR="00692656" w:rsidRPr="0004492D" w:rsidRDefault="00692656" w:rsidP="0004492D">
      <w:pPr>
        <w:autoSpaceDE w:val="0"/>
        <w:autoSpaceDN w:val="0"/>
        <w:adjustRightInd w:val="0"/>
        <w:spacing w:line="240" w:lineRule="auto"/>
        <w:jc w:val="both"/>
        <w:rPr>
          <w:rFonts w:cs="Arial"/>
          <w:color w:val="000000"/>
          <w:szCs w:val="20"/>
        </w:rPr>
      </w:pPr>
      <w:r w:rsidRPr="0004492D">
        <w:rPr>
          <w:rFonts w:cs="Arial"/>
          <w:color w:val="000000"/>
          <w:szCs w:val="20"/>
        </w:rPr>
        <w:t>Vlada je izdala Uredbo o spremembah in dopolnitvah Uredbe o ukrepih kmetijsko-</w:t>
      </w:r>
      <w:proofErr w:type="spellStart"/>
      <w:r w:rsidRPr="0004492D">
        <w:rPr>
          <w:rFonts w:cs="Arial"/>
          <w:color w:val="000000"/>
          <w:szCs w:val="20"/>
        </w:rPr>
        <w:t>okoljska</w:t>
      </w:r>
      <w:proofErr w:type="spellEnd"/>
      <w:r w:rsidRPr="0004492D">
        <w:rPr>
          <w:rFonts w:cs="Arial"/>
          <w:color w:val="000000"/>
          <w:szCs w:val="20"/>
        </w:rPr>
        <w:t>-podnebna plačila, ekološko kmetovanje in plačila območjem z naravnimi ali drugimi posebnimi omejitvami iz Programa razvoja podeželja Republike Slovenije (PRP RS) za obdobje 2014–2020 in jo objavi v Uradnem listu RS.</w:t>
      </w:r>
    </w:p>
    <w:p w14:paraId="37572F04" w14:textId="77777777" w:rsidR="00692656" w:rsidRPr="0004492D" w:rsidRDefault="00692656" w:rsidP="0004492D">
      <w:pPr>
        <w:autoSpaceDE w:val="0"/>
        <w:autoSpaceDN w:val="0"/>
        <w:adjustRightInd w:val="0"/>
        <w:spacing w:line="240" w:lineRule="auto"/>
        <w:jc w:val="both"/>
        <w:rPr>
          <w:rFonts w:cs="Arial"/>
          <w:color w:val="000000"/>
          <w:szCs w:val="20"/>
        </w:rPr>
      </w:pPr>
    </w:p>
    <w:p w14:paraId="26B36C38" w14:textId="77777777" w:rsidR="00692656" w:rsidRPr="0004492D" w:rsidRDefault="00692656" w:rsidP="0004492D">
      <w:pPr>
        <w:autoSpaceDE w:val="0"/>
        <w:autoSpaceDN w:val="0"/>
        <w:adjustRightInd w:val="0"/>
        <w:spacing w:line="240" w:lineRule="auto"/>
        <w:jc w:val="both"/>
        <w:rPr>
          <w:rFonts w:cs="Arial"/>
          <w:color w:val="000000"/>
          <w:szCs w:val="20"/>
        </w:rPr>
      </w:pPr>
      <w:r w:rsidRPr="0004492D">
        <w:rPr>
          <w:rFonts w:cs="Arial"/>
          <w:color w:val="000000"/>
          <w:szCs w:val="20"/>
        </w:rPr>
        <w:lastRenderedPageBreak/>
        <w:t>Uredba določa izvajanje in financiranje ukrepov za kmetijsko-</w:t>
      </w:r>
      <w:proofErr w:type="spellStart"/>
      <w:r w:rsidRPr="0004492D">
        <w:rPr>
          <w:rFonts w:cs="Arial"/>
          <w:color w:val="000000"/>
          <w:szCs w:val="20"/>
        </w:rPr>
        <w:t>okoljska</w:t>
      </w:r>
      <w:proofErr w:type="spellEnd"/>
      <w:r w:rsidRPr="0004492D">
        <w:rPr>
          <w:rFonts w:cs="Arial"/>
          <w:color w:val="000000"/>
          <w:szCs w:val="20"/>
        </w:rPr>
        <w:t xml:space="preserve">-podnebna plačila (KOPOP), ekološko kmetovanje (EK) in plačila območjem z naravnimi ali drugimi posebnimi omejitvami iz PRP RS za obdobje 2014–2020 v letu 2022. </w:t>
      </w:r>
    </w:p>
    <w:p w14:paraId="4C4B69EC" w14:textId="77777777" w:rsidR="00692656" w:rsidRPr="0004492D" w:rsidRDefault="00692656" w:rsidP="0004492D">
      <w:pPr>
        <w:autoSpaceDE w:val="0"/>
        <w:autoSpaceDN w:val="0"/>
        <w:adjustRightInd w:val="0"/>
        <w:spacing w:line="240" w:lineRule="auto"/>
        <w:jc w:val="both"/>
        <w:rPr>
          <w:rFonts w:cs="Arial"/>
          <w:color w:val="000000"/>
          <w:szCs w:val="20"/>
        </w:rPr>
      </w:pPr>
    </w:p>
    <w:p w14:paraId="042B6AD0" w14:textId="77777777" w:rsidR="00692656" w:rsidRPr="0004492D" w:rsidRDefault="00692656" w:rsidP="0004492D">
      <w:pPr>
        <w:autoSpaceDE w:val="0"/>
        <w:autoSpaceDN w:val="0"/>
        <w:adjustRightInd w:val="0"/>
        <w:spacing w:line="240" w:lineRule="auto"/>
        <w:jc w:val="both"/>
        <w:rPr>
          <w:rFonts w:cs="Arial"/>
          <w:color w:val="000000"/>
          <w:szCs w:val="20"/>
        </w:rPr>
      </w:pPr>
      <w:r w:rsidRPr="0004492D">
        <w:rPr>
          <w:rFonts w:cs="Arial"/>
          <w:color w:val="000000"/>
          <w:szCs w:val="20"/>
        </w:rPr>
        <w:t>Uredba se spreminja in dopolnjuje zaradi:</w:t>
      </w:r>
    </w:p>
    <w:p w14:paraId="10AD6C81" w14:textId="28161E34" w:rsidR="00692656" w:rsidRPr="0004492D" w:rsidRDefault="00692656" w:rsidP="0004492D">
      <w:pPr>
        <w:pStyle w:val="Odstavekseznama"/>
        <w:numPr>
          <w:ilvl w:val="0"/>
          <w:numId w:val="40"/>
        </w:numPr>
        <w:autoSpaceDE w:val="0"/>
        <w:autoSpaceDN w:val="0"/>
        <w:adjustRightInd w:val="0"/>
        <w:spacing w:line="240" w:lineRule="auto"/>
        <w:jc w:val="both"/>
        <w:rPr>
          <w:rFonts w:cs="Arial"/>
          <w:color w:val="000000"/>
          <w:szCs w:val="20"/>
        </w:rPr>
      </w:pPr>
      <w:r w:rsidRPr="0004492D">
        <w:rPr>
          <w:rFonts w:cs="Arial"/>
          <w:color w:val="000000"/>
          <w:szCs w:val="20"/>
        </w:rPr>
        <w:t>popravkov sklicev na spremembe in dopolnitve predpisov EU, ki urejajo ukrepe razvoja podeželja;</w:t>
      </w:r>
    </w:p>
    <w:p w14:paraId="68285A84" w14:textId="6BF44A74" w:rsidR="00692656" w:rsidRPr="0004492D" w:rsidRDefault="00692656" w:rsidP="0004492D">
      <w:pPr>
        <w:pStyle w:val="Odstavekseznama"/>
        <w:numPr>
          <w:ilvl w:val="0"/>
          <w:numId w:val="40"/>
        </w:numPr>
        <w:autoSpaceDE w:val="0"/>
        <w:autoSpaceDN w:val="0"/>
        <w:adjustRightInd w:val="0"/>
        <w:spacing w:line="240" w:lineRule="auto"/>
        <w:jc w:val="both"/>
        <w:rPr>
          <w:rFonts w:cs="Arial"/>
          <w:color w:val="000000"/>
          <w:szCs w:val="20"/>
        </w:rPr>
      </w:pPr>
      <w:r w:rsidRPr="0004492D">
        <w:rPr>
          <w:rFonts w:cs="Arial"/>
          <w:color w:val="000000"/>
          <w:szCs w:val="20"/>
        </w:rPr>
        <w:t>uskladitve z 10. spremembo PRP RS 2014–2020;</w:t>
      </w:r>
    </w:p>
    <w:p w14:paraId="6F2568FF" w14:textId="6D022156" w:rsidR="00692656" w:rsidRPr="0004492D" w:rsidRDefault="00692656" w:rsidP="0004492D">
      <w:pPr>
        <w:pStyle w:val="Odstavekseznama"/>
        <w:numPr>
          <w:ilvl w:val="0"/>
          <w:numId w:val="40"/>
        </w:numPr>
        <w:autoSpaceDE w:val="0"/>
        <w:autoSpaceDN w:val="0"/>
        <w:adjustRightInd w:val="0"/>
        <w:spacing w:line="240" w:lineRule="auto"/>
        <w:jc w:val="both"/>
        <w:rPr>
          <w:rFonts w:cs="Arial"/>
          <w:color w:val="000000"/>
          <w:szCs w:val="20"/>
        </w:rPr>
      </w:pPr>
      <w:r w:rsidRPr="0004492D">
        <w:rPr>
          <w:rFonts w:cs="Arial"/>
          <w:color w:val="000000"/>
          <w:szCs w:val="20"/>
        </w:rPr>
        <w:t>ureditve izvajanja še trajajočih petletnih obveznosti ukrepov KOPOP in EK ter podaljšanja zaključenih petletnih obveznosti teh ukrepov v letu 2022;</w:t>
      </w:r>
    </w:p>
    <w:p w14:paraId="0939DFD3" w14:textId="65F53834" w:rsidR="00692656" w:rsidRPr="0004492D" w:rsidRDefault="00692656" w:rsidP="0004492D">
      <w:pPr>
        <w:pStyle w:val="Odstavekseznama"/>
        <w:numPr>
          <w:ilvl w:val="0"/>
          <w:numId w:val="40"/>
        </w:numPr>
        <w:autoSpaceDE w:val="0"/>
        <w:autoSpaceDN w:val="0"/>
        <w:adjustRightInd w:val="0"/>
        <w:spacing w:line="240" w:lineRule="auto"/>
        <w:jc w:val="both"/>
        <w:rPr>
          <w:rFonts w:cs="Arial"/>
          <w:color w:val="000000"/>
          <w:szCs w:val="20"/>
        </w:rPr>
      </w:pPr>
      <w:r w:rsidRPr="0004492D">
        <w:rPr>
          <w:rFonts w:cs="Arial"/>
          <w:color w:val="000000"/>
          <w:szCs w:val="20"/>
        </w:rPr>
        <w:t>ureditve obdobja trajanja na novo prevzetih obveznosti za ukrepa KOPOP in EK;</w:t>
      </w:r>
    </w:p>
    <w:p w14:paraId="0C4C4566" w14:textId="23940044" w:rsidR="00692656" w:rsidRPr="0004492D" w:rsidRDefault="00692656" w:rsidP="0004492D">
      <w:pPr>
        <w:pStyle w:val="Odstavekseznama"/>
        <w:numPr>
          <w:ilvl w:val="0"/>
          <w:numId w:val="40"/>
        </w:numPr>
        <w:autoSpaceDE w:val="0"/>
        <w:autoSpaceDN w:val="0"/>
        <w:adjustRightInd w:val="0"/>
        <w:spacing w:line="240" w:lineRule="auto"/>
        <w:jc w:val="both"/>
        <w:rPr>
          <w:rFonts w:cs="Arial"/>
          <w:color w:val="000000"/>
          <w:szCs w:val="20"/>
        </w:rPr>
      </w:pPr>
      <w:r w:rsidRPr="0004492D">
        <w:rPr>
          <w:rFonts w:cs="Arial"/>
          <w:color w:val="000000"/>
          <w:szCs w:val="20"/>
        </w:rPr>
        <w:t>podaljšanja roka za izvedbo usposabljanja za ukrep EK;</w:t>
      </w:r>
    </w:p>
    <w:p w14:paraId="650EFFD1" w14:textId="5E2E96EC" w:rsidR="00692656" w:rsidRPr="0004492D" w:rsidRDefault="00692656" w:rsidP="0004492D">
      <w:pPr>
        <w:pStyle w:val="Odstavekseznama"/>
        <w:numPr>
          <w:ilvl w:val="0"/>
          <w:numId w:val="40"/>
        </w:numPr>
        <w:autoSpaceDE w:val="0"/>
        <w:autoSpaceDN w:val="0"/>
        <w:adjustRightInd w:val="0"/>
        <w:spacing w:line="240" w:lineRule="auto"/>
        <w:jc w:val="both"/>
        <w:rPr>
          <w:rFonts w:cs="Arial"/>
          <w:color w:val="000000"/>
          <w:szCs w:val="20"/>
        </w:rPr>
      </w:pPr>
      <w:r w:rsidRPr="0004492D">
        <w:rPr>
          <w:rFonts w:cs="Arial"/>
          <w:color w:val="000000"/>
          <w:szCs w:val="20"/>
        </w:rPr>
        <w:t>sprememb in dopolnitev prilog.</w:t>
      </w:r>
    </w:p>
    <w:p w14:paraId="0B78E3C0" w14:textId="77777777" w:rsidR="00692656" w:rsidRPr="0004492D" w:rsidRDefault="00692656" w:rsidP="0004492D">
      <w:pPr>
        <w:autoSpaceDE w:val="0"/>
        <w:autoSpaceDN w:val="0"/>
        <w:adjustRightInd w:val="0"/>
        <w:spacing w:line="240" w:lineRule="auto"/>
        <w:jc w:val="both"/>
        <w:rPr>
          <w:rFonts w:cs="Arial"/>
          <w:color w:val="000000"/>
          <w:szCs w:val="20"/>
        </w:rPr>
      </w:pPr>
    </w:p>
    <w:p w14:paraId="48C6547F" w14:textId="37C5E2AA" w:rsidR="00246179" w:rsidRPr="0004492D" w:rsidRDefault="00692656"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kmetijstvo, gozdarstvo in prehrano</w:t>
      </w:r>
    </w:p>
    <w:p w14:paraId="7BA45B7C"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6B568B98" w14:textId="0A194930" w:rsidR="00246179" w:rsidRPr="0004492D" w:rsidRDefault="00521BE4"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S</w:t>
      </w:r>
      <w:r w:rsidR="00246179" w:rsidRPr="0004492D">
        <w:rPr>
          <w:rFonts w:cs="Arial"/>
          <w:b/>
          <w:bCs/>
          <w:color w:val="000000"/>
          <w:szCs w:val="20"/>
        </w:rPr>
        <w:t>prememb</w:t>
      </w:r>
      <w:r w:rsidRPr="0004492D">
        <w:rPr>
          <w:rFonts w:cs="Arial"/>
          <w:b/>
          <w:bCs/>
          <w:color w:val="000000"/>
          <w:szCs w:val="20"/>
        </w:rPr>
        <w:t>e</w:t>
      </w:r>
      <w:r w:rsidR="00246179" w:rsidRPr="0004492D">
        <w:rPr>
          <w:rFonts w:cs="Arial"/>
          <w:b/>
          <w:bCs/>
          <w:color w:val="000000"/>
          <w:szCs w:val="20"/>
        </w:rPr>
        <w:t xml:space="preserve"> Odloka o spominski medalji »30. OBLETNICA SAMOSTOJNE IN NEODVISNE DRŽAVE REPUBLIKE SLOVENIJE«</w:t>
      </w:r>
    </w:p>
    <w:p w14:paraId="70247156" w14:textId="77777777" w:rsidR="00521BE4" w:rsidRPr="0004492D" w:rsidRDefault="00521BE4" w:rsidP="0004492D">
      <w:pPr>
        <w:autoSpaceDE w:val="0"/>
        <w:autoSpaceDN w:val="0"/>
        <w:adjustRightInd w:val="0"/>
        <w:spacing w:line="240" w:lineRule="auto"/>
        <w:jc w:val="both"/>
        <w:rPr>
          <w:rFonts w:cs="Arial"/>
          <w:color w:val="000000"/>
          <w:szCs w:val="20"/>
        </w:rPr>
      </w:pPr>
    </w:p>
    <w:p w14:paraId="0C7DCB8B" w14:textId="56EC5772" w:rsidR="00521BE4" w:rsidRPr="0004492D" w:rsidRDefault="00521BE4"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Vlada Republike Slovenije je maja 2021 izdala Odlok o spominski medalji »30. OBLETNICA SAMOSTOJNE IN NEODVISNE DRŽAVE REPUBLIKE SLOVENIJE«, s katerim se z namenom </w:t>
      </w:r>
      <w:proofErr w:type="spellStart"/>
      <w:r w:rsidRPr="0004492D">
        <w:rPr>
          <w:rFonts w:cs="Arial"/>
          <w:color w:val="000000"/>
          <w:szCs w:val="20"/>
        </w:rPr>
        <w:t>obeležitve</w:t>
      </w:r>
      <w:proofErr w:type="spellEnd"/>
      <w:r w:rsidRPr="0004492D">
        <w:rPr>
          <w:rFonts w:cs="Arial"/>
          <w:color w:val="000000"/>
          <w:szCs w:val="20"/>
        </w:rPr>
        <w:t xml:space="preserve"> sprejema in razglasitve Temeljne ustavne listine o samostojnosti in neodvisnosti Republike Slovenije z dne 25. junija 1991 ureja obliko in podelitev spominske medalje »30. OBLETNICA SAMOSTOJNE IN NEODVISNE DRŽAVE REPUBLIKE SLOVENIJE«. </w:t>
      </w:r>
    </w:p>
    <w:p w14:paraId="50F64F4A" w14:textId="77777777" w:rsidR="00521BE4" w:rsidRPr="0004492D" w:rsidRDefault="00521BE4" w:rsidP="0004492D">
      <w:pPr>
        <w:autoSpaceDE w:val="0"/>
        <w:autoSpaceDN w:val="0"/>
        <w:adjustRightInd w:val="0"/>
        <w:spacing w:line="240" w:lineRule="auto"/>
        <w:jc w:val="both"/>
        <w:rPr>
          <w:rFonts w:cs="Arial"/>
          <w:color w:val="000000"/>
          <w:szCs w:val="20"/>
        </w:rPr>
      </w:pPr>
    </w:p>
    <w:p w14:paraId="144CA1C7" w14:textId="77777777" w:rsidR="00521BE4" w:rsidRPr="0004492D" w:rsidRDefault="00521BE4" w:rsidP="0004492D">
      <w:pPr>
        <w:autoSpaceDE w:val="0"/>
        <w:autoSpaceDN w:val="0"/>
        <w:adjustRightInd w:val="0"/>
        <w:spacing w:line="240" w:lineRule="auto"/>
        <w:jc w:val="both"/>
        <w:rPr>
          <w:rFonts w:cs="Arial"/>
          <w:color w:val="000000"/>
          <w:szCs w:val="20"/>
        </w:rPr>
      </w:pPr>
      <w:r w:rsidRPr="0004492D">
        <w:rPr>
          <w:rFonts w:cs="Arial"/>
          <w:color w:val="000000"/>
          <w:szCs w:val="20"/>
        </w:rPr>
        <w:t>S spremembo odloka se rok, do katerega se izjemoma lahko podeli medalja tudi drugim slovenskim in tujim državljanom, kakor tudi slovenskim in tujim organizacijam, v spomin za njihov pomemben prispevek v procesu nastajanja, krepitve in razvoja slovenske državnosti v preteklih 30-ih letih, podaljšuje za tri mesece, to je do konca marca 2022.</w:t>
      </w:r>
    </w:p>
    <w:p w14:paraId="5AE7053D" w14:textId="77777777" w:rsidR="00521BE4" w:rsidRPr="0004492D" w:rsidRDefault="00521BE4"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 </w:t>
      </w:r>
    </w:p>
    <w:p w14:paraId="6BC0ECF8" w14:textId="77777777" w:rsidR="00521BE4" w:rsidRPr="0004492D" w:rsidRDefault="00521BE4" w:rsidP="0004492D">
      <w:pPr>
        <w:autoSpaceDE w:val="0"/>
        <w:autoSpaceDN w:val="0"/>
        <w:adjustRightInd w:val="0"/>
        <w:spacing w:line="240" w:lineRule="auto"/>
        <w:jc w:val="both"/>
        <w:rPr>
          <w:rFonts w:cs="Arial"/>
          <w:color w:val="000000"/>
          <w:szCs w:val="20"/>
        </w:rPr>
      </w:pPr>
      <w:r w:rsidRPr="0004492D">
        <w:rPr>
          <w:rFonts w:cs="Arial"/>
          <w:color w:val="000000"/>
          <w:szCs w:val="20"/>
        </w:rPr>
        <w:t>Odlok se spreminja tudi zaradi zagotovitve ustreznega varstva osebnih podatkov – ta se nanaša na opis nalog, ki jih izvaja pristojno ministrstvo. V tem okviru je spremenjen tudi organ, odgovoren za evidentiranje in hranjenje podatkov o prejemnikih medalje, to je ministrstvo, pristojno za vojne veterane.</w:t>
      </w:r>
    </w:p>
    <w:p w14:paraId="634FD0F1" w14:textId="77777777" w:rsidR="00521BE4" w:rsidRPr="0004492D" w:rsidRDefault="00521BE4" w:rsidP="0004492D">
      <w:pPr>
        <w:autoSpaceDE w:val="0"/>
        <w:autoSpaceDN w:val="0"/>
        <w:adjustRightInd w:val="0"/>
        <w:spacing w:line="240" w:lineRule="auto"/>
        <w:jc w:val="both"/>
        <w:rPr>
          <w:rFonts w:cs="Arial"/>
          <w:color w:val="000000"/>
          <w:szCs w:val="20"/>
        </w:rPr>
      </w:pPr>
    </w:p>
    <w:p w14:paraId="1F06DB88" w14:textId="080F884B" w:rsidR="00521BE4" w:rsidRPr="0004492D" w:rsidRDefault="00521BE4" w:rsidP="0004492D">
      <w:pPr>
        <w:autoSpaceDE w:val="0"/>
        <w:autoSpaceDN w:val="0"/>
        <w:adjustRightInd w:val="0"/>
        <w:spacing w:line="240" w:lineRule="auto"/>
        <w:jc w:val="both"/>
        <w:rPr>
          <w:rFonts w:cs="Arial"/>
          <w:color w:val="000000"/>
          <w:szCs w:val="20"/>
        </w:rPr>
      </w:pPr>
      <w:r w:rsidRPr="0004492D">
        <w:rPr>
          <w:rFonts w:cs="Arial"/>
          <w:color w:val="000000"/>
          <w:szCs w:val="20"/>
        </w:rPr>
        <w:t>Vir: Generalni sekretariat vlade</w:t>
      </w:r>
    </w:p>
    <w:p w14:paraId="05264A3E" w14:textId="77777777" w:rsidR="00083EB7" w:rsidRDefault="00083EB7" w:rsidP="0004492D">
      <w:pPr>
        <w:pStyle w:val="Neotevilenodstavek"/>
        <w:spacing w:before="0" w:after="0" w:line="240" w:lineRule="auto"/>
        <w:rPr>
          <w:b/>
          <w:bCs/>
          <w:color w:val="000000"/>
          <w:sz w:val="20"/>
          <w:szCs w:val="20"/>
        </w:rPr>
      </w:pPr>
    </w:p>
    <w:p w14:paraId="2C509247" w14:textId="2682C162" w:rsidR="000E679B" w:rsidRPr="0004492D" w:rsidRDefault="000E679B" w:rsidP="0004492D">
      <w:pPr>
        <w:pStyle w:val="Neotevilenodstavek"/>
        <w:spacing w:before="0" w:after="0" w:line="240" w:lineRule="auto"/>
        <w:rPr>
          <w:b/>
          <w:iCs/>
          <w:sz w:val="20"/>
          <w:szCs w:val="20"/>
        </w:rPr>
      </w:pPr>
      <w:r w:rsidRPr="0004492D">
        <w:rPr>
          <w:b/>
          <w:iCs/>
          <w:sz w:val="20"/>
          <w:szCs w:val="20"/>
        </w:rPr>
        <w:t>Sklep o določitvi deležev odpadne embalaže za januar, februar in marec 2022</w:t>
      </w:r>
    </w:p>
    <w:p w14:paraId="78385562" w14:textId="77777777" w:rsidR="000E679B" w:rsidRPr="0004492D" w:rsidRDefault="000E679B" w:rsidP="0004492D">
      <w:pPr>
        <w:autoSpaceDE w:val="0"/>
        <w:autoSpaceDN w:val="0"/>
        <w:adjustRightInd w:val="0"/>
        <w:spacing w:line="240" w:lineRule="auto"/>
        <w:jc w:val="both"/>
        <w:rPr>
          <w:rFonts w:cs="Arial"/>
          <w:iCs/>
          <w:szCs w:val="20"/>
          <w:lang w:eastAsia="sl-SI"/>
        </w:rPr>
      </w:pPr>
    </w:p>
    <w:p w14:paraId="24762175" w14:textId="0F959315" w:rsidR="000E679B" w:rsidRPr="0004492D" w:rsidRDefault="000E679B" w:rsidP="0004492D">
      <w:pPr>
        <w:autoSpaceDE w:val="0"/>
        <w:autoSpaceDN w:val="0"/>
        <w:adjustRightInd w:val="0"/>
        <w:spacing w:line="240" w:lineRule="auto"/>
        <w:jc w:val="both"/>
        <w:rPr>
          <w:rFonts w:cs="Arial"/>
          <w:iCs/>
          <w:szCs w:val="20"/>
          <w:lang w:eastAsia="sl-SI"/>
        </w:rPr>
      </w:pPr>
      <w:r w:rsidRPr="0004492D">
        <w:rPr>
          <w:rFonts w:cs="Arial"/>
          <w:iCs/>
          <w:szCs w:val="20"/>
          <w:lang w:eastAsia="sl-SI"/>
        </w:rPr>
        <w:t>Vlada je sprejela Sklep o določitvi deležev odpadne embalaže za januar, februar in marec 2022. Za določitev deležev odpadne embalaže za januar, februar in marec 2022 so uporabljeni podatki z 10. novembra 2021 o masi embalaže, dane na trg v tretjem četrtletju leta 2021, ki so jih sporočili proizvajalci, ki samostojno izpolnjujejo svoje obveznosti proizvajalčeve razširjene odgovornosti (PRO), in družbe za ravnanje z odpadno embalažo; družbe jih pridobijo od proizvajalcev, ki svoje obveznosti PRO izpolnjujejo skupaj z drugimi proizvajalci (v ta namen sklenejo pogodbo z izbrano družbo za ravnanje z odpadno embalažo).</w:t>
      </w:r>
    </w:p>
    <w:p w14:paraId="62EE4351" w14:textId="77777777" w:rsidR="000E679B" w:rsidRPr="0004492D" w:rsidRDefault="000E679B" w:rsidP="0004492D">
      <w:pPr>
        <w:autoSpaceDE w:val="0"/>
        <w:autoSpaceDN w:val="0"/>
        <w:adjustRightInd w:val="0"/>
        <w:spacing w:line="240" w:lineRule="auto"/>
        <w:jc w:val="both"/>
        <w:rPr>
          <w:rFonts w:cs="Arial"/>
          <w:iCs/>
          <w:szCs w:val="20"/>
          <w:lang w:eastAsia="sl-SI"/>
        </w:rPr>
      </w:pPr>
    </w:p>
    <w:p w14:paraId="69997502" w14:textId="77777777" w:rsidR="000E679B" w:rsidRPr="0004492D" w:rsidRDefault="000E679B" w:rsidP="0004492D">
      <w:pPr>
        <w:autoSpaceDE w:val="0"/>
        <w:autoSpaceDN w:val="0"/>
        <w:adjustRightInd w:val="0"/>
        <w:spacing w:line="240" w:lineRule="auto"/>
        <w:jc w:val="both"/>
        <w:rPr>
          <w:rFonts w:cs="Arial"/>
          <w:iCs/>
          <w:szCs w:val="20"/>
          <w:lang w:eastAsia="sl-SI"/>
        </w:rPr>
      </w:pPr>
      <w:r w:rsidRPr="0004492D">
        <w:rPr>
          <w:rFonts w:cs="Arial"/>
          <w:iCs/>
          <w:szCs w:val="20"/>
          <w:lang w:eastAsia="sl-SI"/>
        </w:rPr>
        <w:t>V tretjem četrtletju leta 2021 je bilo danih na trg 69.306.265 kg embalaže, od tega so  proizvajalci, ki svoje obveznosti PRO izpolnjujejo skupaj z drugimi proizvajalci, dali na trg 69.216.241 kg embalaže, razdeljeno po embalažnih materialih:</w:t>
      </w:r>
    </w:p>
    <w:p w14:paraId="3F2AADDC" w14:textId="36CB3146" w:rsidR="000E679B" w:rsidRPr="0004492D" w:rsidRDefault="000E679B" w:rsidP="0004492D">
      <w:pPr>
        <w:pStyle w:val="Odstavekseznama"/>
        <w:numPr>
          <w:ilvl w:val="0"/>
          <w:numId w:val="37"/>
        </w:numPr>
        <w:autoSpaceDE w:val="0"/>
        <w:autoSpaceDN w:val="0"/>
        <w:adjustRightInd w:val="0"/>
        <w:spacing w:line="240" w:lineRule="auto"/>
        <w:jc w:val="both"/>
        <w:rPr>
          <w:rFonts w:cs="Arial"/>
          <w:iCs/>
          <w:szCs w:val="20"/>
          <w:lang w:eastAsia="sl-SI"/>
        </w:rPr>
      </w:pPr>
      <w:r w:rsidRPr="0004492D">
        <w:rPr>
          <w:rFonts w:cs="Arial"/>
          <w:iCs/>
          <w:szCs w:val="20"/>
          <w:lang w:eastAsia="sl-SI"/>
        </w:rPr>
        <w:t>28.104.733 kg embalaže (papir in karton);</w:t>
      </w:r>
    </w:p>
    <w:p w14:paraId="635CAC7B" w14:textId="4A64BA94" w:rsidR="000E679B" w:rsidRPr="0004492D" w:rsidRDefault="000E679B" w:rsidP="0004492D">
      <w:pPr>
        <w:pStyle w:val="Odstavekseznama"/>
        <w:numPr>
          <w:ilvl w:val="0"/>
          <w:numId w:val="37"/>
        </w:numPr>
        <w:autoSpaceDE w:val="0"/>
        <w:autoSpaceDN w:val="0"/>
        <w:adjustRightInd w:val="0"/>
        <w:spacing w:line="240" w:lineRule="auto"/>
        <w:jc w:val="both"/>
        <w:rPr>
          <w:rFonts w:cs="Arial"/>
          <w:iCs/>
          <w:szCs w:val="20"/>
          <w:lang w:eastAsia="sl-SI"/>
        </w:rPr>
      </w:pPr>
      <w:r w:rsidRPr="0004492D">
        <w:rPr>
          <w:rFonts w:cs="Arial"/>
          <w:iCs/>
          <w:szCs w:val="20"/>
          <w:lang w:eastAsia="sl-SI"/>
        </w:rPr>
        <w:t>8.967.378 kg embalaže (steklo);</w:t>
      </w:r>
    </w:p>
    <w:p w14:paraId="7551E989" w14:textId="1E6C334E" w:rsidR="000E679B" w:rsidRPr="0004492D" w:rsidRDefault="000E679B" w:rsidP="0004492D">
      <w:pPr>
        <w:pStyle w:val="Odstavekseznama"/>
        <w:numPr>
          <w:ilvl w:val="0"/>
          <w:numId w:val="37"/>
        </w:numPr>
        <w:autoSpaceDE w:val="0"/>
        <w:autoSpaceDN w:val="0"/>
        <w:adjustRightInd w:val="0"/>
        <w:spacing w:line="240" w:lineRule="auto"/>
        <w:jc w:val="both"/>
        <w:rPr>
          <w:rFonts w:cs="Arial"/>
          <w:iCs/>
          <w:szCs w:val="20"/>
          <w:lang w:eastAsia="sl-SI"/>
        </w:rPr>
      </w:pPr>
      <w:r w:rsidRPr="0004492D">
        <w:rPr>
          <w:rFonts w:cs="Arial"/>
          <w:iCs/>
          <w:szCs w:val="20"/>
          <w:lang w:eastAsia="sl-SI"/>
        </w:rPr>
        <w:t>12.456.402 kg embalaže (les);</w:t>
      </w:r>
    </w:p>
    <w:p w14:paraId="62791A76" w14:textId="77D2118F" w:rsidR="000E679B" w:rsidRPr="0004492D" w:rsidRDefault="000E679B" w:rsidP="0004492D">
      <w:pPr>
        <w:pStyle w:val="Odstavekseznama"/>
        <w:numPr>
          <w:ilvl w:val="0"/>
          <w:numId w:val="37"/>
        </w:numPr>
        <w:autoSpaceDE w:val="0"/>
        <w:autoSpaceDN w:val="0"/>
        <w:adjustRightInd w:val="0"/>
        <w:spacing w:line="240" w:lineRule="auto"/>
        <w:jc w:val="both"/>
        <w:rPr>
          <w:rFonts w:cs="Arial"/>
          <w:iCs/>
          <w:szCs w:val="20"/>
          <w:lang w:eastAsia="sl-SI"/>
        </w:rPr>
      </w:pPr>
      <w:r w:rsidRPr="0004492D">
        <w:rPr>
          <w:rFonts w:cs="Arial"/>
          <w:iCs/>
          <w:szCs w:val="20"/>
          <w:lang w:eastAsia="sl-SI"/>
        </w:rPr>
        <w:t>19.687.728 kg embalaže (plastika, kovine, kompoziti in drugo).</w:t>
      </w:r>
    </w:p>
    <w:p w14:paraId="5AF91E12" w14:textId="77777777" w:rsidR="000E679B" w:rsidRPr="0004492D" w:rsidRDefault="000E679B" w:rsidP="0004492D">
      <w:pPr>
        <w:autoSpaceDE w:val="0"/>
        <w:autoSpaceDN w:val="0"/>
        <w:adjustRightInd w:val="0"/>
        <w:spacing w:line="240" w:lineRule="auto"/>
        <w:jc w:val="both"/>
        <w:rPr>
          <w:rFonts w:cs="Arial"/>
          <w:iCs/>
          <w:szCs w:val="20"/>
          <w:lang w:eastAsia="sl-SI"/>
        </w:rPr>
      </w:pPr>
    </w:p>
    <w:p w14:paraId="22038663" w14:textId="28FAE6E5" w:rsidR="000E679B" w:rsidRDefault="000E679B" w:rsidP="0004492D">
      <w:pPr>
        <w:autoSpaceDE w:val="0"/>
        <w:autoSpaceDN w:val="0"/>
        <w:adjustRightInd w:val="0"/>
        <w:spacing w:line="240" w:lineRule="auto"/>
        <w:jc w:val="both"/>
        <w:rPr>
          <w:rFonts w:cs="Arial"/>
          <w:iCs/>
          <w:szCs w:val="20"/>
          <w:lang w:eastAsia="sl-SI"/>
        </w:rPr>
      </w:pPr>
      <w:r w:rsidRPr="0004492D">
        <w:rPr>
          <w:rFonts w:cs="Arial"/>
          <w:iCs/>
          <w:szCs w:val="20"/>
          <w:lang w:eastAsia="sl-SI"/>
        </w:rPr>
        <w:t>Porazdelitev mase embalaže (po skupinah embalažnih materialov) med družbe za ravnanje z odpadno embalažo:</w:t>
      </w:r>
    </w:p>
    <w:p w14:paraId="3C78A5C6" w14:textId="77777777" w:rsidR="00083EB7" w:rsidRPr="0004492D" w:rsidRDefault="00083EB7" w:rsidP="0004492D">
      <w:pPr>
        <w:autoSpaceDE w:val="0"/>
        <w:autoSpaceDN w:val="0"/>
        <w:adjustRightInd w:val="0"/>
        <w:spacing w:line="240" w:lineRule="auto"/>
        <w:jc w:val="both"/>
        <w:rPr>
          <w:rFonts w:cs="Arial"/>
          <w:iCs/>
          <w:szCs w:val="20"/>
          <w:lang w:eastAsia="sl-SI"/>
        </w:rPr>
      </w:pPr>
    </w:p>
    <w:p w14:paraId="7C474260" w14:textId="77777777" w:rsidR="000E679B" w:rsidRPr="0004492D" w:rsidRDefault="000E679B" w:rsidP="0004492D">
      <w:pPr>
        <w:autoSpaceDE w:val="0"/>
        <w:autoSpaceDN w:val="0"/>
        <w:adjustRightInd w:val="0"/>
        <w:spacing w:line="240" w:lineRule="auto"/>
        <w:jc w:val="both"/>
        <w:rPr>
          <w:rFonts w:cs="Arial"/>
          <w:iCs/>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1627"/>
        <w:gridCol w:w="1619"/>
        <w:gridCol w:w="1805"/>
        <w:gridCol w:w="1629"/>
      </w:tblGrid>
      <w:tr w:rsidR="000E679B" w:rsidRPr="0004492D" w14:paraId="468A5669" w14:textId="77777777" w:rsidTr="00C902E9">
        <w:tc>
          <w:tcPr>
            <w:tcW w:w="1809" w:type="dxa"/>
            <w:vMerge w:val="restart"/>
            <w:tcBorders>
              <w:top w:val="single" w:sz="12" w:space="0" w:color="auto"/>
              <w:left w:val="single" w:sz="12" w:space="0" w:color="auto"/>
              <w:right w:val="single" w:sz="12" w:space="0" w:color="auto"/>
            </w:tcBorders>
            <w:shd w:val="clear" w:color="auto" w:fill="auto"/>
            <w:vAlign w:val="center"/>
          </w:tcPr>
          <w:p w14:paraId="54CA68D7" w14:textId="77777777" w:rsidR="000E679B" w:rsidRPr="0004492D" w:rsidRDefault="000E679B" w:rsidP="0004492D">
            <w:pPr>
              <w:spacing w:line="240" w:lineRule="auto"/>
              <w:jc w:val="center"/>
              <w:rPr>
                <w:rFonts w:cs="Arial"/>
                <w:b/>
                <w:szCs w:val="20"/>
              </w:rPr>
            </w:pPr>
            <w:r w:rsidRPr="0004492D">
              <w:rPr>
                <w:rFonts w:cs="Arial"/>
                <w:b/>
                <w:szCs w:val="20"/>
              </w:rPr>
              <w:lastRenderedPageBreak/>
              <w:t>DROE</w:t>
            </w:r>
          </w:p>
        </w:tc>
        <w:tc>
          <w:tcPr>
            <w:tcW w:w="683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424E5A1" w14:textId="77777777" w:rsidR="000E679B" w:rsidRPr="0004492D" w:rsidRDefault="000E679B" w:rsidP="0004492D">
            <w:pPr>
              <w:spacing w:line="240" w:lineRule="auto"/>
              <w:jc w:val="center"/>
              <w:rPr>
                <w:rFonts w:cs="Arial"/>
                <w:b/>
                <w:bCs/>
                <w:szCs w:val="20"/>
              </w:rPr>
            </w:pPr>
            <w:r w:rsidRPr="0004492D">
              <w:rPr>
                <w:rFonts w:cs="Arial"/>
                <w:b/>
                <w:bCs/>
                <w:szCs w:val="20"/>
              </w:rPr>
              <w:t>Masa embalaže po vrsti embalaže (v kg)</w:t>
            </w:r>
          </w:p>
        </w:tc>
      </w:tr>
      <w:tr w:rsidR="000E679B" w:rsidRPr="0004492D" w14:paraId="4991A213" w14:textId="77777777" w:rsidTr="00C902E9">
        <w:tc>
          <w:tcPr>
            <w:tcW w:w="1809" w:type="dxa"/>
            <w:vMerge/>
            <w:tcBorders>
              <w:left w:val="single" w:sz="12" w:space="0" w:color="auto"/>
              <w:bottom w:val="single" w:sz="12" w:space="0" w:color="auto"/>
              <w:right w:val="single" w:sz="12" w:space="0" w:color="auto"/>
            </w:tcBorders>
            <w:shd w:val="clear" w:color="auto" w:fill="auto"/>
            <w:vAlign w:val="center"/>
          </w:tcPr>
          <w:p w14:paraId="4421DCFA" w14:textId="77777777" w:rsidR="000E679B" w:rsidRPr="0004492D" w:rsidRDefault="000E679B" w:rsidP="0004492D">
            <w:pPr>
              <w:spacing w:line="240" w:lineRule="auto"/>
              <w:jc w:val="center"/>
              <w:rPr>
                <w:rFonts w:cs="Arial"/>
                <w:b/>
                <w:szCs w:val="20"/>
              </w:rPr>
            </w:pPr>
          </w:p>
        </w:tc>
        <w:tc>
          <w:tcPr>
            <w:tcW w:w="1661" w:type="dxa"/>
            <w:tcBorders>
              <w:top w:val="single" w:sz="12" w:space="0" w:color="auto"/>
              <w:left w:val="single" w:sz="12" w:space="0" w:color="auto"/>
              <w:bottom w:val="single" w:sz="12" w:space="0" w:color="auto"/>
              <w:right w:val="single" w:sz="12" w:space="0" w:color="auto"/>
            </w:tcBorders>
            <w:shd w:val="clear" w:color="auto" w:fill="auto"/>
            <w:vAlign w:val="center"/>
          </w:tcPr>
          <w:p w14:paraId="62272CB3" w14:textId="77777777" w:rsidR="000E679B" w:rsidRPr="0004492D" w:rsidRDefault="000E679B" w:rsidP="0004492D">
            <w:pPr>
              <w:spacing w:line="240" w:lineRule="auto"/>
              <w:jc w:val="center"/>
              <w:rPr>
                <w:rFonts w:cs="Arial"/>
                <w:b/>
                <w:szCs w:val="20"/>
              </w:rPr>
            </w:pPr>
            <w:r w:rsidRPr="0004492D">
              <w:rPr>
                <w:rFonts w:cs="Arial"/>
                <w:b/>
                <w:szCs w:val="20"/>
              </w:rPr>
              <w:t>Papir in karton</w:t>
            </w:r>
          </w:p>
        </w:tc>
        <w:tc>
          <w:tcPr>
            <w:tcW w:w="1661" w:type="dxa"/>
            <w:tcBorders>
              <w:top w:val="single" w:sz="12" w:space="0" w:color="auto"/>
              <w:left w:val="single" w:sz="12" w:space="0" w:color="auto"/>
              <w:bottom w:val="single" w:sz="12" w:space="0" w:color="auto"/>
              <w:right w:val="single" w:sz="12" w:space="0" w:color="auto"/>
            </w:tcBorders>
            <w:shd w:val="clear" w:color="auto" w:fill="auto"/>
            <w:vAlign w:val="center"/>
          </w:tcPr>
          <w:p w14:paraId="13EAAC9E" w14:textId="77777777" w:rsidR="000E679B" w:rsidRPr="0004492D" w:rsidRDefault="000E679B" w:rsidP="0004492D">
            <w:pPr>
              <w:spacing w:line="240" w:lineRule="auto"/>
              <w:jc w:val="center"/>
              <w:rPr>
                <w:rFonts w:cs="Arial"/>
                <w:b/>
                <w:szCs w:val="20"/>
              </w:rPr>
            </w:pPr>
            <w:r w:rsidRPr="0004492D">
              <w:rPr>
                <w:rFonts w:cs="Arial"/>
                <w:b/>
                <w:szCs w:val="20"/>
              </w:rPr>
              <w:t>Steklo</w:t>
            </w:r>
          </w:p>
        </w:tc>
        <w:tc>
          <w:tcPr>
            <w:tcW w:w="1854" w:type="dxa"/>
            <w:tcBorders>
              <w:top w:val="single" w:sz="12" w:space="0" w:color="auto"/>
              <w:left w:val="single" w:sz="12" w:space="0" w:color="auto"/>
              <w:bottom w:val="single" w:sz="12" w:space="0" w:color="auto"/>
              <w:right w:val="single" w:sz="12" w:space="0" w:color="auto"/>
            </w:tcBorders>
            <w:shd w:val="clear" w:color="auto" w:fill="auto"/>
            <w:vAlign w:val="center"/>
          </w:tcPr>
          <w:p w14:paraId="2CECD7DB" w14:textId="77777777" w:rsidR="000E679B" w:rsidRPr="0004492D" w:rsidRDefault="000E679B" w:rsidP="0004492D">
            <w:pPr>
              <w:spacing w:line="240" w:lineRule="auto"/>
              <w:jc w:val="center"/>
              <w:rPr>
                <w:rFonts w:cs="Arial"/>
                <w:b/>
                <w:szCs w:val="20"/>
              </w:rPr>
            </w:pPr>
            <w:r w:rsidRPr="0004492D">
              <w:rPr>
                <w:rFonts w:cs="Arial"/>
                <w:b/>
                <w:szCs w:val="20"/>
              </w:rPr>
              <w:t>PKKD</w:t>
            </w:r>
          </w:p>
        </w:tc>
        <w:tc>
          <w:tcPr>
            <w:tcW w:w="1663" w:type="dxa"/>
            <w:tcBorders>
              <w:top w:val="single" w:sz="12" w:space="0" w:color="auto"/>
              <w:left w:val="single" w:sz="12" w:space="0" w:color="auto"/>
              <w:bottom w:val="single" w:sz="12" w:space="0" w:color="auto"/>
              <w:right w:val="single" w:sz="12" w:space="0" w:color="auto"/>
            </w:tcBorders>
            <w:shd w:val="clear" w:color="auto" w:fill="auto"/>
            <w:vAlign w:val="center"/>
          </w:tcPr>
          <w:p w14:paraId="1521B7B7" w14:textId="77777777" w:rsidR="000E679B" w:rsidRPr="0004492D" w:rsidRDefault="000E679B" w:rsidP="0004492D">
            <w:pPr>
              <w:spacing w:line="240" w:lineRule="auto"/>
              <w:jc w:val="center"/>
              <w:rPr>
                <w:rFonts w:cs="Arial"/>
                <w:b/>
                <w:szCs w:val="20"/>
              </w:rPr>
            </w:pPr>
            <w:r w:rsidRPr="0004492D">
              <w:rPr>
                <w:rFonts w:cs="Arial"/>
                <w:b/>
                <w:szCs w:val="20"/>
              </w:rPr>
              <w:t>Les</w:t>
            </w:r>
          </w:p>
        </w:tc>
      </w:tr>
      <w:tr w:rsidR="000E679B" w:rsidRPr="0004492D" w14:paraId="12F44897" w14:textId="77777777" w:rsidTr="00C902E9">
        <w:tc>
          <w:tcPr>
            <w:tcW w:w="1809" w:type="dxa"/>
            <w:tcBorders>
              <w:top w:val="single" w:sz="12" w:space="0" w:color="auto"/>
              <w:left w:val="single" w:sz="12" w:space="0" w:color="auto"/>
              <w:right w:val="single" w:sz="12" w:space="0" w:color="auto"/>
            </w:tcBorders>
            <w:shd w:val="clear" w:color="auto" w:fill="auto"/>
            <w:vAlign w:val="center"/>
          </w:tcPr>
          <w:p w14:paraId="73038E63" w14:textId="77777777" w:rsidR="000E679B" w:rsidRPr="0004492D" w:rsidRDefault="000E679B" w:rsidP="0004492D">
            <w:pPr>
              <w:spacing w:line="240" w:lineRule="auto"/>
              <w:rPr>
                <w:rFonts w:cs="Arial"/>
                <w:szCs w:val="20"/>
              </w:rPr>
            </w:pPr>
            <w:r w:rsidRPr="0004492D">
              <w:rPr>
                <w:rFonts w:cs="Arial"/>
                <w:szCs w:val="20"/>
              </w:rPr>
              <w:t>DINOS</w:t>
            </w:r>
          </w:p>
        </w:tc>
        <w:tc>
          <w:tcPr>
            <w:tcW w:w="1661" w:type="dxa"/>
            <w:tcBorders>
              <w:top w:val="single" w:sz="12" w:space="0" w:color="auto"/>
              <w:left w:val="single" w:sz="12" w:space="0" w:color="auto"/>
              <w:right w:val="single" w:sz="12" w:space="0" w:color="auto"/>
            </w:tcBorders>
            <w:shd w:val="clear" w:color="auto" w:fill="auto"/>
            <w:vAlign w:val="bottom"/>
          </w:tcPr>
          <w:p w14:paraId="6A7A63D9" w14:textId="77777777" w:rsidR="000E679B" w:rsidRPr="0004492D" w:rsidRDefault="000E679B" w:rsidP="0004492D">
            <w:pPr>
              <w:spacing w:line="240" w:lineRule="auto"/>
              <w:jc w:val="right"/>
              <w:rPr>
                <w:rFonts w:cs="Arial"/>
                <w:szCs w:val="20"/>
              </w:rPr>
            </w:pPr>
            <w:r w:rsidRPr="0004492D">
              <w:rPr>
                <w:rFonts w:cs="Arial"/>
                <w:color w:val="000000"/>
                <w:szCs w:val="20"/>
              </w:rPr>
              <w:t>5.958.673</w:t>
            </w:r>
          </w:p>
        </w:tc>
        <w:tc>
          <w:tcPr>
            <w:tcW w:w="1661" w:type="dxa"/>
            <w:tcBorders>
              <w:top w:val="single" w:sz="12" w:space="0" w:color="auto"/>
              <w:left w:val="single" w:sz="12" w:space="0" w:color="auto"/>
              <w:right w:val="single" w:sz="12" w:space="0" w:color="auto"/>
            </w:tcBorders>
            <w:shd w:val="clear" w:color="auto" w:fill="auto"/>
            <w:vAlign w:val="bottom"/>
          </w:tcPr>
          <w:p w14:paraId="74556DA5" w14:textId="77777777" w:rsidR="000E679B" w:rsidRPr="0004492D" w:rsidRDefault="000E679B" w:rsidP="0004492D">
            <w:pPr>
              <w:spacing w:line="240" w:lineRule="auto"/>
              <w:jc w:val="right"/>
              <w:rPr>
                <w:rFonts w:cs="Arial"/>
                <w:szCs w:val="20"/>
              </w:rPr>
            </w:pPr>
            <w:r w:rsidRPr="0004492D">
              <w:rPr>
                <w:rFonts w:cs="Arial"/>
                <w:color w:val="000000"/>
                <w:szCs w:val="20"/>
              </w:rPr>
              <w:t>2.008.775</w:t>
            </w:r>
          </w:p>
        </w:tc>
        <w:tc>
          <w:tcPr>
            <w:tcW w:w="1854" w:type="dxa"/>
            <w:tcBorders>
              <w:top w:val="single" w:sz="12" w:space="0" w:color="auto"/>
              <w:left w:val="single" w:sz="12" w:space="0" w:color="auto"/>
              <w:right w:val="single" w:sz="12" w:space="0" w:color="auto"/>
            </w:tcBorders>
            <w:shd w:val="clear" w:color="auto" w:fill="auto"/>
            <w:vAlign w:val="bottom"/>
          </w:tcPr>
          <w:p w14:paraId="0C5C4FC7" w14:textId="77777777" w:rsidR="000E679B" w:rsidRPr="0004492D" w:rsidRDefault="000E679B" w:rsidP="0004492D">
            <w:pPr>
              <w:spacing w:line="240" w:lineRule="auto"/>
              <w:jc w:val="right"/>
              <w:rPr>
                <w:rFonts w:cs="Arial"/>
                <w:szCs w:val="20"/>
              </w:rPr>
            </w:pPr>
            <w:r w:rsidRPr="0004492D">
              <w:rPr>
                <w:rFonts w:cs="Arial"/>
                <w:color w:val="000000"/>
                <w:szCs w:val="20"/>
              </w:rPr>
              <w:t>4.207.359</w:t>
            </w:r>
          </w:p>
        </w:tc>
        <w:tc>
          <w:tcPr>
            <w:tcW w:w="1663" w:type="dxa"/>
            <w:tcBorders>
              <w:top w:val="single" w:sz="12" w:space="0" w:color="auto"/>
              <w:left w:val="single" w:sz="12" w:space="0" w:color="auto"/>
              <w:right w:val="single" w:sz="12" w:space="0" w:color="auto"/>
            </w:tcBorders>
            <w:shd w:val="clear" w:color="auto" w:fill="auto"/>
            <w:vAlign w:val="bottom"/>
          </w:tcPr>
          <w:p w14:paraId="4C6D2A15" w14:textId="77777777" w:rsidR="000E679B" w:rsidRPr="0004492D" w:rsidRDefault="000E679B" w:rsidP="0004492D">
            <w:pPr>
              <w:spacing w:line="240" w:lineRule="auto"/>
              <w:jc w:val="right"/>
              <w:rPr>
                <w:rFonts w:cs="Arial"/>
                <w:szCs w:val="20"/>
              </w:rPr>
            </w:pPr>
            <w:r w:rsidRPr="0004492D">
              <w:rPr>
                <w:rFonts w:cs="Arial"/>
                <w:color w:val="000000"/>
                <w:szCs w:val="20"/>
              </w:rPr>
              <w:t>3.686.698</w:t>
            </w:r>
          </w:p>
        </w:tc>
      </w:tr>
      <w:tr w:rsidR="000E679B" w:rsidRPr="0004492D" w14:paraId="4AEA3BA3" w14:textId="77777777" w:rsidTr="00C902E9">
        <w:trPr>
          <w:trHeight w:val="232"/>
        </w:trPr>
        <w:tc>
          <w:tcPr>
            <w:tcW w:w="1809" w:type="dxa"/>
            <w:tcBorders>
              <w:left w:val="single" w:sz="12" w:space="0" w:color="auto"/>
              <w:right w:val="single" w:sz="12" w:space="0" w:color="auto"/>
            </w:tcBorders>
            <w:shd w:val="clear" w:color="auto" w:fill="auto"/>
            <w:vAlign w:val="center"/>
          </w:tcPr>
          <w:p w14:paraId="40917DFB" w14:textId="77777777" w:rsidR="000E679B" w:rsidRPr="0004492D" w:rsidRDefault="000E679B" w:rsidP="0004492D">
            <w:pPr>
              <w:spacing w:line="240" w:lineRule="auto"/>
              <w:rPr>
                <w:rFonts w:cs="Arial"/>
                <w:szCs w:val="20"/>
              </w:rPr>
            </w:pPr>
            <w:r w:rsidRPr="0004492D">
              <w:rPr>
                <w:rFonts w:cs="Arial"/>
                <w:szCs w:val="20"/>
              </w:rPr>
              <w:t>EMBAKOM</w:t>
            </w:r>
          </w:p>
        </w:tc>
        <w:tc>
          <w:tcPr>
            <w:tcW w:w="1661" w:type="dxa"/>
            <w:tcBorders>
              <w:left w:val="single" w:sz="12" w:space="0" w:color="auto"/>
              <w:right w:val="single" w:sz="12" w:space="0" w:color="auto"/>
            </w:tcBorders>
            <w:shd w:val="clear" w:color="auto" w:fill="auto"/>
            <w:vAlign w:val="bottom"/>
          </w:tcPr>
          <w:p w14:paraId="289AD7B5" w14:textId="77777777" w:rsidR="000E679B" w:rsidRPr="0004492D" w:rsidRDefault="000E679B" w:rsidP="0004492D">
            <w:pPr>
              <w:spacing w:line="240" w:lineRule="auto"/>
              <w:jc w:val="right"/>
              <w:rPr>
                <w:rFonts w:cs="Arial"/>
                <w:szCs w:val="20"/>
              </w:rPr>
            </w:pPr>
            <w:r w:rsidRPr="0004492D">
              <w:rPr>
                <w:rFonts w:cs="Arial"/>
                <w:color w:val="000000"/>
                <w:szCs w:val="20"/>
              </w:rPr>
              <w:t>2.144.469</w:t>
            </w:r>
          </w:p>
        </w:tc>
        <w:tc>
          <w:tcPr>
            <w:tcW w:w="1661" w:type="dxa"/>
            <w:tcBorders>
              <w:left w:val="single" w:sz="12" w:space="0" w:color="auto"/>
              <w:right w:val="single" w:sz="12" w:space="0" w:color="auto"/>
            </w:tcBorders>
            <w:shd w:val="clear" w:color="auto" w:fill="auto"/>
            <w:vAlign w:val="bottom"/>
          </w:tcPr>
          <w:p w14:paraId="57520635" w14:textId="77777777" w:rsidR="000E679B" w:rsidRPr="0004492D" w:rsidRDefault="000E679B" w:rsidP="0004492D">
            <w:pPr>
              <w:spacing w:line="240" w:lineRule="auto"/>
              <w:jc w:val="right"/>
              <w:rPr>
                <w:rFonts w:cs="Arial"/>
                <w:szCs w:val="20"/>
              </w:rPr>
            </w:pPr>
            <w:r w:rsidRPr="0004492D">
              <w:rPr>
                <w:rFonts w:cs="Arial"/>
                <w:color w:val="000000"/>
                <w:szCs w:val="20"/>
              </w:rPr>
              <w:t>767.270</w:t>
            </w:r>
          </w:p>
        </w:tc>
        <w:tc>
          <w:tcPr>
            <w:tcW w:w="1854" w:type="dxa"/>
            <w:tcBorders>
              <w:left w:val="single" w:sz="12" w:space="0" w:color="auto"/>
              <w:right w:val="single" w:sz="12" w:space="0" w:color="auto"/>
            </w:tcBorders>
            <w:shd w:val="clear" w:color="auto" w:fill="auto"/>
            <w:vAlign w:val="bottom"/>
          </w:tcPr>
          <w:p w14:paraId="00C4F5BA" w14:textId="77777777" w:rsidR="000E679B" w:rsidRPr="0004492D" w:rsidRDefault="000E679B" w:rsidP="0004492D">
            <w:pPr>
              <w:spacing w:line="240" w:lineRule="auto"/>
              <w:jc w:val="right"/>
              <w:rPr>
                <w:rFonts w:cs="Arial"/>
                <w:szCs w:val="20"/>
              </w:rPr>
            </w:pPr>
            <w:r w:rsidRPr="0004492D">
              <w:rPr>
                <w:rFonts w:cs="Arial"/>
                <w:color w:val="000000"/>
                <w:szCs w:val="20"/>
              </w:rPr>
              <w:t>1.125.174</w:t>
            </w:r>
          </w:p>
        </w:tc>
        <w:tc>
          <w:tcPr>
            <w:tcW w:w="1663" w:type="dxa"/>
            <w:tcBorders>
              <w:left w:val="single" w:sz="12" w:space="0" w:color="auto"/>
              <w:right w:val="single" w:sz="12" w:space="0" w:color="auto"/>
            </w:tcBorders>
            <w:shd w:val="clear" w:color="auto" w:fill="auto"/>
            <w:vAlign w:val="bottom"/>
          </w:tcPr>
          <w:p w14:paraId="1F138536" w14:textId="77777777" w:rsidR="000E679B" w:rsidRPr="0004492D" w:rsidRDefault="000E679B" w:rsidP="0004492D">
            <w:pPr>
              <w:spacing w:line="240" w:lineRule="auto"/>
              <w:jc w:val="right"/>
              <w:rPr>
                <w:rFonts w:cs="Arial"/>
                <w:szCs w:val="20"/>
              </w:rPr>
            </w:pPr>
            <w:r w:rsidRPr="0004492D">
              <w:rPr>
                <w:rFonts w:cs="Arial"/>
                <w:color w:val="000000"/>
                <w:szCs w:val="20"/>
              </w:rPr>
              <w:t>1.601.721</w:t>
            </w:r>
          </w:p>
        </w:tc>
      </w:tr>
      <w:tr w:rsidR="000E679B" w:rsidRPr="0004492D" w14:paraId="41BCD170" w14:textId="77777777" w:rsidTr="00C902E9">
        <w:tc>
          <w:tcPr>
            <w:tcW w:w="1809" w:type="dxa"/>
            <w:tcBorders>
              <w:left w:val="single" w:sz="12" w:space="0" w:color="auto"/>
              <w:right w:val="single" w:sz="12" w:space="0" w:color="auto"/>
            </w:tcBorders>
            <w:shd w:val="clear" w:color="auto" w:fill="auto"/>
            <w:vAlign w:val="center"/>
          </w:tcPr>
          <w:p w14:paraId="16FECB73" w14:textId="77777777" w:rsidR="000E679B" w:rsidRPr="0004492D" w:rsidRDefault="000E679B" w:rsidP="0004492D">
            <w:pPr>
              <w:spacing w:line="240" w:lineRule="auto"/>
              <w:rPr>
                <w:rFonts w:cs="Arial"/>
                <w:szCs w:val="20"/>
              </w:rPr>
            </w:pPr>
            <w:r w:rsidRPr="0004492D">
              <w:rPr>
                <w:rFonts w:cs="Arial"/>
                <w:szCs w:val="20"/>
              </w:rPr>
              <w:t>SUROVINA</w:t>
            </w:r>
          </w:p>
        </w:tc>
        <w:tc>
          <w:tcPr>
            <w:tcW w:w="1661" w:type="dxa"/>
            <w:tcBorders>
              <w:left w:val="single" w:sz="12" w:space="0" w:color="auto"/>
              <w:right w:val="single" w:sz="12" w:space="0" w:color="auto"/>
            </w:tcBorders>
            <w:shd w:val="clear" w:color="auto" w:fill="auto"/>
            <w:vAlign w:val="bottom"/>
          </w:tcPr>
          <w:p w14:paraId="47CFB3DF" w14:textId="77777777" w:rsidR="000E679B" w:rsidRPr="0004492D" w:rsidRDefault="000E679B" w:rsidP="0004492D">
            <w:pPr>
              <w:spacing w:line="240" w:lineRule="auto"/>
              <w:jc w:val="right"/>
              <w:rPr>
                <w:rFonts w:cs="Arial"/>
                <w:szCs w:val="20"/>
              </w:rPr>
            </w:pPr>
            <w:r w:rsidRPr="0004492D">
              <w:rPr>
                <w:rFonts w:cs="Arial"/>
                <w:color w:val="000000"/>
                <w:szCs w:val="20"/>
              </w:rPr>
              <w:t>5.909.372</w:t>
            </w:r>
          </w:p>
        </w:tc>
        <w:tc>
          <w:tcPr>
            <w:tcW w:w="1661" w:type="dxa"/>
            <w:tcBorders>
              <w:left w:val="single" w:sz="12" w:space="0" w:color="auto"/>
              <w:right w:val="single" w:sz="12" w:space="0" w:color="auto"/>
            </w:tcBorders>
            <w:shd w:val="clear" w:color="auto" w:fill="auto"/>
            <w:vAlign w:val="bottom"/>
          </w:tcPr>
          <w:p w14:paraId="06345B97" w14:textId="77777777" w:rsidR="000E679B" w:rsidRPr="0004492D" w:rsidRDefault="000E679B" w:rsidP="0004492D">
            <w:pPr>
              <w:spacing w:line="240" w:lineRule="auto"/>
              <w:jc w:val="right"/>
              <w:rPr>
                <w:rFonts w:cs="Arial"/>
                <w:szCs w:val="20"/>
              </w:rPr>
            </w:pPr>
            <w:r w:rsidRPr="0004492D">
              <w:rPr>
                <w:rFonts w:cs="Arial"/>
                <w:color w:val="000000"/>
                <w:szCs w:val="20"/>
              </w:rPr>
              <w:t>1.235.908</w:t>
            </w:r>
          </w:p>
        </w:tc>
        <w:tc>
          <w:tcPr>
            <w:tcW w:w="1854" w:type="dxa"/>
            <w:tcBorders>
              <w:left w:val="single" w:sz="12" w:space="0" w:color="auto"/>
              <w:right w:val="single" w:sz="12" w:space="0" w:color="auto"/>
            </w:tcBorders>
            <w:shd w:val="clear" w:color="auto" w:fill="auto"/>
            <w:vAlign w:val="bottom"/>
          </w:tcPr>
          <w:p w14:paraId="21AA60B6" w14:textId="77777777" w:rsidR="000E679B" w:rsidRPr="0004492D" w:rsidRDefault="000E679B" w:rsidP="0004492D">
            <w:pPr>
              <w:spacing w:line="240" w:lineRule="auto"/>
              <w:jc w:val="right"/>
              <w:rPr>
                <w:rFonts w:cs="Arial"/>
                <w:szCs w:val="20"/>
              </w:rPr>
            </w:pPr>
            <w:r w:rsidRPr="0004492D">
              <w:rPr>
                <w:rFonts w:cs="Arial"/>
                <w:color w:val="000000"/>
                <w:szCs w:val="20"/>
              </w:rPr>
              <w:t>3.164.744</w:t>
            </w:r>
          </w:p>
        </w:tc>
        <w:tc>
          <w:tcPr>
            <w:tcW w:w="1663" w:type="dxa"/>
            <w:tcBorders>
              <w:left w:val="single" w:sz="12" w:space="0" w:color="auto"/>
              <w:right w:val="single" w:sz="12" w:space="0" w:color="auto"/>
            </w:tcBorders>
            <w:shd w:val="clear" w:color="auto" w:fill="auto"/>
            <w:vAlign w:val="bottom"/>
          </w:tcPr>
          <w:p w14:paraId="204CEA14" w14:textId="77777777" w:rsidR="000E679B" w:rsidRPr="0004492D" w:rsidRDefault="000E679B" w:rsidP="0004492D">
            <w:pPr>
              <w:spacing w:line="240" w:lineRule="auto"/>
              <w:jc w:val="right"/>
              <w:rPr>
                <w:rFonts w:cs="Arial"/>
                <w:szCs w:val="20"/>
              </w:rPr>
            </w:pPr>
            <w:r w:rsidRPr="0004492D">
              <w:rPr>
                <w:rFonts w:cs="Arial"/>
                <w:color w:val="000000"/>
                <w:szCs w:val="20"/>
              </w:rPr>
              <w:t>3.827.593</w:t>
            </w:r>
          </w:p>
        </w:tc>
      </w:tr>
      <w:tr w:rsidR="000E679B" w:rsidRPr="0004492D" w14:paraId="5CDC89F5" w14:textId="77777777" w:rsidTr="00C902E9">
        <w:tc>
          <w:tcPr>
            <w:tcW w:w="1809" w:type="dxa"/>
            <w:tcBorders>
              <w:left w:val="single" w:sz="12" w:space="0" w:color="auto"/>
              <w:right w:val="single" w:sz="12" w:space="0" w:color="auto"/>
            </w:tcBorders>
            <w:shd w:val="clear" w:color="auto" w:fill="auto"/>
            <w:vAlign w:val="center"/>
          </w:tcPr>
          <w:p w14:paraId="03BB9D2B" w14:textId="77777777" w:rsidR="000E679B" w:rsidRPr="0004492D" w:rsidRDefault="000E679B" w:rsidP="0004492D">
            <w:pPr>
              <w:spacing w:line="240" w:lineRule="auto"/>
              <w:rPr>
                <w:rFonts w:cs="Arial"/>
                <w:szCs w:val="20"/>
              </w:rPr>
            </w:pPr>
            <w:r w:rsidRPr="0004492D">
              <w:rPr>
                <w:rFonts w:cs="Arial"/>
                <w:szCs w:val="20"/>
              </w:rPr>
              <w:t>INTERSEROH</w:t>
            </w:r>
          </w:p>
        </w:tc>
        <w:tc>
          <w:tcPr>
            <w:tcW w:w="1661" w:type="dxa"/>
            <w:tcBorders>
              <w:left w:val="single" w:sz="12" w:space="0" w:color="auto"/>
              <w:right w:val="single" w:sz="12" w:space="0" w:color="auto"/>
            </w:tcBorders>
            <w:shd w:val="clear" w:color="auto" w:fill="auto"/>
            <w:vAlign w:val="bottom"/>
          </w:tcPr>
          <w:p w14:paraId="4F89282D" w14:textId="77777777" w:rsidR="000E679B" w:rsidRPr="0004492D" w:rsidRDefault="000E679B" w:rsidP="0004492D">
            <w:pPr>
              <w:spacing w:line="240" w:lineRule="auto"/>
              <w:jc w:val="right"/>
              <w:rPr>
                <w:rFonts w:cs="Arial"/>
                <w:szCs w:val="20"/>
              </w:rPr>
            </w:pPr>
            <w:r w:rsidRPr="0004492D">
              <w:rPr>
                <w:rFonts w:cs="Arial"/>
                <w:color w:val="000000"/>
                <w:szCs w:val="20"/>
              </w:rPr>
              <w:t>2.957.042</w:t>
            </w:r>
          </w:p>
        </w:tc>
        <w:tc>
          <w:tcPr>
            <w:tcW w:w="1661" w:type="dxa"/>
            <w:tcBorders>
              <w:left w:val="single" w:sz="12" w:space="0" w:color="auto"/>
              <w:right w:val="single" w:sz="12" w:space="0" w:color="auto"/>
            </w:tcBorders>
            <w:shd w:val="clear" w:color="auto" w:fill="auto"/>
            <w:vAlign w:val="bottom"/>
          </w:tcPr>
          <w:p w14:paraId="5BD730F8" w14:textId="77777777" w:rsidR="000E679B" w:rsidRPr="0004492D" w:rsidRDefault="000E679B" w:rsidP="0004492D">
            <w:pPr>
              <w:spacing w:line="240" w:lineRule="auto"/>
              <w:jc w:val="right"/>
              <w:rPr>
                <w:rFonts w:cs="Arial"/>
                <w:szCs w:val="20"/>
              </w:rPr>
            </w:pPr>
            <w:r w:rsidRPr="0004492D">
              <w:rPr>
                <w:rFonts w:cs="Arial"/>
                <w:color w:val="000000"/>
                <w:szCs w:val="20"/>
              </w:rPr>
              <w:t>446.109</w:t>
            </w:r>
          </w:p>
        </w:tc>
        <w:tc>
          <w:tcPr>
            <w:tcW w:w="1854" w:type="dxa"/>
            <w:tcBorders>
              <w:left w:val="single" w:sz="12" w:space="0" w:color="auto"/>
              <w:right w:val="single" w:sz="12" w:space="0" w:color="auto"/>
            </w:tcBorders>
            <w:shd w:val="clear" w:color="auto" w:fill="auto"/>
            <w:vAlign w:val="bottom"/>
          </w:tcPr>
          <w:p w14:paraId="697E8623" w14:textId="77777777" w:rsidR="000E679B" w:rsidRPr="0004492D" w:rsidRDefault="000E679B" w:rsidP="0004492D">
            <w:pPr>
              <w:spacing w:line="240" w:lineRule="auto"/>
              <w:jc w:val="right"/>
              <w:rPr>
                <w:rFonts w:cs="Arial"/>
                <w:szCs w:val="20"/>
              </w:rPr>
            </w:pPr>
            <w:r w:rsidRPr="0004492D">
              <w:rPr>
                <w:rFonts w:cs="Arial"/>
                <w:color w:val="000000"/>
                <w:szCs w:val="20"/>
              </w:rPr>
              <w:t>1.053.299</w:t>
            </w:r>
          </w:p>
        </w:tc>
        <w:tc>
          <w:tcPr>
            <w:tcW w:w="1663" w:type="dxa"/>
            <w:tcBorders>
              <w:left w:val="single" w:sz="12" w:space="0" w:color="auto"/>
              <w:right w:val="single" w:sz="12" w:space="0" w:color="auto"/>
            </w:tcBorders>
            <w:shd w:val="clear" w:color="auto" w:fill="auto"/>
            <w:vAlign w:val="bottom"/>
          </w:tcPr>
          <w:p w14:paraId="35ECEA12" w14:textId="77777777" w:rsidR="000E679B" w:rsidRPr="0004492D" w:rsidRDefault="000E679B" w:rsidP="0004492D">
            <w:pPr>
              <w:spacing w:line="240" w:lineRule="auto"/>
              <w:jc w:val="right"/>
              <w:rPr>
                <w:rFonts w:cs="Arial"/>
                <w:szCs w:val="20"/>
              </w:rPr>
            </w:pPr>
            <w:r w:rsidRPr="0004492D">
              <w:rPr>
                <w:rFonts w:cs="Arial"/>
                <w:color w:val="000000"/>
                <w:szCs w:val="20"/>
              </w:rPr>
              <w:t>1.335.099</w:t>
            </w:r>
          </w:p>
        </w:tc>
      </w:tr>
      <w:tr w:rsidR="000E679B" w:rsidRPr="0004492D" w14:paraId="57A8769B" w14:textId="77777777" w:rsidTr="00C902E9">
        <w:tc>
          <w:tcPr>
            <w:tcW w:w="1809" w:type="dxa"/>
            <w:tcBorders>
              <w:left w:val="single" w:sz="12" w:space="0" w:color="auto"/>
              <w:right w:val="single" w:sz="12" w:space="0" w:color="auto"/>
            </w:tcBorders>
            <w:shd w:val="clear" w:color="auto" w:fill="auto"/>
            <w:vAlign w:val="center"/>
          </w:tcPr>
          <w:p w14:paraId="13A5588B" w14:textId="77777777" w:rsidR="000E679B" w:rsidRPr="0004492D" w:rsidRDefault="000E679B" w:rsidP="0004492D">
            <w:pPr>
              <w:spacing w:line="240" w:lineRule="auto"/>
              <w:rPr>
                <w:rFonts w:cs="Arial"/>
                <w:szCs w:val="20"/>
              </w:rPr>
            </w:pPr>
            <w:r w:rsidRPr="0004492D">
              <w:rPr>
                <w:rFonts w:cs="Arial"/>
                <w:szCs w:val="20"/>
              </w:rPr>
              <w:t>RECIKEL</w:t>
            </w:r>
          </w:p>
        </w:tc>
        <w:tc>
          <w:tcPr>
            <w:tcW w:w="1661" w:type="dxa"/>
            <w:tcBorders>
              <w:left w:val="single" w:sz="12" w:space="0" w:color="auto"/>
              <w:right w:val="single" w:sz="12" w:space="0" w:color="auto"/>
            </w:tcBorders>
            <w:shd w:val="clear" w:color="auto" w:fill="auto"/>
            <w:vAlign w:val="bottom"/>
          </w:tcPr>
          <w:p w14:paraId="49428C7C" w14:textId="77777777" w:rsidR="000E679B" w:rsidRPr="0004492D" w:rsidRDefault="000E679B" w:rsidP="0004492D">
            <w:pPr>
              <w:spacing w:line="240" w:lineRule="auto"/>
              <w:jc w:val="right"/>
              <w:rPr>
                <w:rFonts w:cs="Arial"/>
                <w:szCs w:val="20"/>
              </w:rPr>
            </w:pPr>
            <w:r w:rsidRPr="0004492D">
              <w:rPr>
                <w:rFonts w:cs="Arial"/>
                <w:color w:val="000000"/>
                <w:szCs w:val="20"/>
              </w:rPr>
              <w:t>8.689.408</w:t>
            </w:r>
          </w:p>
        </w:tc>
        <w:tc>
          <w:tcPr>
            <w:tcW w:w="1661" w:type="dxa"/>
            <w:tcBorders>
              <w:left w:val="single" w:sz="12" w:space="0" w:color="auto"/>
              <w:right w:val="single" w:sz="12" w:space="0" w:color="auto"/>
            </w:tcBorders>
            <w:shd w:val="clear" w:color="auto" w:fill="auto"/>
            <w:vAlign w:val="bottom"/>
          </w:tcPr>
          <w:p w14:paraId="19144F89" w14:textId="77777777" w:rsidR="000E679B" w:rsidRPr="0004492D" w:rsidRDefault="000E679B" w:rsidP="0004492D">
            <w:pPr>
              <w:spacing w:line="240" w:lineRule="auto"/>
              <w:jc w:val="right"/>
              <w:rPr>
                <w:rFonts w:cs="Arial"/>
                <w:szCs w:val="20"/>
              </w:rPr>
            </w:pPr>
            <w:r w:rsidRPr="0004492D">
              <w:rPr>
                <w:rFonts w:cs="Arial"/>
                <w:color w:val="000000"/>
                <w:szCs w:val="20"/>
              </w:rPr>
              <w:t>3.564.549</w:t>
            </w:r>
          </w:p>
        </w:tc>
        <w:tc>
          <w:tcPr>
            <w:tcW w:w="1854" w:type="dxa"/>
            <w:tcBorders>
              <w:left w:val="single" w:sz="12" w:space="0" w:color="auto"/>
              <w:right w:val="single" w:sz="12" w:space="0" w:color="auto"/>
            </w:tcBorders>
            <w:shd w:val="clear" w:color="auto" w:fill="auto"/>
            <w:vAlign w:val="bottom"/>
          </w:tcPr>
          <w:p w14:paraId="3B3BF01E" w14:textId="77777777" w:rsidR="000E679B" w:rsidRPr="0004492D" w:rsidRDefault="000E679B" w:rsidP="0004492D">
            <w:pPr>
              <w:spacing w:line="240" w:lineRule="auto"/>
              <w:jc w:val="right"/>
              <w:rPr>
                <w:rFonts w:cs="Arial"/>
                <w:szCs w:val="20"/>
              </w:rPr>
            </w:pPr>
            <w:r w:rsidRPr="0004492D">
              <w:rPr>
                <w:rFonts w:cs="Arial"/>
                <w:color w:val="000000"/>
                <w:szCs w:val="20"/>
              </w:rPr>
              <w:t>1.927.804</w:t>
            </w:r>
          </w:p>
        </w:tc>
        <w:tc>
          <w:tcPr>
            <w:tcW w:w="1663" w:type="dxa"/>
            <w:tcBorders>
              <w:left w:val="single" w:sz="12" w:space="0" w:color="auto"/>
              <w:right w:val="single" w:sz="12" w:space="0" w:color="auto"/>
            </w:tcBorders>
            <w:shd w:val="clear" w:color="auto" w:fill="auto"/>
            <w:vAlign w:val="bottom"/>
          </w:tcPr>
          <w:p w14:paraId="05779554" w14:textId="77777777" w:rsidR="000E679B" w:rsidRPr="0004492D" w:rsidRDefault="000E679B" w:rsidP="0004492D">
            <w:pPr>
              <w:spacing w:line="240" w:lineRule="auto"/>
              <w:jc w:val="right"/>
              <w:rPr>
                <w:rFonts w:cs="Arial"/>
                <w:szCs w:val="20"/>
              </w:rPr>
            </w:pPr>
            <w:r w:rsidRPr="0004492D">
              <w:rPr>
                <w:rFonts w:cs="Arial"/>
                <w:color w:val="000000"/>
                <w:szCs w:val="20"/>
              </w:rPr>
              <w:t>6.102.035</w:t>
            </w:r>
          </w:p>
        </w:tc>
      </w:tr>
      <w:tr w:rsidR="000E679B" w:rsidRPr="0004492D" w14:paraId="15BA32FE" w14:textId="77777777" w:rsidTr="00C902E9">
        <w:tc>
          <w:tcPr>
            <w:tcW w:w="1809" w:type="dxa"/>
            <w:tcBorders>
              <w:left w:val="single" w:sz="12" w:space="0" w:color="auto"/>
              <w:bottom w:val="single" w:sz="12" w:space="0" w:color="auto"/>
              <w:right w:val="single" w:sz="12" w:space="0" w:color="auto"/>
            </w:tcBorders>
            <w:shd w:val="clear" w:color="auto" w:fill="auto"/>
            <w:vAlign w:val="center"/>
          </w:tcPr>
          <w:p w14:paraId="74DAEFE6" w14:textId="77777777" w:rsidR="000E679B" w:rsidRPr="0004492D" w:rsidRDefault="000E679B" w:rsidP="0004492D">
            <w:pPr>
              <w:spacing w:line="240" w:lineRule="auto"/>
              <w:rPr>
                <w:rFonts w:cs="Arial"/>
                <w:szCs w:val="20"/>
              </w:rPr>
            </w:pPr>
            <w:r w:rsidRPr="0004492D">
              <w:rPr>
                <w:rFonts w:cs="Arial"/>
                <w:szCs w:val="20"/>
              </w:rPr>
              <w:t>SLOPAK</w:t>
            </w:r>
          </w:p>
        </w:tc>
        <w:tc>
          <w:tcPr>
            <w:tcW w:w="1661" w:type="dxa"/>
            <w:tcBorders>
              <w:left w:val="single" w:sz="12" w:space="0" w:color="auto"/>
              <w:bottom w:val="single" w:sz="12" w:space="0" w:color="auto"/>
              <w:right w:val="single" w:sz="12" w:space="0" w:color="auto"/>
            </w:tcBorders>
            <w:shd w:val="clear" w:color="auto" w:fill="auto"/>
            <w:vAlign w:val="bottom"/>
          </w:tcPr>
          <w:p w14:paraId="0E32315C" w14:textId="77777777" w:rsidR="000E679B" w:rsidRPr="0004492D" w:rsidRDefault="000E679B" w:rsidP="0004492D">
            <w:pPr>
              <w:spacing w:line="240" w:lineRule="auto"/>
              <w:jc w:val="right"/>
              <w:rPr>
                <w:rFonts w:cs="Arial"/>
                <w:szCs w:val="20"/>
              </w:rPr>
            </w:pPr>
            <w:r w:rsidRPr="0004492D">
              <w:rPr>
                <w:rFonts w:cs="Arial"/>
                <w:color w:val="000000"/>
                <w:szCs w:val="20"/>
              </w:rPr>
              <w:t>2.445.769</w:t>
            </w:r>
          </w:p>
        </w:tc>
        <w:tc>
          <w:tcPr>
            <w:tcW w:w="1661" w:type="dxa"/>
            <w:tcBorders>
              <w:left w:val="single" w:sz="12" w:space="0" w:color="auto"/>
              <w:bottom w:val="single" w:sz="12" w:space="0" w:color="auto"/>
              <w:right w:val="single" w:sz="12" w:space="0" w:color="auto"/>
            </w:tcBorders>
            <w:shd w:val="clear" w:color="auto" w:fill="auto"/>
            <w:vAlign w:val="bottom"/>
          </w:tcPr>
          <w:p w14:paraId="369C51FE" w14:textId="77777777" w:rsidR="000E679B" w:rsidRPr="0004492D" w:rsidRDefault="000E679B" w:rsidP="0004492D">
            <w:pPr>
              <w:spacing w:line="240" w:lineRule="auto"/>
              <w:jc w:val="right"/>
              <w:rPr>
                <w:rFonts w:cs="Arial"/>
                <w:szCs w:val="20"/>
              </w:rPr>
            </w:pPr>
            <w:r w:rsidRPr="0004492D">
              <w:rPr>
                <w:rFonts w:cs="Arial"/>
                <w:color w:val="000000"/>
                <w:szCs w:val="20"/>
              </w:rPr>
              <w:t>944.767</w:t>
            </w:r>
          </w:p>
        </w:tc>
        <w:tc>
          <w:tcPr>
            <w:tcW w:w="1854" w:type="dxa"/>
            <w:tcBorders>
              <w:left w:val="single" w:sz="12" w:space="0" w:color="auto"/>
              <w:bottom w:val="single" w:sz="12" w:space="0" w:color="auto"/>
              <w:right w:val="single" w:sz="12" w:space="0" w:color="auto"/>
            </w:tcBorders>
            <w:shd w:val="clear" w:color="auto" w:fill="auto"/>
            <w:vAlign w:val="bottom"/>
          </w:tcPr>
          <w:p w14:paraId="26024043" w14:textId="77777777" w:rsidR="000E679B" w:rsidRPr="0004492D" w:rsidRDefault="000E679B" w:rsidP="0004492D">
            <w:pPr>
              <w:spacing w:line="240" w:lineRule="auto"/>
              <w:jc w:val="right"/>
              <w:rPr>
                <w:rFonts w:cs="Arial"/>
                <w:szCs w:val="20"/>
              </w:rPr>
            </w:pPr>
            <w:r w:rsidRPr="0004492D">
              <w:rPr>
                <w:rFonts w:cs="Arial"/>
                <w:color w:val="000000"/>
                <w:szCs w:val="20"/>
              </w:rPr>
              <w:t>978.022</w:t>
            </w:r>
          </w:p>
        </w:tc>
        <w:tc>
          <w:tcPr>
            <w:tcW w:w="1663" w:type="dxa"/>
            <w:tcBorders>
              <w:left w:val="single" w:sz="12" w:space="0" w:color="auto"/>
              <w:bottom w:val="single" w:sz="12" w:space="0" w:color="auto"/>
              <w:right w:val="single" w:sz="12" w:space="0" w:color="auto"/>
            </w:tcBorders>
            <w:shd w:val="clear" w:color="auto" w:fill="auto"/>
            <w:vAlign w:val="bottom"/>
          </w:tcPr>
          <w:p w14:paraId="3F680CA7" w14:textId="77777777" w:rsidR="000E679B" w:rsidRPr="0004492D" w:rsidRDefault="000E679B" w:rsidP="0004492D">
            <w:pPr>
              <w:spacing w:line="240" w:lineRule="auto"/>
              <w:jc w:val="right"/>
              <w:rPr>
                <w:rFonts w:cs="Arial"/>
                <w:szCs w:val="20"/>
              </w:rPr>
            </w:pPr>
            <w:r w:rsidRPr="0004492D">
              <w:rPr>
                <w:rFonts w:cs="Arial"/>
                <w:color w:val="000000"/>
                <w:szCs w:val="20"/>
              </w:rPr>
              <w:t>3.134.582</w:t>
            </w:r>
          </w:p>
        </w:tc>
      </w:tr>
      <w:tr w:rsidR="000E679B" w:rsidRPr="0004492D" w14:paraId="146B3D55" w14:textId="77777777" w:rsidTr="00C902E9">
        <w:tc>
          <w:tcPr>
            <w:tcW w:w="1809" w:type="dxa"/>
            <w:tcBorders>
              <w:top w:val="single" w:sz="12" w:space="0" w:color="auto"/>
              <w:left w:val="single" w:sz="12" w:space="0" w:color="auto"/>
              <w:bottom w:val="single" w:sz="12" w:space="0" w:color="auto"/>
              <w:right w:val="single" w:sz="12" w:space="0" w:color="auto"/>
            </w:tcBorders>
            <w:shd w:val="clear" w:color="auto" w:fill="auto"/>
            <w:vAlign w:val="center"/>
          </w:tcPr>
          <w:p w14:paraId="23430953" w14:textId="77777777" w:rsidR="000E679B" w:rsidRPr="0004492D" w:rsidRDefault="000E679B" w:rsidP="0004492D">
            <w:pPr>
              <w:spacing w:line="240" w:lineRule="auto"/>
              <w:rPr>
                <w:rFonts w:cs="Arial"/>
                <w:szCs w:val="20"/>
              </w:rPr>
            </w:pPr>
            <w:r w:rsidRPr="0004492D">
              <w:rPr>
                <w:rFonts w:cs="Arial"/>
                <w:szCs w:val="20"/>
              </w:rPr>
              <w:t>Skupaj</w:t>
            </w:r>
          </w:p>
        </w:tc>
        <w:tc>
          <w:tcPr>
            <w:tcW w:w="1661" w:type="dxa"/>
            <w:tcBorders>
              <w:top w:val="single" w:sz="12" w:space="0" w:color="auto"/>
              <w:left w:val="single" w:sz="12" w:space="0" w:color="auto"/>
              <w:bottom w:val="single" w:sz="12" w:space="0" w:color="auto"/>
              <w:right w:val="single" w:sz="12" w:space="0" w:color="auto"/>
            </w:tcBorders>
            <w:shd w:val="clear" w:color="auto" w:fill="auto"/>
            <w:vAlign w:val="bottom"/>
          </w:tcPr>
          <w:p w14:paraId="5DC980D4" w14:textId="77777777" w:rsidR="000E679B" w:rsidRPr="0004492D" w:rsidRDefault="000E679B" w:rsidP="0004492D">
            <w:pPr>
              <w:spacing w:line="240" w:lineRule="auto"/>
              <w:jc w:val="right"/>
              <w:rPr>
                <w:rFonts w:cs="Arial"/>
                <w:b/>
                <w:bCs/>
                <w:szCs w:val="20"/>
              </w:rPr>
            </w:pPr>
            <w:r w:rsidRPr="0004492D">
              <w:rPr>
                <w:rFonts w:cs="Arial"/>
                <w:color w:val="000000"/>
                <w:szCs w:val="20"/>
              </w:rPr>
              <w:t>28.104.733</w:t>
            </w:r>
          </w:p>
        </w:tc>
        <w:tc>
          <w:tcPr>
            <w:tcW w:w="1661" w:type="dxa"/>
            <w:tcBorders>
              <w:top w:val="single" w:sz="12" w:space="0" w:color="auto"/>
              <w:left w:val="single" w:sz="12" w:space="0" w:color="auto"/>
              <w:bottom w:val="single" w:sz="12" w:space="0" w:color="auto"/>
              <w:right w:val="single" w:sz="12" w:space="0" w:color="auto"/>
            </w:tcBorders>
            <w:shd w:val="clear" w:color="auto" w:fill="auto"/>
            <w:vAlign w:val="bottom"/>
          </w:tcPr>
          <w:p w14:paraId="16603064" w14:textId="77777777" w:rsidR="000E679B" w:rsidRPr="0004492D" w:rsidRDefault="000E679B" w:rsidP="0004492D">
            <w:pPr>
              <w:spacing w:line="240" w:lineRule="auto"/>
              <w:jc w:val="right"/>
              <w:rPr>
                <w:rFonts w:cs="Arial"/>
                <w:szCs w:val="20"/>
              </w:rPr>
            </w:pPr>
            <w:r w:rsidRPr="0004492D">
              <w:rPr>
                <w:rFonts w:cs="Arial"/>
                <w:color w:val="000000"/>
                <w:szCs w:val="20"/>
              </w:rPr>
              <w:t>8.967.378</w:t>
            </w:r>
          </w:p>
        </w:tc>
        <w:tc>
          <w:tcPr>
            <w:tcW w:w="1854" w:type="dxa"/>
            <w:tcBorders>
              <w:top w:val="single" w:sz="12" w:space="0" w:color="auto"/>
              <w:left w:val="single" w:sz="12" w:space="0" w:color="auto"/>
              <w:bottom w:val="single" w:sz="12" w:space="0" w:color="auto"/>
              <w:right w:val="single" w:sz="12" w:space="0" w:color="auto"/>
            </w:tcBorders>
            <w:shd w:val="clear" w:color="auto" w:fill="auto"/>
            <w:vAlign w:val="bottom"/>
          </w:tcPr>
          <w:p w14:paraId="032D2AF9" w14:textId="77777777" w:rsidR="000E679B" w:rsidRPr="0004492D" w:rsidRDefault="000E679B" w:rsidP="0004492D">
            <w:pPr>
              <w:spacing w:line="240" w:lineRule="auto"/>
              <w:jc w:val="right"/>
              <w:rPr>
                <w:rFonts w:cs="Arial"/>
                <w:szCs w:val="20"/>
              </w:rPr>
            </w:pPr>
            <w:r w:rsidRPr="0004492D">
              <w:rPr>
                <w:rFonts w:cs="Arial"/>
                <w:color w:val="000000"/>
                <w:szCs w:val="20"/>
              </w:rPr>
              <w:t>12.456.402</w:t>
            </w:r>
          </w:p>
        </w:tc>
        <w:tc>
          <w:tcPr>
            <w:tcW w:w="1663" w:type="dxa"/>
            <w:tcBorders>
              <w:top w:val="single" w:sz="12" w:space="0" w:color="auto"/>
              <w:left w:val="single" w:sz="12" w:space="0" w:color="auto"/>
              <w:bottom w:val="single" w:sz="12" w:space="0" w:color="auto"/>
              <w:right w:val="single" w:sz="12" w:space="0" w:color="auto"/>
            </w:tcBorders>
            <w:shd w:val="clear" w:color="auto" w:fill="auto"/>
            <w:vAlign w:val="bottom"/>
          </w:tcPr>
          <w:p w14:paraId="76D6403C" w14:textId="77777777" w:rsidR="000E679B" w:rsidRPr="0004492D" w:rsidRDefault="000E679B" w:rsidP="0004492D">
            <w:pPr>
              <w:spacing w:line="240" w:lineRule="auto"/>
              <w:jc w:val="right"/>
              <w:rPr>
                <w:rFonts w:cs="Arial"/>
                <w:szCs w:val="20"/>
              </w:rPr>
            </w:pPr>
            <w:r w:rsidRPr="0004492D">
              <w:rPr>
                <w:rFonts w:cs="Arial"/>
                <w:color w:val="000000"/>
                <w:szCs w:val="20"/>
              </w:rPr>
              <w:t>19.687.728</w:t>
            </w:r>
          </w:p>
        </w:tc>
      </w:tr>
    </w:tbl>
    <w:p w14:paraId="711C8FE9" w14:textId="77777777" w:rsidR="000E679B" w:rsidRPr="0004492D" w:rsidRDefault="000E679B" w:rsidP="0004492D">
      <w:pPr>
        <w:autoSpaceDE w:val="0"/>
        <w:autoSpaceDN w:val="0"/>
        <w:adjustRightInd w:val="0"/>
        <w:spacing w:line="240" w:lineRule="auto"/>
        <w:jc w:val="both"/>
        <w:rPr>
          <w:rFonts w:cs="Arial"/>
          <w:iCs/>
          <w:szCs w:val="20"/>
          <w:lang w:eastAsia="sl-SI"/>
        </w:rPr>
      </w:pPr>
    </w:p>
    <w:p w14:paraId="6FC9DA06" w14:textId="77777777" w:rsidR="000E679B" w:rsidRPr="0004492D" w:rsidRDefault="000E679B" w:rsidP="0004492D">
      <w:pPr>
        <w:autoSpaceDE w:val="0"/>
        <w:autoSpaceDN w:val="0"/>
        <w:adjustRightInd w:val="0"/>
        <w:spacing w:line="240" w:lineRule="auto"/>
        <w:jc w:val="both"/>
        <w:rPr>
          <w:rFonts w:cs="Arial"/>
          <w:iCs/>
          <w:szCs w:val="20"/>
          <w:lang w:eastAsia="sl-SI"/>
        </w:rPr>
      </w:pPr>
      <w:r w:rsidRPr="0004492D">
        <w:rPr>
          <w:rFonts w:cs="Arial"/>
          <w:iCs/>
          <w:szCs w:val="20"/>
          <w:lang w:eastAsia="sl-SI"/>
        </w:rPr>
        <w:t>Na podlagi teh podatkov so za posamezno družbo za ravnanje z odpadno embalažo določeni deleži odpadne embalaže za januar, februar in marec 2022 za vsako skupino embalažnega materiala posebej z uporabo enačbe, v skladu s katero se delež odpadne embalaže iz posamezne skupine embalažnega materiala za posamezno družbo za ravnanje z odpadno embalažo izračuna kot količnik med maso embalaže iz posamezne skupine embalažnega materiala, za katero je posamezna družba za ravnanje z odpadno embalažo sporočila podatke o dajanju na trg v Republiki Sloveniji, in skupno maso embalaže iz posamezne skupine embalažnega materiala, za katero so vse družbe za ravnanje z odpadno embalažo skupaj sporočile podatke o dajanju na trg v Republiki Sloveniji.</w:t>
      </w:r>
    </w:p>
    <w:p w14:paraId="2DBE061A" w14:textId="77777777" w:rsidR="000E679B" w:rsidRPr="0004492D" w:rsidRDefault="000E679B" w:rsidP="0004492D">
      <w:pPr>
        <w:autoSpaceDE w:val="0"/>
        <w:autoSpaceDN w:val="0"/>
        <w:adjustRightInd w:val="0"/>
        <w:spacing w:line="240" w:lineRule="auto"/>
        <w:jc w:val="both"/>
        <w:rPr>
          <w:rFonts w:cs="Arial"/>
          <w:iCs/>
          <w:szCs w:val="20"/>
          <w:lang w:eastAsia="sl-SI"/>
        </w:rPr>
      </w:pPr>
    </w:p>
    <w:p w14:paraId="6DFCD8E7" w14:textId="77777777" w:rsidR="000E679B" w:rsidRPr="0004492D" w:rsidRDefault="000E679B" w:rsidP="0004492D">
      <w:pPr>
        <w:autoSpaceDE w:val="0"/>
        <w:autoSpaceDN w:val="0"/>
        <w:adjustRightInd w:val="0"/>
        <w:spacing w:line="240" w:lineRule="auto"/>
        <w:jc w:val="both"/>
        <w:rPr>
          <w:rFonts w:cs="Arial"/>
          <w:iCs/>
          <w:szCs w:val="20"/>
          <w:lang w:eastAsia="sl-SI"/>
        </w:rPr>
      </w:pPr>
      <w:r w:rsidRPr="0004492D">
        <w:rPr>
          <w:rFonts w:cs="Arial"/>
          <w:iCs/>
          <w:szCs w:val="20"/>
          <w:lang w:eastAsia="sl-SI"/>
        </w:rPr>
        <w:t>Deleži odpadne embalaže za januar, februar in marec 2022 (v %):</w:t>
      </w:r>
    </w:p>
    <w:p w14:paraId="1819FE5F" w14:textId="77777777" w:rsidR="000E679B" w:rsidRPr="0004492D" w:rsidRDefault="000E679B" w:rsidP="0004492D">
      <w:pPr>
        <w:autoSpaceDE w:val="0"/>
        <w:autoSpaceDN w:val="0"/>
        <w:adjustRightInd w:val="0"/>
        <w:spacing w:line="240" w:lineRule="auto"/>
        <w:jc w:val="both"/>
        <w:rPr>
          <w:rFonts w:cs="Arial"/>
          <w:iCs/>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1623"/>
        <w:gridCol w:w="1623"/>
        <w:gridCol w:w="1804"/>
        <w:gridCol w:w="1628"/>
      </w:tblGrid>
      <w:tr w:rsidR="000E679B" w:rsidRPr="0004492D" w14:paraId="269265B6" w14:textId="77777777" w:rsidTr="00C902E9">
        <w:tc>
          <w:tcPr>
            <w:tcW w:w="1809" w:type="dxa"/>
            <w:tcBorders>
              <w:top w:val="single" w:sz="12" w:space="0" w:color="auto"/>
              <w:left w:val="single" w:sz="12" w:space="0" w:color="auto"/>
              <w:bottom w:val="single" w:sz="12" w:space="0" w:color="auto"/>
              <w:right w:val="single" w:sz="12" w:space="0" w:color="auto"/>
            </w:tcBorders>
            <w:shd w:val="clear" w:color="auto" w:fill="auto"/>
            <w:vAlign w:val="center"/>
          </w:tcPr>
          <w:p w14:paraId="38403E15" w14:textId="77777777" w:rsidR="000E679B" w:rsidRPr="0004492D" w:rsidRDefault="000E679B" w:rsidP="0004492D">
            <w:pPr>
              <w:spacing w:line="240" w:lineRule="auto"/>
              <w:jc w:val="center"/>
              <w:rPr>
                <w:rFonts w:cs="Arial"/>
                <w:szCs w:val="20"/>
              </w:rPr>
            </w:pPr>
          </w:p>
        </w:tc>
        <w:tc>
          <w:tcPr>
            <w:tcW w:w="684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39A6E9E" w14:textId="77777777" w:rsidR="000E679B" w:rsidRPr="0004492D" w:rsidRDefault="000E679B" w:rsidP="0004492D">
            <w:pPr>
              <w:spacing w:line="240" w:lineRule="auto"/>
              <w:jc w:val="center"/>
              <w:rPr>
                <w:rFonts w:cs="Arial"/>
                <w:b/>
                <w:szCs w:val="20"/>
              </w:rPr>
            </w:pPr>
            <w:r w:rsidRPr="0004492D">
              <w:rPr>
                <w:rFonts w:cs="Arial"/>
                <w:b/>
                <w:szCs w:val="20"/>
              </w:rPr>
              <w:t xml:space="preserve">Deleži odpadne embalaže </w:t>
            </w:r>
            <w:r w:rsidRPr="0004492D">
              <w:rPr>
                <w:rFonts w:cs="Arial"/>
                <w:b/>
                <w:szCs w:val="20"/>
              </w:rPr>
              <w:br/>
              <w:t>za januar, februar in marec 2022 (v %)</w:t>
            </w:r>
          </w:p>
        </w:tc>
      </w:tr>
      <w:tr w:rsidR="000E679B" w:rsidRPr="0004492D" w14:paraId="2B2022B4" w14:textId="77777777" w:rsidTr="00C902E9">
        <w:tc>
          <w:tcPr>
            <w:tcW w:w="1809" w:type="dxa"/>
            <w:tcBorders>
              <w:top w:val="single" w:sz="12" w:space="0" w:color="auto"/>
              <w:left w:val="single" w:sz="12" w:space="0" w:color="auto"/>
              <w:bottom w:val="single" w:sz="12" w:space="0" w:color="auto"/>
              <w:right w:val="single" w:sz="12" w:space="0" w:color="auto"/>
            </w:tcBorders>
            <w:shd w:val="clear" w:color="auto" w:fill="auto"/>
            <w:vAlign w:val="center"/>
          </w:tcPr>
          <w:p w14:paraId="5954C770" w14:textId="77777777" w:rsidR="000E679B" w:rsidRPr="0004492D" w:rsidRDefault="000E679B" w:rsidP="0004492D">
            <w:pPr>
              <w:spacing w:line="240" w:lineRule="auto"/>
              <w:jc w:val="center"/>
              <w:rPr>
                <w:rFonts w:cs="Arial"/>
                <w:b/>
                <w:szCs w:val="20"/>
              </w:rPr>
            </w:pPr>
            <w:r w:rsidRPr="0004492D">
              <w:rPr>
                <w:rFonts w:cs="Arial"/>
                <w:b/>
                <w:szCs w:val="20"/>
              </w:rPr>
              <w:t>DROE</w:t>
            </w:r>
          </w:p>
        </w:tc>
        <w:tc>
          <w:tcPr>
            <w:tcW w:w="1661" w:type="dxa"/>
            <w:tcBorders>
              <w:top w:val="single" w:sz="12" w:space="0" w:color="auto"/>
              <w:left w:val="single" w:sz="12" w:space="0" w:color="auto"/>
              <w:bottom w:val="single" w:sz="12" w:space="0" w:color="auto"/>
              <w:right w:val="single" w:sz="12" w:space="0" w:color="auto"/>
            </w:tcBorders>
            <w:shd w:val="clear" w:color="auto" w:fill="auto"/>
            <w:vAlign w:val="center"/>
          </w:tcPr>
          <w:p w14:paraId="2474091A" w14:textId="77777777" w:rsidR="000E679B" w:rsidRPr="0004492D" w:rsidRDefault="000E679B" w:rsidP="0004492D">
            <w:pPr>
              <w:spacing w:line="240" w:lineRule="auto"/>
              <w:jc w:val="center"/>
              <w:rPr>
                <w:rFonts w:cs="Arial"/>
                <w:b/>
                <w:szCs w:val="20"/>
              </w:rPr>
            </w:pPr>
            <w:r w:rsidRPr="0004492D">
              <w:rPr>
                <w:rFonts w:cs="Arial"/>
                <w:b/>
                <w:szCs w:val="20"/>
              </w:rPr>
              <w:t>Papir in karton</w:t>
            </w:r>
          </w:p>
        </w:tc>
        <w:tc>
          <w:tcPr>
            <w:tcW w:w="1661" w:type="dxa"/>
            <w:tcBorders>
              <w:top w:val="single" w:sz="12" w:space="0" w:color="auto"/>
              <w:left w:val="single" w:sz="12" w:space="0" w:color="auto"/>
              <w:bottom w:val="single" w:sz="12" w:space="0" w:color="auto"/>
              <w:right w:val="single" w:sz="12" w:space="0" w:color="auto"/>
            </w:tcBorders>
            <w:shd w:val="clear" w:color="auto" w:fill="auto"/>
            <w:vAlign w:val="center"/>
          </w:tcPr>
          <w:p w14:paraId="128DF620" w14:textId="77777777" w:rsidR="000E679B" w:rsidRPr="0004492D" w:rsidRDefault="000E679B" w:rsidP="0004492D">
            <w:pPr>
              <w:spacing w:line="240" w:lineRule="auto"/>
              <w:jc w:val="center"/>
              <w:rPr>
                <w:rFonts w:cs="Arial"/>
                <w:b/>
                <w:szCs w:val="20"/>
              </w:rPr>
            </w:pPr>
            <w:r w:rsidRPr="0004492D">
              <w:rPr>
                <w:rFonts w:cs="Arial"/>
                <w:b/>
                <w:szCs w:val="20"/>
              </w:rPr>
              <w:t>Steklo</w:t>
            </w:r>
          </w:p>
        </w:tc>
        <w:tc>
          <w:tcPr>
            <w:tcW w:w="1854" w:type="dxa"/>
            <w:tcBorders>
              <w:top w:val="single" w:sz="12" w:space="0" w:color="auto"/>
              <w:left w:val="single" w:sz="12" w:space="0" w:color="auto"/>
              <w:bottom w:val="single" w:sz="12" w:space="0" w:color="auto"/>
              <w:right w:val="single" w:sz="12" w:space="0" w:color="auto"/>
            </w:tcBorders>
            <w:shd w:val="clear" w:color="auto" w:fill="auto"/>
            <w:vAlign w:val="center"/>
          </w:tcPr>
          <w:p w14:paraId="6B27EEA2" w14:textId="77777777" w:rsidR="000E679B" w:rsidRPr="0004492D" w:rsidRDefault="000E679B" w:rsidP="0004492D">
            <w:pPr>
              <w:spacing w:line="240" w:lineRule="auto"/>
              <w:jc w:val="center"/>
              <w:rPr>
                <w:rFonts w:cs="Arial"/>
                <w:b/>
                <w:szCs w:val="20"/>
              </w:rPr>
            </w:pPr>
            <w:r w:rsidRPr="0004492D">
              <w:rPr>
                <w:rFonts w:cs="Arial"/>
                <w:b/>
                <w:szCs w:val="20"/>
              </w:rPr>
              <w:t>PKKD</w:t>
            </w:r>
          </w:p>
        </w:tc>
        <w:tc>
          <w:tcPr>
            <w:tcW w:w="1666" w:type="dxa"/>
            <w:tcBorders>
              <w:top w:val="single" w:sz="12" w:space="0" w:color="auto"/>
              <w:left w:val="single" w:sz="12" w:space="0" w:color="auto"/>
              <w:bottom w:val="single" w:sz="12" w:space="0" w:color="auto"/>
              <w:right w:val="single" w:sz="12" w:space="0" w:color="auto"/>
            </w:tcBorders>
            <w:shd w:val="clear" w:color="auto" w:fill="auto"/>
            <w:vAlign w:val="center"/>
          </w:tcPr>
          <w:p w14:paraId="75FAA1DA" w14:textId="77777777" w:rsidR="000E679B" w:rsidRPr="0004492D" w:rsidRDefault="000E679B" w:rsidP="0004492D">
            <w:pPr>
              <w:spacing w:line="240" w:lineRule="auto"/>
              <w:jc w:val="center"/>
              <w:rPr>
                <w:rFonts w:cs="Arial"/>
                <w:b/>
                <w:szCs w:val="20"/>
              </w:rPr>
            </w:pPr>
            <w:r w:rsidRPr="0004492D">
              <w:rPr>
                <w:rFonts w:cs="Arial"/>
                <w:b/>
                <w:szCs w:val="20"/>
              </w:rPr>
              <w:t>Les</w:t>
            </w:r>
          </w:p>
        </w:tc>
      </w:tr>
      <w:tr w:rsidR="000E679B" w:rsidRPr="0004492D" w14:paraId="06051161" w14:textId="77777777" w:rsidTr="00C902E9">
        <w:tc>
          <w:tcPr>
            <w:tcW w:w="1809" w:type="dxa"/>
            <w:tcBorders>
              <w:top w:val="single" w:sz="12" w:space="0" w:color="auto"/>
              <w:left w:val="single" w:sz="12" w:space="0" w:color="auto"/>
              <w:right w:val="single" w:sz="12" w:space="0" w:color="auto"/>
            </w:tcBorders>
            <w:shd w:val="clear" w:color="auto" w:fill="auto"/>
            <w:vAlign w:val="center"/>
          </w:tcPr>
          <w:p w14:paraId="0AE02CA2" w14:textId="77777777" w:rsidR="000E679B" w:rsidRPr="0004492D" w:rsidRDefault="000E679B" w:rsidP="0004492D">
            <w:pPr>
              <w:spacing w:line="240" w:lineRule="auto"/>
              <w:rPr>
                <w:rFonts w:cs="Arial"/>
                <w:szCs w:val="20"/>
              </w:rPr>
            </w:pPr>
            <w:r w:rsidRPr="0004492D">
              <w:rPr>
                <w:rFonts w:cs="Arial"/>
                <w:szCs w:val="20"/>
              </w:rPr>
              <w:t>DINOS</w:t>
            </w:r>
          </w:p>
        </w:tc>
        <w:tc>
          <w:tcPr>
            <w:tcW w:w="1661" w:type="dxa"/>
            <w:tcBorders>
              <w:top w:val="single" w:sz="12" w:space="0" w:color="auto"/>
              <w:left w:val="single" w:sz="12" w:space="0" w:color="auto"/>
              <w:right w:val="single" w:sz="12" w:space="0" w:color="auto"/>
            </w:tcBorders>
            <w:shd w:val="clear" w:color="auto" w:fill="auto"/>
            <w:vAlign w:val="bottom"/>
          </w:tcPr>
          <w:p w14:paraId="551D0324" w14:textId="77777777" w:rsidR="000E679B" w:rsidRPr="0004492D" w:rsidRDefault="000E679B" w:rsidP="0004492D">
            <w:pPr>
              <w:spacing w:line="240" w:lineRule="auto"/>
              <w:jc w:val="right"/>
              <w:rPr>
                <w:rFonts w:cs="Arial"/>
                <w:szCs w:val="20"/>
              </w:rPr>
            </w:pPr>
            <w:r w:rsidRPr="0004492D">
              <w:rPr>
                <w:rFonts w:cs="Arial"/>
                <w:color w:val="000000"/>
                <w:szCs w:val="20"/>
              </w:rPr>
              <w:t>21,20 %</w:t>
            </w:r>
          </w:p>
        </w:tc>
        <w:tc>
          <w:tcPr>
            <w:tcW w:w="1661" w:type="dxa"/>
            <w:tcBorders>
              <w:top w:val="single" w:sz="12" w:space="0" w:color="auto"/>
              <w:left w:val="single" w:sz="12" w:space="0" w:color="auto"/>
              <w:right w:val="single" w:sz="12" w:space="0" w:color="auto"/>
            </w:tcBorders>
            <w:shd w:val="clear" w:color="auto" w:fill="auto"/>
            <w:vAlign w:val="bottom"/>
          </w:tcPr>
          <w:p w14:paraId="550E5012" w14:textId="77777777" w:rsidR="000E679B" w:rsidRPr="0004492D" w:rsidRDefault="000E679B" w:rsidP="0004492D">
            <w:pPr>
              <w:spacing w:line="240" w:lineRule="auto"/>
              <w:jc w:val="right"/>
              <w:rPr>
                <w:rFonts w:cs="Arial"/>
                <w:szCs w:val="20"/>
              </w:rPr>
            </w:pPr>
            <w:r w:rsidRPr="0004492D">
              <w:rPr>
                <w:rFonts w:cs="Arial"/>
                <w:color w:val="000000"/>
                <w:szCs w:val="20"/>
              </w:rPr>
              <w:t>22,40 %</w:t>
            </w:r>
          </w:p>
        </w:tc>
        <w:tc>
          <w:tcPr>
            <w:tcW w:w="1854" w:type="dxa"/>
            <w:tcBorders>
              <w:top w:val="single" w:sz="12" w:space="0" w:color="auto"/>
              <w:left w:val="single" w:sz="12" w:space="0" w:color="auto"/>
              <w:right w:val="single" w:sz="12" w:space="0" w:color="auto"/>
            </w:tcBorders>
            <w:shd w:val="clear" w:color="auto" w:fill="auto"/>
            <w:vAlign w:val="bottom"/>
          </w:tcPr>
          <w:p w14:paraId="2122B422" w14:textId="77777777" w:rsidR="000E679B" w:rsidRPr="0004492D" w:rsidRDefault="000E679B" w:rsidP="0004492D">
            <w:pPr>
              <w:spacing w:line="240" w:lineRule="auto"/>
              <w:jc w:val="right"/>
              <w:rPr>
                <w:rFonts w:cs="Arial"/>
                <w:szCs w:val="20"/>
              </w:rPr>
            </w:pPr>
            <w:r w:rsidRPr="0004492D">
              <w:rPr>
                <w:rFonts w:cs="Arial"/>
                <w:color w:val="000000"/>
                <w:szCs w:val="20"/>
              </w:rPr>
              <w:t>33,78 %</w:t>
            </w:r>
          </w:p>
        </w:tc>
        <w:tc>
          <w:tcPr>
            <w:tcW w:w="1666" w:type="dxa"/>
            <w:tcBorders>
              <w:top w:val="single" w:sz="12" w:space="0" w:color="auto"/>
              <w:left w:val="single" w:sz="12" w:space="0" w:color="auto"/>
              <w:right w:val="single" w:sz="12" w:space="0" w:color="auto"/>
            </w:tcBorders>
            <w:shd w:val="clear" w:color="auto" w:fill="auto"/>
            <w:vAlign w:val="bottom"/>
          </w:tcPr>
          <w:p w14:paraId="4B653DEA" w14:textId="77777777" w:rsidR="000E679B" w:rsidRPr="0004492D" w:rsidRDefault="000E679B" w:rsidP="0004492D">
            <w:pPr>
              <w:spacing w:line="240" w:lineRule="auto"/>
              <w:jc w:val="right"/>
              <w:rPr>
                <w:rFonts w:cs="Arial"/>
                <w:szCs w:val="20"/>
              </w:rPr>
            </w:pPr>
            <w:r w:rsidRPr="0004492D">
              <w:rPr>
                <w:rFonts w:cs="Arial"/>
                <w:color w:val="000000"/>
                <w:szCs w:val="20"/>
              </w:rPr>
              <w:t>18,73 %</w:t>
            </w:r>
          </w:p>
        </w:tc>
      </w:tr>
      <w:tr w:rsidR="000E679B" w:rsidRPr="0004492D" w14:paraId="4082836A" w14:textId="77777777" w:rsidTr="00C902E9">
        <w:tc>
          <w:tcPr>
            <w:tcW w:w="1809" w:type="dxa"/>
            <w:tcBorders>
              <w:left w:val="single" w:sz="12" w:space="0" w:color="auto"/>
              <w:right w:val="single" w:sz="12" w:space="0" w:color="auto"/>
            </w:tcBorders>
            <w:shd w:val="clear" w:color="auto" w:fill="auto"/>
            <w:vAlign w:val="center"/>
          </w:tcPr>
          <w:p w14:paraId="0B7861C6" w14:textId="77777777" w:rsidR="000E679B" w:rsidRPr="0004492D" w:rsidRDefault="000E679B" w:rsidP="0004492D">
            <w:pPr>
              <w:spacing w:line="240" w:lineRule="auto"/>
              <w:rPr>
                <w:rFonts w:cs="Arial"/>
                <w:szCs w:val="20"/>
              </w:rPr>
            </w:pPr>
            <w:r w:rsidRPr="0004492D">
              <w:rPr>
                <w:rFonts w:cs="Arial"/>
                <w:szCs w:val="20"/>
              </w:rPr>
              <w:t>EMBAKOM</w:t>
            </w:r>
          </w:p>
        </w:tc>
        <w:tc>
          <w:tcPr>
            <w:tcW w:w="1661" w:type="dxa"/>
            <w:tcBorders>
              <w:left w:val="single" w:sz="12" w:space="0" w:color="auto"/>
              <w:right w:val="single" w:sz="12" w:space="0" w:color="auto"/>
            </w:tcBorders>
            <w:shd w:val="clear" w:color="auto" w:fill="auto"/>
            <w:vAlign w:val="bottom"/>
          </w:tcPr>
          <w:p w14:paraId="244BB0DD" w14:textId="77777777" w:rsidR="000E679B" w:rsidRPr="0004492D" w:rsidRDefault="000E679B" w:rsidP="0004492D">
            <w:pPr>
              <w:spacing w:line="240" w:lineRule="auto"/>
              <w:jc w:val="right"/>
              <w:rPr>
                <w:rFonts w:cs="Arial"/>
                <w:szCs w:val="20"/>
              </w:rPr>
            </w:pPr>
            <w:r w:rsidRPr="0004492D">
              <w:rPr>
                <w:rFonts w:cs="Arial"/>
                <w:szCs w:val="20"/>
              </w:rPr>
              <w:t>7,63 %</w:t>
            </w:r>
          </w:p>
        </w:tc>
        <w:tc>
          <w:tcPr>
            <w:tcW w:w="1661" w:type="dxa"/>
            <w:tcBorders>
              <w:left w:val="single" w:sz="12" w:space="0" w:color="auto"/>
              <w:right w:val="single" w:sz="12" w:space="0" w:color="auto"/>
            </w:tcBorders>
            <w:shd w:val="clear" w:color="auto" w:fill="auto"/>
            <w:vAlign w:val="bottom"/>
          </w:tcPr>
          <w:p w14:paraId="06CCD027" w14:textId="77777777" w:rsidR="000E679B" w:rsidRPr="0004492D" w:rsidRDefault="000E679B" w:rsidP="0004492D">
            <w:pPr>
              <w:spacing w:line="240" w:lineRule="auto"/>
              <w:jc w:val="right"/>
              <w:rPr>
                <w:rFonts w:cs="Arial"/>
                <w:szCs w:val="20"/>
              </w:rPr>
            </w:pPr>
            <w:r w:rsidRPr="0004492D">
              <w:rPr>
                <w:rFonts w:cs="Arial"/>
                <w:szCs w:val="20"/>
              </w:rPr>
              <w:t>8,56 %</w:t>
            </w:r>
          </w:p>
        </w:tc>
        <w:tc>
          <w:tcPr>
            <w:tcW w:w="1854" w:type="dxa"/>
            <w:tcBorders>
              <w:left w:val="single" w:sz="12" w:space="0" w:color="auto"/>
              <w:right w:val="single" w:sz="12" w:space="0" w:color="auto"/>
            </w:tcBorders>
            <w:shd w:val="clear" w:color="auto" w:fill="auto"/>
            <w:vAlign w:val="bottom"/>
          </w:tcPr>
          <w:p w14:paraId="7A5A0EAE" w14:textId="77777777" w:rsidR="000E679B" w:rsidRPr="0004492D" w:rsidRDefault="000E679B" w:rsidP="0004492D">
            <w:pPr>
              <w:spacing w:line="240" w:lineRule="auto"/>
              <w:jc w:val="right"/>
              <w:rPr>
                <w:rFonts w:cs="Arial"/>
                <w:szCs w:val="20"/>
              </w:rPr>
            </w:pPr>
            <w:r w:rsidRPr="0004492D">
              <w:rPr>
                <w:rFonts w:cs="Arial"/>
                <w:szCs w:val="20"/>
              </w:rPr>
              <w:t>9,03 %</w:t>
            </w:r>
          </w:p>
        </w:tc>
        <w:tc>
          <w:tcPr>
            <w:tcW w:w="1666" w:type="dxa"/>
            <w:tcBorders>
              <w:left w:val="single" w:sz="12" w:space="0" w:color="auto"/>
              <w:right w:val="single" w:sz="12" w:space="0" w:color="auto"/>
            </w:tcBorders>
            <w:shd w:val="clear" w:color="auto" w:fill="auto"/>
            <w:vAlign w:val="bottom"/>
          </w:tcPr>
          <w:p w14:paraId="6BF210FC" w14:textId="77777777" w:rsidR="000E679B" w:rsidRPr="0004492D" w:rsidRDefault="000E679B" w:rsidP="0004492D">
            <w:pPr>
              <w:spacing w:line="240" w:lineRule="auto"/>
              <w:jc w:val="right"/>
              <w:rPr>
                <w:rFonts w:cs="Arial"/>
                <w:szCs w:val="20"/>
              </w:rPr>
            </w:pPr>
            <w:r w:rsidRPr="0004492D">
              <w:rPr>
                <w:rFonts w:cs="Arial"/>
                <w:szCs w:val="20"/>
              </w:rPr>
              <w:t>8,14 %</w:t>
            </w:r>
          </w:p>
        </w:tc>
      </w:tr>
      <w:tr w:rsidR="000E679B" w:rsidRPr="0004492D" w14:paraId="3A60981E" w14:textId="77777777" w:rsidTr="00C902E9">
        <w:tc>
          <w:tcPr>
            <w:tcW w:w="1809" w:type="dxa"/>
            <w:tcBorders>
              <w:left w:val="single" w:sz="12" w:space="0" w:color="auto"/>
              <w:right w:val="single" w:sz="12" w:space="0" w:color="auto"/>
            </w:tcBorders>
            <w:shd w:val="clear" w:color="auto" w:fill="auto"/>
            <w:vAlign w:val="center"/>
          </w:tcPr>
          <w:p w14:paraId="69F85AB0" w14:textId="77777777" w:rsidR="000E679B" w:rsidRPr="0004492D" w:rsidRDefault="000E679B" w:rsidP="0004492D">
            <w:pPr>
              <w:spacing w:line="240" w:lineRule="auto"/>
              <w:rPr>
                <w:rFonts w:cs="Arial"/>
                <w:szCs w:val="20"/>
              </w:rPr>
            </w:pPr>
            <w:r w:rsidRPr="0004492D">
              <w:rPr>
                <w:rFonts w:cs="Arial"/>
                <w:szCs w:val="20"/>
              </w:rPr>
              <w:t>SUROVINA</w:t>
            </w:r>
          </w:p>
        </w:tc>
        <w:tc>
          <w:tcPr>
            <w:tcW w:w="1661" w:type="dxa"/>
            <w:tcBorders>
              <w:left w:val="single" w:sz="12" w:space="0" w:color="auto"/>
              <w:right w:val="single" w:sz="12" w:space="0" w:color="auto"/>
            </w:tcBorders>
            <w:shd w:val="clear" w:color="auto" w:fill="auto"/>
            <w:vAlign w:val="bottom"/>
          </w:tcPr>
          <w:p w14:paraId="77BC0254" w14:textId="77777777" w:rsidR="000E679B" w:rsidRPr="0004492D" w:rsidRDefault="000E679B" w:rsidP="0004492D">
            <w:pPr>
              <w:spacing w:line="240" w:lineRule="auto"/>
              <w:jc w:val="right"/>
              <w:rPr>
                <w:rFonts w:cs="Arial"/>
                <w:szCs w:val="20"/>
              </w:rPr>
            </w:pPr>
            <w:r w:rsidRPr="0004492D">
              <w:rPr>
                <w:rFonts w:cs="Arial"/>
                <w:szCs w:val="20"/>
              </w:rPr>
              <w:t>21,03 %</w:t>
            </w:r>
          </w:p>
        </w:tc>
        <w:tc>
          <w:tcPr>
            <w:tcW w:w="1661" w:type="dxa"/>
            <w:tcBorders>
              <w:left w:val="single" w:sz="12" w:space="0" w:color="auto"/>
              <w:right w:val="single" w:sz="12" w:space="0" w:color="auto"/>
            </w:tcBorders>
            <w:shd w:val="clear" w:color="auto" w:fill="auto"/>
            <w:vAlign w:val="bottom"/>
          </w:tcPr>
          <w:p w14:paraId="02B23C0B" w14:textId="77777777" w:rsidR="000E679B" w:rsidRPr="0004492D" w:rsidRDefault="000E679B" w:rsidP="0004492D">
            <w:pPr>
              <w:spacing w:line="240" w:lineRule="auto"/>
              <w:jc w:val="right"/>
              <w:rPr>
                <w:rFonts w:cs="Arial"/>
                <w:szCs w:val="20"/>
              </w:rPr>
            </w:pPr>
            <w:r w:rsidRPr="0004492D">
              <w:rPr>
                <w:rFonts w:cs="Arial"/>
                <w:szCs w:val="20"/>
              </w:rPr>
              <w:t>13,78 %</w:t>
            </w:r>
          </w:p>
        </w:tc>
        <w:tc>
          <w:tcPr>
            <w:tcW w:w="1854" w:type="dxa"/>
            <w:tcBorders>
              <w:left w:val="single" w:sz="12" w:space="0" w:color="auto"/>
              <w:right w:val="single" w:sz="12" w:space="0" w:color="auto"/>
            </w:tcBorders>
            <w:shd w:val="clear" w:color="auto" w:fill="auto"/>
            <w:vAlign w:val="bottom"/>
          </w:tcPr>
          <w:p w14:paraId="0AB6184A" w14:textId="77777777" w:rsidR="000E679B" w:rsidRPr="0004492D" w:rsidRDefault="000E679B" w:rsidP="0004492D">
            <w:pPr>
              <w:spacing w:line="240" w:lineRule="auto"/>
              <w:jc w:val="right"/>
              <w:rPr>
                <w:rFonts w:cs="Arial"/>
                <w:szCs w:val="20"/>
              </w:rPr>
            </w:pPr>
            <w:r w:rsidRPr="0004492D">
              <w:rPr>
                <w:rFonts w:cs="Arial"/>
                <w:szCs w:val="20"/>
              </w:rPr>
              <w:t>25,41 %</w:t>
            </w:r>
          </w:p>
        </w:tc>
        <w:tc>
          <w:tcPr>
            <w:tcW w:w="1666" w:type="dxa"/>
            <w:tcBorders>
              <w:left w:val="single" w:sz="12" w:space="0" w:color="auto"/>
              <w:right w:val="single" w:sz="12" w:space="0" w:color="auto"/>
            </w:tcBorders>
            <w:shd w:val="clear" w:color="auto" w:fill="auto"/>
            <w:vAlign w:val="bottom"/>
          </w:tcPr>
          <w:p w14:paraId="06CE7B65" w14:textId="77777777" w:rsidR="000E679B" w:rsidRPr="0004492D" w:rsidRDefault="000E679B" w:rsidP="0004492D">
            <w:pPr>
              <w:spacing w:line="240" w:lineRule="auto"/>
              <w:jc w:val="right"/>
              <w:rPr>
                <w:rFonts w:cs="Arial"/>
                <w:szCs w:val="20"/>
              </w:rPr>
            </w:pPr>
            <w:r w:rsidRPr="0004492D">
              <w:rPr>
                <w:rFonts w:cs="Arial"/>
                <w:szCs w:val="20"/>
              </w:rPr>
              <w:t>19,44 %</w:t>
            </w:r>
          </w:p>
        </w:tc>
      </w:tr>
      <w:tr w:rsidR="000E679B" w:rsidRPr="0004492D" w14:paraId="73BD636C" w14:textId="77777777" w:rsidTr="00C902E9">
        <w:tc>
          <w:tcPr>
            <w:tcW w:w="1809" w:type="dxa"/>
            <w:tcBorders>
              <w:left w:val="single" w:sz="12" w:space="0" w:color="auto"/>
              <w:right w:val="single" w:sz="12" w:space="0" w:color="auto"/>
            </w:tcBorders>
            <w:shd w:val="clear" w:color="auto" w:fill="auto"/>
            <w:vAlign w:val="center"/>
          </w:tcPr>
          <w:p w14:paraId="26B87797" w14:textId="77777777" w:rsidR="000E679B" w:rsidRPr="0004492D" w:rsidRDefault="000E679B" w:rsidP="0004492D">
            <w:pPr>
              <w:spacing w:line="240" w:lineRule="auto"/>
              <w:rPr>
                <w:rFonts w:cs="Arial"/>
                <w:szCs w:val="20"/>
              </w:rPr>
            </w:pPr>
            <w:r w:rsidRPr="0004492D">
              <w:rPr>
                <w:rFonts w:cs="Arial"/>
                <w:szCs w:val="20"/>
              </w:rPr>
              <w:t>INTERSEROH</w:t>
            </w:r>
          </w:p>
        </w:tc>
        <w:tc>
          <w:tcPr>
            <w:tcW w:w="1661" w:type="dxa"/>
            <w:tcBorders>
              <w:left w:val="single" w:sz="12" w:space="0" w:color="auto"/>
              <w:right w:val="single" w:sz="12" w:space="0" w:color="auto"/>
            </w:tcBorders>
            <w:shd w:val="clear" w:color="auto" w:fill="auto"/>
            <w:vAlign w:val="bottom"/>
          </w:tcPr>
          <w:p w14:paraId="0DD0B3C0" w14:textId="77777777" w:rsidR="000E679B" w:rsidRPr="0004492D" w:rsidRDefault="000E679B" w:rsidP="0004492D">
            <w:pPr>
              <w:spacing w:line="240" w:lineRule="auto"/>
              <w:jc w:val="right"/>
              <w:rPr>
                <w:rFonts w:cs="Arial"/>
                <w:szCs w:val="20"/>
              </w:rPr>
            </w:pPr>
            <w:r w:rsidRPr="0004492D">
              <w:rPr>
                <w:rFonts w:cs="Arial"/>
                <w:szCs w:val="20"/>
              </w:rPr>
              <w:t>10,52 %</w:t>
            </w:r>
          </w:p>
        </w:tc>
        <w:tc>
          <w:tcPr>
            <w:tcW w:w="1661" w:type="dxa"/>
            <w:tcBorders>
              <w:left w:val="single" w:sz="12" w:space="0" w:color="auto"/>
              <w:right w:val="single" w:sz="12" w:space="0" w:color="auto"/>
            </w:tcBorders>
            <w:shd w:val="clear" w:color="auto" w:fill="auto"/>
            <w:vAlign w:val="bottom"/>
          </w:tcPr>
          <w:p w14:paraId="1A8C82B3" w14:textId="77777777" w:rsidR="000E679B" w:rsidRPr="0004492D" w:rsidRDefault="000E679B" w:rsidP="0004492D">
            <w:pPr>
              <w:spacing w:line="240" w:lineRule="auto"/>
              <w:jc w:val="right"/>
              <w:rPr>
                <w:rFonts w:cs="Arial"/>
                <w:szCs w:val="20"/>
              </w:rPr>
            </w:pPr>
            <w:r w:rsidRPr="0004492D">
              <w:rPr>
                <w:rFonts w:cs="Arial"/>
                <w:szCs w:val="20"/>
              </w:rPr>
              <w:t>4,97 %</w:t>
            </w:r>
          </w:p>
        </w:tc>
        <w:tc>
          <w:tcPr>
            <w:tcW w:w="1854" w:type="dxa"/>
            <w:tcBorders>
              <w:left w:val="single" w:sz="12" w:space="0" w:color="auto"/>
              <w:right w:val="single" w:sz="12" w:space="0" w:color="auto"/>
            </w:tcBorders>
            <w:shd w:val="clear" w:color="auto" w:fill="auto"/>
            <w:vAlign w:val="bottom"/>
          </w:tcPr>
          <w:p w14:paraId="1B7EDE7A" w14:textId="77777777" w:rsidR="000E679B" w:rsidRPr="0004492D" w:rsidRDefault="000E679B" w:rsidP="0004492D">
            <w:pPr>
              <w:spacing w:line="240" w:lineRule="auto"/>
              <w:jc w:val="right"/>
              <w:rPr>
                <w:rFonts w:cs="Arial"/>
                <w:szCs w:val="20"/>
              </w:rPr>
            </w:pPr>
            <w:r w:rsidRPr="0004492D">
              <w:rPr>
                <w:rFonts w:cs="Arial"/>
                <w:szCs w:val="20"/>
              </w:rPr>
              <w:t>8,46 %</w:t>
            </w:r>
          </w:p>
        </w:tc>
        <w:tc>
          <w:tcPr>
            <w:tcW w:w="1666" w:type="dxa"/>
            <w:tcBorders>
              <w:left w:val="single" w:sz="12" w:space="0" w:color="auto"/>
              <w:right w:val="single" w:sz="12" w:space="0" w:color="auto"/>
            </w:tcBorders>
            <w:shd w:val="clear" w:color="auto" w:fill="auto"/>
            <w:vAlign w:val="bottom"/>
          </w:tcPr>
          <w:p w14:paraId="6D29B2CD" w14:textId="77777777" w:rsidR="000E679B" w:rsidRPr="0004492D" w:rsidRDefault="000E679B" w:rsidP="0004492D">
            <w:pPr>
              <w:spacing w:line="240" w:lineRule="auto"/>
              <w:jc w:val="right"/>
              <w:rPr>
                <w:rFonts w:cs="Arial"/>
                <w:szCs w:val="20"/>
              </w:rPr>
            </w:pPr>
            <w:r w:rsidRPr="0004492D">
              <w:rPr>
                <w:rFonts w:cs="Arial"/>
                <w:szCs w:val="20"/>
              </w:rPr>
              <w:t>6,78 %</w:t>
            </w:r>
          </w:p>
        </w:tc>
      </w:tr>
      <w:tr w:rsidR="000E679B" w:rsidRPr="0004492D" w14:paraId="1735D6F7" w14:textId="77777777" w:rsidTr="00C902E9">
        <w:tc>
          <w:tcPr>
            <w:tcW w:w="1809" w:type="dxa"/>
            <w:tcBorders>
              <w:left w:val="single" w:sz="12" w:space="0" w:color="auto"/>
              <w:right w:val="single" w:sz="12" w:space="0" w:color="auto"/>
            </w:tcBorders>
            <w:shd w:val="clear" w:color="auto" w:fill="auto"/>
            <w:vAlign w:val="center"/>
          </w:tcPr>
          <w:p w14:paraId="439C174D" w14:textId="77777777" w:rsidR="000E679B" w:rsidRPr="0004492D" w:rsidRDefault="000E679B" w:rsidP="0004492D">
            <w:pPr>
              <w:spacing w:line="240" w:lineRule="auto"/>
              <w:rPr>
                <w:rFonts w:cs="Arial"/>
                <w:szCs w:val="20"/>
              </w:rPr>
            </w:pPr>
            <w:r w:rsidRPr="0004492D">
              <w:rPr>
                <w:rFonts w:cs="Arial"/>
                <w:szCs w:val="20"/>
              </w:rPr>
              <w:t>RECIKEL</w:t>
            </w:r>
          </w:p>
        </w:tc>
        <w:tc>
          <w:tcPr>
            <w:tcW w:w="1661" w:type="dxa"/>
            <w:tcBorders>
              <w:left w:val="single" w:sz="12" w:space="0" w:color="auto"/>
              <w:right w:val="single" w:sz="12" w:space="0" w:color="auto"/>
            </w:tcBorders>
            <w:shd w:val="clear" w:color="auto" w:fill="auto"/>
            <w:vAlign w:val="bottom"/>
          </w:tcPr>
          <w:p w14:paraId="5636C28F" w14:textId="77777777" w:rsidR="000E679B" w:rsidRPr="0004492D" w:rsidRDefault="000E679B" w:rsidP="0004492D">
            <w:pPr>
              <w:spacing w:line="240" w:lineRule="auto"/>
              <w:jc w:val="right"/>
              <w:rPr>
                <w:rFonts w:cs="Arial"/>
                <w:szCs w:val="20"/>
              </w:rPr>
            </w:pPr>
            <w:r w:rsidRPr="0004492D">
              <w:rPr>
                <w:rFonts w:cs="Arial"/>
                <w:szCs w:val="20"/>
              </w:rPr>
              <w:t>30,92 %</w:t>
            </w:r>
          </w:p>
        </w:tc>
        <w:tc>
          <w:tcPr>
            <w:tcW w:w="1661" w:type="dxa"/>
            <w:tcBorders>
              <w:left w:val="single" w:sz="12" w:space="0" w:color="auto"/>
              <w:right w:val="single" w:sz="12" w:space="0" w:color="auto"/>
            </w:tcBorders>
            <w:shd w:val="clear" w:color="auto" w:fill="auto"/>
            <w:vAlign w:val="bottom"/>
          </w:tcPr>
          <w:p w14:paraId="0DD2BCC5" w14:textId="77777777" w:rsidR="000E679B" w:rsidRPr="0004492D" w:rsidRDefault="000E679B" w:rsidP="0004492D">
            <w:pPr>
              <w:spacing w:line="240" w:lineRule="auto"/>
              <w:jc w:val="right"/>
              <w:rPr>
                <w:rFonts w:cs="Arial"/>
                <w:szCs w:val="20"/>
              </w:rPr>
            </w:pPr>
            <w:r w:rsidRPr="0004492D">
              <w:rPr>
                <w:rFonts w:cs="Arial"/>
                <w:szCs w:val="20"/>
              </w:rPr>
              <w:t>39,75 %</w:t>
            </w:r>
          </w:p>
        </w:tc>
        <w:tc>
          <w:tcPr>
            <w:tcW w:w="1854" w:type="dxa"/>
            <w:tcBorders>
              <w:left w:val="single" w:sz="12" w:space="0" w:color="auto"/>
              <w:right w:val="single" w:sz="12" w:space="0" w:color="auto"/>
            </w:tcBorders>
            <w:shd w:val="clear" w:color="auto" w:fill="auto"/>
            <w:vAlign w:val="bottom"/>
          </w:tcPr>
          <w:p w14:paraId="68A09CB8" w14:textId="77777777" w:rsidR="000E679B" w:rsidRPr="0004492D" w:rsidRDefault="000E679B" w:rsidP="0004492D">
            <w:pPr>
              <w:spacing w:line="240" w:lineRule="auto"/>
              <w:jc w:val="right"/>
              <w:rPr>
                <w:rFonts w:cs="Arial"/>
                <w:szCs w:val="20"/>
              </w:rPr>
            </w:pPr>
            <w:r w:rsidRPr="0004492D">
              <w:rPr>
                <w:rFonts w:cs="Arial"/>
                <w:szCs w:val="20"/>
              </w:rPr>
              <w:t>15,48 %</w:t>
            </w:r>
          </w:p>
        </w:tc>
        <w:tc>
          <w:tcPr>
            <w:tcW w:w="1666" w:type="dxa"/>
            <w:tcBorders>
              <w:left w:val="single" w:sz="12" w:space="0" w:color="auto"/>
              <w:right w:val="single" w:sz="12" w:space="0" w:color="auto"/>
            </w:tcBorders>
            <w:shd w:val="clear" w:color="auto" w:fill="auto"/>
            <w:vAlign w:val="bottom"/>
          </w:tcPr>
          <w:p w14:paraId="74A91FCC" w14:textId="77777777" w:rsidR="000E679B" w:rsidRPr="0004492D" w:rsidRDefault="000E679B" w:rsidP="0004492D">
            <w:pPr>
              <w:spacing w:line="240" w:lineRule="auto"/>
              <w:jc w:val="right"/>
              <w:rPr>
                <w:rFonts w:cs="Arial"/>
                <w:szCs w:val="20"/>
              </w:rPr>
            </w:pPr>
            <w:r w:rsidRPr="0004492D">
              <w:rPr>
                <w:rFonts w:cs="Arial"/>
                <w:szCs w:val="20"/>
              </w:rPr>
              <w:t>30,99 %</w:t>
            </w:r>
          </w:p>
        </w:tc>
      </w:tr>
      <w:tr w:rsidR="000E679B" w:rsidRPr="0004492D" w14:paraId="0A6B0D42" w14:textId="77777777" w:rsidTr="00C902E9">
        <w:tc>
          <w:tcPr>
            <w:tcW w:w="1809" w:type="dxa"/>
            <w:tcBorders>
              <w:left w:val="single" w:sz="12" w:space="0" w:color="auto"/>
              <w:bottom w:val="single" w:sz="12" w:space="0" w:color="auto"/>
              <w:right w:val="single" w:sz="12" w:space="0" w:color="auto"/>
            </w:tcBorders>
            <w:shd w:val="clear" w:color="auto" w:fill="auto"/>
            <w:vAlign w:val="center"/>
          </w:tcPr>
          <w:p w14:paraId="07846CF8" w14:textId="77777777" w:rsidR="000E679B" w:rsidRPr="0004492D" w:rsidRDefault="000E679B" w:rsidP="0004492D">
            <w:pPr>
              <w:spacing w:line="240" w:lineRule="auto"/>
              <w:rPr>
                <w:rFonts w:cs="Arial"/>
                <w:szCs w:val="20"/>
              </w:rPr>
            </w:pPr>
            <w:r w:rsidRPr="0004492D">
              <w:rPr>
                <w:rFonts w:cs="Arial"/>
                <w:szCs w:val="20"/>
              </w:rPr>
              <w:t>SLOPAK</w:t>
            </w:r>
          </w:p>
        </w:tc>
        <w:tc>
          <w:tcPr>
            <w:tcW w:w="1661" w:type="dxa"/>
            <w:tcBorders>
              <w:left w:val="single" w:sz="12" w:space="0" w:color="auto"/>
              <w:bottom w:val="single" w:sz="12" w:space="0" w:color="auto"/>
              <w:right w:val="single" w:sz="12" w:space="0" w:color="auto"/>
            </w:tcBorders>
            <w:shd w:val="clear" w:color="auto" w:fill="auto"/>
            <w:vAlign w:val="bottom"/>
          </w:tcPr>
          <w:p w14:paraId="7E551226" w14:textId="77777777" w:rsidR="000E679B" w:rsidRPr="0004492D" w:rsidRDefault="000E679B" w:rsidP="0004492D">
            <w:pPr>
              <w:spacing w:line="240" w:lineRule="auto"/>
              <w:jc w:val="right"/>
              <w:rPr>
                <w:rFonts w:cs="Arial"/>
                <w:szCs w:val="20"/>
              </w:rPr>
            </w:pPr>
            <w:r w:rsidRPr="0004492D">
              <w:rPr>
                <w:rFonts w:cs="Arial"/>
                <w:color w:val="000000"/>
                <w:szCs w:val="20"/>
              </w:rPr>
              <w:t>8,70 %</w:t>
            </w:r>
          </w:p>
        </w:tc>
        <w:tc>
          <w:tcPr>
            <w:tcW w:w="1661" w:type="dxa"/>
            <w:tcBorders>
              <w:left w:val="single" w:sz="12" w:space="0" w:color="auto"/>
              <w:bottom w:val="single" w:sz="12" w:space="0" w:color="auto"/>
              <w:right w:val="single" w:sz="12" w:space="0" w:color="auto"/>
            </w:tcBorders>
            <w:shd w:val="clear" w:color="auto" w:fill="auto"/>
            <w:vAlign w:val="bottom"/>
          </w:tcPr>
          <w:p w14:paraId="20A63484" w14:textId="77777777" w:rsidR="000E679B" w:rsidRPr="0004492D" w:rsidRDefault="000E679B" w:rsidP="0004492D">
            <w:pPr>
              <w:spacing w:line="240" w:lineRule="auto"/>
              <w:jc w:val="right"/>
              <w:rPr>
                <w:rFonts w:cs="Arial"/>
                <w:szCs w:val="20"/>
              </w:rPr>
            </w:pPr>
            <w:r w:rsidRPr="0004492D">
              <w:rPr>
                <w:rFonts w:cs="Arial"/>
                <w:color w:val="000000"/>
                <w:szCs w:val="20"/>
              </w:rPr>
              <w:t>10,54 %</w:t>
            </w:r>
          </w:p>
        </w:tc>
        <w:tc>
          <w:tcPr>
            <w:tcW w:w="1854" w:type="dxa"/>
            <w:tcBorders>
              <w:left w:val="single" w:sz="12" w:space="0" w:color="auto"/>
              <w:bottom w:val="single" w:sz="12" w:space="0" w:color="auto"/>
              <w:right w:val="single" w:sz="12" w:space="0" w:color="auto"/>
            </w:tcBorders>
            <w:shd w:val="clear" w:color="auto" w:fill="auto"/>
            <w:vAlign w:val="bottom"/>
          </w:tcPr>
          <w:p w14:paraId="23397768" w14:textId="77777777" w:rsidR="000E679B" w:rsidRPr="0004492D" w:rsidRDefault="000E679B" w:rsidP="0004492D">
            <w:pPr>
              <w:spacing w:line="240" w:lineRule="auto"/>
              <w:jc w:val="right"/>
              <w:rPr>
                <w:rFonts w:cs="Arial"/>
                <w:szCs w:val="20"/>
              </w:rPr>
            </w:pPr>
            <w:r w:rsidRPr="0004492D">
              <w:rPr>
                <w:rFonts w:cs="Arial"/>
                <w:color w:val="000000"/>
                <w:szCs w:val="20"/>
              </w:rPr>
              <w:t>7,85 %</w:t>
            </w:r>
          </w:p>
        </w:tc>
        <w:tc>
          <w:tcPr>
            <w:tcW w:w="1666" w:type="dxa"/>
            <w:tcBorders>
              <w:left w:val="single" w:sz="12" w:space="0" w:color="auto"/>
              <w:bottom w:val="single" w:sz="12" w:space="0" w:color="auto"/>
              <w:right w:val="single" w:sz="12" w:space="0" w:color="auto"/>
            </w:tcBorders>
            <w:shd w:val="clear" w:color="auto" w:fill="auto"/>
            <w:vAlign w:val="bottom"/>
          </w:tcPr>
          <w:p w14:paraId="6EA6A73F" w14:textId="77777777" w:rsidR="000E679B" w:rsidRPr="0004492D" w:rsidRDefault="000E679B" w:rsidP="0004492D">
            <w:pPr>
              <w:spacing w:line="240" w:lineRule="auto"/>
              <w:jc w:val="right"/>
              <w:rPr>
                <w:rFonts w:cs="Arial"/>
                <w:szCs w:val="20"/>
              </w:rPr>
            </w:pPr>
            <w:r w:rsidRPr="0004492D">
              <w:rPr>
                <w:rFonts w:cs="Arial"/>
                <w:color w:val="000000"/>
                <w:szCs w:val="20"/>
              </w:rPr>
              <w:t>15,92 %</w:t>
            </w:r>
          </w:p>
        </w:tc>
      </w:tr>
      <w:tr w:rsidR="000E679B" w:rsidRPr="0004492D" w14:paraId="39681AD1" w14:textId="77777777" w:rsidTr="00C902E9">
        <w:tc>
          <w:tcPr>
            <w:tcW w:w="1809" w:type="dxa"/>
            <w:tcBorders>
              <w:top w:val="single" w:sz="12" w:space="0" w:color="auto"/>
              <w:left w:val="single" w:sz="12" w:space="0" w:color="auto"/>
              <w:bottom w:val="single" w:sz="12" w:space="0" w:color="auto"/>
              <w:right w:val="single" w:sz="12" w:space="0" w:color="auto"/>
            </w:tcBorders>
            <w:shd w:val="clear" w:color="auto" w:fill="auto"/>
            <w:vAlign w:val="center"/>
          </w:tcPr>
          <w:p w14:paraId="47E849B5" w14:textId="77777777" w:rsidR="000E679B" w:rsidRPr="0004492D" w:rsidRDefault="000E679B" w:rsidP="0004492D">
            <w:pPr>
              <w:spacing w:line="240" w:lineRule="auto"/>
              <w:rPr>
                <w:rFonts w:cs="Arial"/>
                <w:szCs w:val="20"/>
              </w:rPr>
            </w:pPr>
            <w:r w:rsidRPr="0004492D">
              <w:rPr>
                <w:rFonts w:cs="Arial"/>
                <w:szCs w:val="20"/>
              </w:rPr>
              <w:t>Skupaj</w:t>
            </w:r>
          </w:p>
        </w:tc>
        <w:tc>
          <w:tcPr>
            <w:tcW w:w="1661" w:type="dxa"/>
            <w:tcBorders>
              <w:top w:val="single" w:sz="12" w:space="0" w:color="auto"/>
              <w:left w:val="single" w:sz="12" w:space="0" w:color="auto"/>
              <w:bottom w:val="single" w:sz="12" w:space="0" w:color="auto"/>
              <w:right w:val="single" w:sz="12" w:space="0" w:color="auto"/>
            </w:tcBorders>
            <w:shd w:val="clear" w:color="auto" w:fill="auto"/>
            <w:vAlign w:val="center"/>
          </w:tcPr>
          <w:p w14:paraId="35608F74" w14:textId="77777777" w:rsidR="000E679B" w:rsidRPr="0004492D" w:rsidRDefault="000E679B" w:rsidP="0004492D">
            <w:pPr>
              <w:spacing w:line="240" w:lineRule="auto"/>
              <w:jc w:val="right"/>
              <w:rPr>
                <w:rFonts w:cs="Arial"/>
                <w:szCs w:val="20"/>
              </w:rPr>
            </w:pPr>
            <w:r w:rsidRPr="0004492D">
              <w:rPr>
                <w:rFonts w:cs="Arial"/>
                <w:szCs w:val="20"/>
              </w:rPr>
              <w:t>100,00 %</w:t>
            </w:r>
          </w:p>
        </w:tc>
        <w:tc>
          <w:tcPr>
            <w:tcW w:w="1661" w:type="dxa"/>
            <w:tcBorders>
              <w:top w:val="single" w:sz="12" w:space="0" w:color="auto"/>
              <w:left w:val="single" w:sz="12" w:space="0" w:color="auto"/>
              <w:bottom w:val="single" w:sz="12" w:space="0" w:color="auto"/>
              <w:right w:val="single" w:sz="12" w:space="0" w:color="auto"/>
            </w:tcBorders>
            <w:shd w:val="clear" w:color="auto" w:fill="auto"/>
            <w:vAlign w:val="center"/>
          </w:tcPr>
          <w:p w14:paraId="546C21CB" w14:textId="77777777" w:rsidR="000E679B" w:rsidRPr="0004492D" w:rsidRDefault="000E679B" w:rsidP="0004492D">
            <w:pPr>
              <w:spacing w:line="240" w:lineRule="auto"/>
              <w:jc w:val="right"/>
              <w:rPr>
                <w:rFonts w:cs="Arial"/>
                <w:szCs w:val="20"/>
              </w:rPr>
            </w:pPr>
            <w:r w:rsidRPr="0004492D">
              <w:rPr>
                <w:rFonts w:cs="Arial"/>
                <w:szCs w:val="20"/>
              </w:rPr>
              <w:t>100,00 %</w:t>
            </w:r>
          </w:p>
        </w:tc>
        <w:tc>
          <w:tcPr>
            <w:tcW w:w="1854" w:type="dxa"/>
            <w:tcBorders>
              <w:top w:val="single" w:sz="12" w:space="0" w:color="auto"/>
              <w:left w:val="single" w:sz="12" w:space="0" w:color="auto"/>
              <w:bottom w:val="single" w:sz="12" w:space="0" w:color="auto"/>
              <w:right w:val="single" w:sz="12" w:space="0" w:color="auto"/>
            </w:tcBorders>
            <w:shd w:val="clear" w:color="auto" w:fill="auto"/>
            <w:vAlign w:val="center"/>
          </w:tcPr>
          <w:p w14:paraId="53593B9E" w14:textId="77777777" w:rsidR="000E679B" w:rsidRPr="0004492D" w:rsidRDefault="000E679B" w:rsidP="0004492D">
            <w:pPr>
              <w:spacing w:line="240" w:lineRule="auto"/>
              <w:jc w:val="right"/>
              <w:rPr>
                <w:rFonts w:cs="Arial"/>
                <w:szCs w:val="20"/>
              </w:rPr>
            </w:pPr>
            <w:r w:rsidRPr="0004492D">
              <w:rPr>
                <w:rFonts w:cs="Arial"/>
                <w:szCs w:val="20"/>
              </w:rPr>
              <w:t>100,00 %</w:t>
            </w:r>
          </w:p>
        </w:tc>
        <w:tc>
          <w:tcPr>
            <w:tcW w:w="1666" w:type="dxa"/>
            <w:tcBorders>
              <w:top w:val="single" w:sz="12" w:space="0" w:color="auto"/>
              <w:left w:val="single" w:sz="12" w:space="0" w:color="auto"/>
              <w:bottom w:val="single" w:sz="12" w:space="0" w:color="auto"/>
              <w:right w:val="single" w:sz="12" w:space="0" w:color="auto"/>
            </w:tcBorders>
            <w:shd w:val="clear" w:color="auto" w:fill="auto"/>
            <w:vAlign w:val="center"/>
          </w:tcPr>
          <w:p w14:paraId="2150F232" w14:textId="77777777" w:rsidR="000E679B" w:rsidRPr="0004492D" w:rsidRDefault="000E679B" w:rsidP="0004492D">
            <w:pPr>
              <w:spacing w:line="240" w:lineRule="auto"/>
              <w:jc w:val="right"/>
              <w:rPr>
                <w:rFonts w:cs="Arial"/>
                <w:szCs w:val="20"/>
              </w:rPr>
            </w:pPr>
            <w:r w:rsidRPr="0004492D">
              <w:rPr>
                <w:rFonts w:cs="Arial"/>
                <w:szCs w:val="20"/>
              </w:rPr>
              <w:t>100,00 %</w:t>
            </w:r>
          </w:p>
        </w:tc>
      </w:tr>
    </w:tbl>
    <w:p w14:paraId="69D995AC" w14:textId="77777777" w:rsidR="000E679B" w:rsidRPr="0004492D" w:rsidRDefault="000E679B" w:rsidP="0004492D">
      <w:pPr>
        <w:spacing w:line="240" w:lineRule="auto"/>
        <w:rPr>
          <w:rFonts w:cs="Arial"/>
          <w:b/>
          <w:strike/>
          <w:szCs w:val="20"/>
        </w:rPr>
      </w:pPr>
    </w:p>
    <w:p w14:paraId="27666CEA" w14:textId="30D2F19C" w:rsidR="00246179" w:rsidRPr="0004492D" w:rsidRDefault="000E679B"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okolje in prostor</w:t>
      </w:r>
    </w:p>
    <w:p w14:paraId="1F6D11DF"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5120624A" w14:textId="6D055784" w:rsidR="00E70D92" w:rsidRPr="0004492D" w:rsidRDefault="00E70D92"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Sklep o višini penalov za vsako začeto tono ekvivalenta ogljikovega dioksida za leto 2021</w:t>
      </w:r>
    </w:p>
    <w:p w14:paraId="62678254" w14:textId="77777777" w:rsidR="00E70D92" w:rsidRPr="0004492D" w:rsidRDefault="00E70D92" w:rsidP="0004492D">
      <w:pPr>
        <w:autoSpaceDE w:val="0"/>
        <w:autoSpaceDN w:val="0"/>
        <w:adjustRightInd w:val="0"/>
        <w:spacing w:line="240" w:lineRule="auto"/>
        <w:jc w:val="both"/>
        <w:rPr>
          <w:rFonts w:cs="Arial"/>
          <w:b/>
          <w:bCs/>
          <w:color w:val="000000"/>
          <w:szCs w:val="20"/>
        </w:rPr>
      </w:pPr>
    </w:p>
    <w:p w14:paraId="37FFBB5D" w14:textId="77777777" w:rsidR="00E70D92" w:rsidRPr="0004492D" w:rsidRDefault="00E70D92" w:rsidP="0004492D">
      <w:pPr>
        <w:autoSpaceDE w:val="0"/>
        <w:autoSpaceDN w:val="0"/>
        <w:adjustRightInd w:val="0"/>
        <w:spacing w:line="240" w:lineRule="auto"/>
        <w:jc w:val="both"/>
        <w:rPr>
          <w:rFonts w:cs="Arial"/>
          <w:color w:val="000000"/>
          <w:szCs w:val="20"/>
        </w:rPr>
      </w:pPr>
      <w:r w:rsidRPr="0004492D">
        <w:rPr>
          <w:rFonts w:cs="Arial"/>
          <w:color w:val="000000"/>
          <w:szCs w:val="20"/>
        </w:rPr>
        <w:t>Vlada je sprejela Sklep o višini penalov za vsako začeto tono ekvivalenta ogljikovega dioksida za leto 2021. Upravljavci naprav ali operatorji zrakoplovov, vključeni v sistem trgovanja z emisijskimi kuponi, morajo v register Evropske unije do 30. aprila tekočega leta predati emisijske kupone v količini, ki ustreza količini emisije toplogrednih plinov, ki sta jo naprava ali zrakoplov izpustila v ozračje v preteklem letu. Količina emisije toplogrednih plinov je razvidna iz poročila o emisijah toplogrednih plinov in poročila o njegovem preverjanju.</w:t>
      </w:r>
    </w:p>
    <w:p w14:paraId="68C3B95F" w14:textId="77777777" w:rsidR="00E70D92" w:rsidRPr="0004492D" w:rsidRDefault="00E70D92" w:rsidP="0004492D">
      <w:pPr>
        <w:autoSpaceDE w:val="0"/>
        <w:autoSpaceDN w:val="0"/>
        <w:adjustRightInd w:val="0"/>
        <w:spacing w:line="240" w:lineRule="auto"/>
        <w:jc w:val="both"/>
        <w:rPr>
          <w:rFonts w:cs="Arial"/>
          <w:color w:val="000000"/>
          <w:szCs w:val="20"/>
        </w:rPr>
      </w:pPr>
    </w:p>
    <w:p w14:paraId="37AB6281" w14:textId="77777777" w:rsidR="00E70D92" w:rsidRPr="0004492D" w:rsidRDefault="00E70D92"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Če upravljavec naprave ali operator zrakoplova do 30. aprila tekočega leta ne izpolni svoje obveznosti, mora plačati penale za vsako začeto tono ekvivalenta ogljikovega dioksida, ki jo je naprava izpustila v ozračje in je presegla količino emisijskih kuponov, predanih v register EU. Višina penalov je za leto 2021 110,45 evra. V skladu z Zakonom o varstvu okolja se višina penalov od 1. januarja 2013 vsako leto poveča za evropski indeks cen življenjskih potrebščin. </w:t>
      </w:r>
    </w:p>
    <w:p w14:paraId="44EEC568" w14:textId="77777777" w:rsidR="00E70D92" w:rsidRPr="0004492D" w:rsidRDefault="00E70D92"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 </w:t>
      </w:r>
    </w:p>
    <w:p w14:paraId="365348B7" w14:textId="1717F8C1" w:rsidR="00246179" w:rsidRPr="0004492D" w:rsidRDefault="00E70D92"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okolje in prostor</w:t>
      </w:r>
    </w:p>
    <w:p w14:paraId="341970DE" w14:textId="77777777" w:rsidR="00246179" w:rsidRPr="0004492D" w:rsidRDefault="00246179" w:rsidP="0004492D">
      <w:pPr>
        <w:autoSpaceDE w:val="0"/>
        <w:autoSpaceDN w:val="0"/>
        <w:adjustRightInd w:val="0"/>
        <w:spacing w:line="240" w:lineRule="auto"/>
        <w:jc w:val="both"/>
        <w:rPr>
          <w:rFonts w:cs="Arial"/>
          <w:color w:val="000000"/>
          <w:szCs w:val="20"/>
        </w:rPr>
      </w:pPr>
    </w:p>
    <w:p w14:paraId="28DECA3E" w14:textId="2A4021F1" w:rsidR="00B30279" w:rsidRPr="0004492D" w:rsidRDefault="00B30279"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sprejela letni program izobraževanja odraslih za leto 2022</w:t>
      </w:r>
    </w:p>
    <w:p w14:paraId="06018192" w14:textId="77777777" w:rsidR="00B30279" w:rsidRPr="0004492D" w:rsidRDefault="00B30279" w:rsidP="0004492D">
      <w:pPr>
        <w:autoSpaceDE w:val="0"/>
        <w:autoSpaceDN w:val="0"/>
        <w:adjustRightInd w:val="0"/>
        <w:spacing w:line="240" w:lineRule="auto"/>
        <w:jc w:val="both"/>
        <w:rPr>
          <w:rFonts w:cs="Arial"/>
          <w:b/>
          <w:bCs/>
          <w:color w:val="000000"/>
          <w:szCs w:val="20"/>
        </w:rPr>
      </w:pPr>
    </w:p>
    <w:p w14:paraId="02D477BD" w14:textId="77777777" w:rsidR="00B30279" w:rsidRPr="0004492D" w:rsidRDefault="00B30279"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Vlada Republike Slovenije je sprejela Letni program izobraževanja odraslih Republike Slovenije za leto 2022 (LPIO 2022). Ta sledi usmeritvam Resolucije o Nacionalnem programu izobraževanja odraslih v Republiki Sloveniji za obdobje 2013–2020. Z njim se po posameznih ministrstvih, ki so LPIO 2022 pripravila, določajo izobraževalni programi in dejavnosti, ki se bodo </w:t>
      </w:r>
      <w:r w:rsidRPr="0004492D">
        <w:rPr>
          <w:rFonts w:cs="Arial"/>
          <w:color w:val="000000"/>
          <w:szCs w:val="20"/>
        </w:rPr>
        <w:lastRenderedPageBreak/>
        <w:t>izvajale in financirale iz državnega proračuna v prihodnjem letu. Za ta namen se v državnem proračunu zagotovi nekaj več kot 71,2 milijona evrov, poraba pa je odvisna od zmožnosti državnega proračuna.</w:t>
      </w:r>
    </w:p>
    <w:p w14:paraId="2C023BE4" w14:textId="77777777" w:rsidR="00B30279" w:rsidRPr="0004492D" w:rsidRDefault="00B30279" w:rsidP="0004492D">
      <w:pPr>
        <w:autoSpaceDE w:val="0"/>
        <w:autoSpaceDN w:val="0"/>
        <w:adjustRightInd w:val="0"/>
        <w:spacing w:line="240" w:lineRule="auto"/>
        <w:jc w:val="both"/>
        <w:rPr>
          <w:rFonts w:cs="Arial"/>
          <w:color w:val="000000"/>
          <w:szCs w:val="20"/>
        </w:rPr>
      </w:pPr>
    </w:p>
    <w:p w14:paraId="6CC07670" w14:textId="77777777" w:rsidR="00B30279" w:rsidRPr="0004492D" w:rsidRDefault="00B30279"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LPIO 2022 upošteva cilje prej omenjene resolucije. Ti so: dvigniti izobrazbeno raven prebivalstva in raven temeljnih zmožnosti, povečati zaposljivost aktivnega prebivalstva, izboljšati možnosti za učenje in vključevanje v izobraževanje ter izboljšati splošno izobraženost. </w:t>
      </w:r>
    </w:p>
    <w:p w14:paraId="2E8CAB03" w14:textId="77777777" w:rsidR="00B30279" w:rsidRPr="0004492D" w:rsidRDefault="00B30279" w:rsidP="0004492D">
      <w:pPr>
        <w:autoSpaceDE w:val="0"/>
        <w:autoSpaceDN w:val="0"/>
        <w:adjustRightInd w:val="0"/>
        <w:spacing w:line="240" w:lineRule="auto"/>
        <w:jc w:val="both"/>
        <w:rPr>
          <w:rFonts w:cs="Arial"/>
          <w:color w:val="000000"/>
          <w:szCs w:val="20"/>
        </w:rPr>
      </w:pPr>
    </w:p>
    <w:p w14:paraId="65896389" w14:textId="77777777" w:rsidR="00B30279" w:rsidRPr="0004492D" w:rsidRDefault="00B30279"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Med brezposelnimi so prednostna skupina starejši od 50 let, ki nimajo poklicne ali strokovne izobrazbe ali imajo manj ključnih ali poklicnih zmožnosti. Med zaposlenimi pa so prednostna skupina starejši od 45 let z dokončano manj kakor štiriletno srednjo šolo ali slabšimi ključnimi ali poklicnimi zmožnostmi; zaposleni, ki zaradi posebnih psihofizičnih zahtev nekega poklica tega ne morejo več opravljati, ko dosežejo določeno starost; manj izobraženi in druge ranljive skupine, kakor so </w:t>
      </w:r>
      <w:proofErr w:type="spellStart"/>
      <w:r w:rsidRPr="0004492D">
        <w:rPr>
          <w:rFonts w:cs="Arial"/>
          <w:color w:val="000000"/>
          <w:szCs w:val="20"/>
        </w:rPr>
        <w:t>osipniki</w:t>
      </w:r>
      <w:proofErr w:type="spellEnd"/>
      <w:r w:rsidRPr="0004492D">
        <w:rPr>
          <w:rFonts w:cs="Arial"/>
          <w:color w:val="000000"/>
          <w:szCs w:val="20"/>
        </w:rPr>
        <w:t xml:space="preserve"> in mladi, ki zgodaj opustijo šolanje, socialno ogroženi, priseljenci, Romi, starejši odrasli, migranti, invalidi in obsojenci; ter druge skupine odraslih, ki imajo omejene možnosti dostopa do socialnih, kulturnih in ekonomskih dobrin, kakor so na primer kmetje in prebivalstvo iz manj razvitih regij.</w:t>
      </w:r>
    </w:p>
    <w:p w14:paraId="62BC699E" w14:textId="77777777" w:rsidR="00B30279" w:rsidRPr="0004492D" w:rsidRDefault="00B30279" w:rsidP="0004492D">
      <w:pPr>
        <w:autoSpaceDE w:val="0"/>
        <w:autoSpaceDN w:val="0"/>
        <w:adjustRightInd w:val="0"/>
        <w:spacing w:line="240" w:lineRule="auto"/>
        <w:jc w:val="both"/>
        <w:rPr>
          <w:rFonts w:cs="Arial"/>
          <w:color w:val="000000"/>
          <w:szCs w:val="20"/>
        </w:rPr>
      </w:pPr>
    </w:p>
    <w:p w14:paraId="4F0BCD10" w14:textId="712CACFC" w:rsidR="00246179" w:rsidRPr="0004492D" w:rsidRDefault="00B30279"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izobraževanje, znanost in šport</w:t>
      </w:r>
    </w:p>
    <w:p w14:paraId="12C6C58B"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73710FBE" w14:textId="150FF5C7" w:rsidR="00D56EB0" w:rsidRPr="0004492D" w:rsidRDefault="00D56EB0"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 xml:space="preserve">Sklenitev aneksa </w:t>
      </w:r>
    </w:p>
    <w:p w14:paraId="5375D3B9" w14:textId="77777777" w:rsidR="00D56EB0" w:rsidRPr="0004492D" w:rsidRDefault="00D56EB0" w:rsidP="0004492D">
      <w:pPr>
        <w:autoSpaceDE w:val="0"/>
        <w:autoSpaceDN w:val="0"/>
        <w:adjustRightInd w:val="0"/>
        <w:spacing w:line="240" w:lineRule="auto"/>
        <w:jc w:val="both"/>
        <w:rPr>
          <w:rFonts w:cs="Arial"/>
          <w:b/>
          <w:bCs/>
          <w:color w:val="000000"/>
          <w:szCs w:val="20"/>
        </w:rPr>
      </w:pPr>
    </w:p>
    <w:p w14:paraId="6A484908" w14:textId="3EA29766" w:rsidR="00D56EB0" w:rsidRPr="0004492D" w:rsidRDefault="00D56EB0"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Vlada je sklenila aneks št. 2 h koncesijski pogodbi z dne 28. 1. 2016 v zvezi z rabo termalne vode iz vrtin Mt-1/60, Mt-4/74, Mt-6/83 in Mt-7/93 za ogrevanje in potrebe kopališča Terme 3000 – Moravske Toplice.  Vlada je 24. junija 2021 izdala Uredbo o spremembah in dopolnitvah Uredbe o koncesiji za rabo  termalne vode iz vrtin Mt-1/60, Mt-4/74, Mt-5/82, Mt-6/83 in Mt-7/93 za ogrevanje in potrebe  kopališča Terme 3000 – Moravske Toplice, zaradi česar je treba s koncesionarjem skleniti aneks. V Uredbi o načrtu upravljanja voda za vodni območji Donave in Jadranskega  morja je določeno, da  sme koncesionar do vzpostavitve </w:t>
      </w:r>
      <w:proofErr w:type="spellStart"/>
      <w:r w:rsidRPr="0004492D">
        <w:rPr>
          <w:rFonts w:cs="Arial"/>
          <w:color w:val="000000"/>
          <w:szCs w:val="20"/>
        </w:rPr>
        <w:t>reinjekcijskega</w:t>
      </w:r>
      <w:proofErr w:type="spellEnd"/>
      <w:r w:rsidRPr="0004492D">
        <w:rPr>
          <w:rFonts w:cs="Arial"/>
          <w:color w:val="000000"/>
          <w:szCs w:val="20"/>
        </w:rPr>
        <w:t xml:space="preserve"> sistema kot največjo skupno dovoljeno količino termalne vode kot doslej rabiti 1.006.000 m3. </w:t>
      </w:r>
    </w:p>
    <w:p w14:paraId="7226962A" w14:textId="77777777" w:rsidR="00D56EB0" w:rsidRPr="0004492D" w:rsidRDefault="00D56EB0"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 </w:t>
      </w:r>
    </w:p>
    <w:p w14:paraId="4D5BB66E" w14:textId="77777777" w:rsidR="00D56EB0" w:rsidRPr="0004492D" w:rsidRDefault="00D56EB0"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okolje in prostor</w:t>
      </w:r>
    </w:p>
    <w:p w14:paraId="6916F830"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5483703F" w14:textId="7BD74245" w:rsidR="004C603C" w:rsidRPr="0004492D" w:rsidRDefault="004C603C"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sklenila dogovor o plačilu obveznosti Republike Slovenije pri izgradnji širokopasovnih omrežij v občini Krško zaradi umeščanja odlagališča NSRAO</w:t>
      </w:r>
    </w:p>
    <w:p w14:paraId="5175FF85" w14:textId="77777777" w:rsidR="004C603C" w:rsidRPr="0004492D" w:rsidRDefault="004C603C" w:rsidP="0004492D">
      <w:pPr>
        <w:autoSpaceDE w:val="0"/>
        <w:autoSpaceDN w:val="0"/>
        <w:adjustRightInd w:val="0"/>
        <w:spacing w:line="240" w:lineRule="auto"/>
        <w:jc w:val="both"/>
        <w:rPr>
          <w:rFonts w:cs="Arial"/>
          <w:b/>
          <w:bCs/>
          <w:color w:val="000000"/>
          <w:szCs w:val="20"/>
        </w:rPr>
      </w:pPr>
    </w:p>
    <w:p w14:paraId="36D87AF7" w14:textId="77777777" w:rsidR="004C603C" w:rsidRPr="0004492D" w:rsidRDefault="004C603C"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Vlada je  21. 12. 2007 s sklepom naložila, da pristojno ministrstvo in ARAO, Agencijo za radioaktivne odpadke zagotovijo sredstva za izgradnjo širokopasovnih omrežij v občini Krško.  ARAO in Občina Krško dne 19. 2. 2008 sta na osnovi omenjenega sklepa podpisala Protokol o informiranju javnosti in zagotavljanju sredstev za izgradnjo širokopasovni omrežij v občini Krško zaradi umeščanja odlagališča NSRAO, ki pa se do danes ni realiziral. Skladno z Zakonom  o stvarnem premoženju države in samoupravnih lokalnih skupnosti ARAO od 1. 1. 2014 ni več investitor v odlagališče NSRAO Vrbina temveč Republika Slovenija, ki mora skladno z drugim odstavkom 18. člena Uredbe o državnem prostorskem načrtu za odlagališče nizko in srednje radioaktivnih odpadkov na lokaciji Vrbina v občini </w:t>
      </w:r>
      <w:proofErr w:type="spellStart"/>
      <w:r w:rsidRPr="0004492D">
        <w:rPr>
          <w:rFonts w:cs="Arial"/>
          <w:color w:val="000000"/>
          <w:szCs w:val="20"/>
        </w:rPr>
        <w:t>Krškoporavnati</w:t>
      </w:r>
      <w:proofErr w:type="spellEnd"/>
      <w:r w:rsidRPr="0004492D">
        <w:rPr>
          <w:rFonts w:cs="Arial"/>
          <w:color w:val="000000"/>
          <w:szCs w:val="20"/>
        </w:rPr>
        <w:t xml:space="preserve"> obveznost za nadgradnjo širokopasovnega omrežja za naselja v radiju cca 2 km od odlagališča NSRAO, to so Spodnji Stari Grad, Vrbina, Libna, Stari Grad, Dolenja vas in Pesje, ter naselja na desnem bregu Save, ki so neposredno v vidnem polju obeh jedrskih objektov ter zračne razdalje do cca 4 km - Žadovinek, Drnovo, Brege, Mrtvice in Vihre. Obveznost RS za sofinanciranje širokopasovnega omrežja je bila pripoznana, ko je minister za infrastrukturo in prostor v letu 2014 potrdil investicijski program za projekt odlagališča NSRAO Vrbina, Krško. </w:t>
      </w:r>
    </w:p>
    <w:p w14:paraId="29F233EB" w14:textId="77777777" w:rsidR="004C603C" w:rsidRPr="0004492D" w:rsidRDefault="004C603C" w:rsidP="0004492D">
      <w:pPr>
        <w:autoSpaceDE w:val="0"/>
        <w:autoSpaceDN w:val="0"/>
        <w:adjustRightInd w:val="0"/>
        <w:spacing w:line="240" w:lineRule="auto"/>
        <w:jc w:val="both"/>
        <w:rPr>
          <w:rFonts w:cs="Arial"/>
          <w:color w:val="000000"/>
          <w:szCs w:val="20"/>
        </w:rPr>
      </w:pPr>
    </w:p>
    <w:p w14:paraId="4BBE7E36" w14:textId="77777777" w:rsidR="004C603C" w:rsidRPr="0004492D" w:rsidRDefault="004C603C" w:rsidP="0004492D">
      <w:pPr>
        <w:autoSpaceDE w:val="0"/>
        <w:autoSpaceDN w:val="0"/>
        <w:adjustRightInd w:val="0"/>
        <w:spacing w:line="240" w:lineRule="auto"/>
        <w:jc w:val="both"/>
        <w:rPr>
          <w:rFonts w:cs="Arial"/>
          <w:color w:val="000000"/>
          <w:szCs w:val="20"/>
        </w:rPr>
      </w:pPr>
      <w:r w:rsidRPr="0004492D">
        <w:rPr>
          <w:rFonts w:cs="Arial"/>
          <w:color w:val="000000"/>
          <w:szCs w:val="20"/>
        </w:rPr>
        <w:t>Po priloženih dokumentih in obrazložitvah Občine Krško, celotna vrednost projekta znaša 14,23 mio evrov z DDV, od tega 7,21 mio EUR z DDV za izgradnjo optične hrbtenice in 7,02 mio evrov z DDV za nadgradnjo optične hrbtenice s sekundarnim omrežjem in priključki. Vrednost v višini 2.547.029,52 evrov skupaj z DDV, ki jo mora poravnati Slovenija, je razvidna iz elaborata »ŠOEK za potrebe odlagališča NSRAO na Vrbini v občini Krško«, ki ga je izdelal projektant STUDIO RAZVOJ iz Novega mesta.</w:t>
      </w:r>
    </w:p>
    <w:p w14:paraId="65FCAE2A" w14:textId="77777777" w:rsidR="004C603C" w:rsidRPr="0004492D" w:rsidRDefault="004C603C" w:rsidP="0004492D">
      <w:pPr>
        <w:autoSpaceDE w:val="0"/>
        <w:autoSpaceDN w:val="0"/>
        <w:adjustRightInd w:val="0"/>
        <w:spacing w:line="240" w:lineRule="auto"/>
        <w:jc w:val="both"/>
        <w:rPr>
          <w:rFonts w:cs="Arial"/>
          <w:color w:val="000000"/>
          <w:szCs w:val="20"/>
        </w:rPr>
      </w:pPr>
    </w:p>
    <w:p w14:paraId="29B26537" w14:textId="77777777" w:rsidR="004C603C" w:rsidRPr="0004492D" w:rsidRDefault="004C603C" w:rsidP="0004492D">
      <w:pPr>
        <w:autoSpaceDE w:val="0"/>
        <w:autoSpaceDN w:val="0"/>
        <w:adjustRightInd w:val="0"/>
        <w:spacing w:line="240" w:lineRule="auto"/>
        <w:jc w:val="both"/>
        <w:rPr>
          <w:rFonts w:cs="Arial"/>
          <w:color w:val="000000"/>
          <w:szCs w:val="20"/>
        </w:rPr>
      </w:pPr>
      <w:r w:rsidRPr="0004492D">
        <w:rPr>
          <w:rFonts w:cs="Arial"/>
          <w:color w:val="000000"/>
          <w:szCs w:val="20"/>
        </w:rPr>
        <w:lastRenderedPageBreak/>
        <w:t>Država bo svojo obveznost poravnala v dveh obrokih 1.000.000,00 evrov do konca leta 2021 in razliko v višini 1.547.029,52 evrov pa do 31. 3. 2022.</w:t>
      </w:r>
    </w:p>
    <w:p w14:paraId="3BE1AE4C" w14:textId="77777777" w:rsidR="004C603C" w:rsidRPr="0004492D" w:rsidRDefault="004C603C" w:rsidP="0004492D">
      <w:pPr>
        <w:autoSpaceDE w:val="0"/>
        <w:autoSpaceDN w:val="0"/>
        <w:adjustRightInd w:val="0"/>
        <w:spacing w:line="240" w:lineRule="auto"/>
        <w:jc w:val="both"/>
        <w:rPr>
          <w:rFonts w:cs="Arial"/>
          <w:color w:val="000000"/>
          <w:szCs w:val="20"/>
        </w:rPr>
      </w:pPr>
    </w:p>
    <w:p w14:paraId="5BE85FBE" w14:textId="77777777" w:rsidR="004C603C" w:rsidRPr="0004492D" w:rsidRDefault="004C603C"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Realizacija tega dogovora je pomembna družbi ARAO z vidika pridobivanja gradbenega dovoljenja, saj mora občina izdati služnostno pravico za gradnjo NSRAO.  </w:t>
      </w:r>
    </w:p>
    <w:p w14:paraId="7CADD675" w14:textId="77777777" w:rsidR="004C603C" w:rsidRPr="0004492D" w:rsidRDefault="004C603C" w:rsidP="0004492D">
      <w:pPr>
        <w:autoSpaceDE w:val="0"/>
        <w:autoSpaceDN w:val="0"/>
        <w:adjustRightInd w:val="0"/>
        <w:spacing w:line="240" w:lineRule="auto"/>
        <w:jc w:val="both"/>
        <w:rPr>
          <w:rFonts w:cs="Arial"/>
          <w:color w:val="000000"/>
          <w:szCs w:val="20"/>
        </w:rPr>
      </w:pPr>
    </w:p>
    <w:p w14:paraId="313C31D0" w14:textId="34094FEC" w:rsidR="00246179" w:rsidRPr="0004492D" w:rsidRDefault="004C603C"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infrastrukturo</w:t>
      </w:r>
    </w:p>
    <w:p w14:paraId="6D4FD360"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2549107E" w14:textId="74A89874" w:rsidR="00614763" w:rsidRPr="0004492D" w:rsidRDefault="00614763"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dala soglasje k Programu dela in finančnem načrtu Agencije za radioaktivne odpadke za leto 2022</w:t>
      </w:r>
    </w:p>
    <w:p w14:paraId="7F0A68D8" w14:textId="77777777" w:rsidR="00614763" w:rsidRPr="0004492D" w:rsidRDefault="00614763" w:rsidP="0004492D">
      <w:pPr>
        <w:autoSpaceDE w:val="0"/>
        <w:autoSpaceDN w:val="0"/>
        <w:adjustRightInd w:val="0"/>
        <w:spacing w:line="240" w:lineRule="auto"/>
        <w:jc w:val="both"/>
        <w:rPr>
          <w:rFonts w:cs="Arial"/>
          <w:b/>
          <w:bCs/>
          <w:color w:val="000000"/>
          <w:szCs w:val="20"/>
        </w:rPr>
      </w:pPr>
    </w:p>
    <w:p w14:paraId="4D6513B7" w14:textId="77777777" w:rsidR="00614763" w:rsidRPr="0004492D" w:rsidRDefault="00614763" w:rsidP="0004492D">
      <w:pPr>
        <w:autoSpaceDE w:val="0"/>
        <w:autoSpaceDN w:val="0"/>
        <w:adjustRightInd w:val="0"/>
        <w:spacing w:line="240" w:lineRule="auto"/>
        <w:jc w:val="both"/>
        <w:rPr>
          <w:rFonts w:cs="Arial"/>
          <w:color w:val="000000"/>
          <w:szCs w:val="20"/>
        </w:rPr>
      </w:pPr>
      <w:r w:rsidRPr="0004492D">
        <w:rPr>
          <w:rFonts w:cs="Arial"/>
          <w:color w:val="000000"/>
          <w:szCs w:val="20"/>
        </w:rPr>
        <w:t>Upravni odbor Agencije za radioaktivne odpadke je skladno z internimi akti na svoji 8. korespondenčni seji, dne 12. 11. 2021, sprejel Program dela in finančni načrt ARAO za leto 2021.</w:t>
      </w:r>
    </w:p>
    <w:p w14:paraId="39B22707" w14:textId="77777777" w:rsidR="00614763" w:rsidRPr="0004492D" w:rsidRDefault="00614763" w:rsidP="0004492D">
      <w:pPr>
        <w:autoSpaceDE w:val="0"/>
        <w:autoSpaceDN w:val="0"/>
        <w:adjustRightInd w:val="0"/>
        <w:spacing w:line="240" w:lineRule="auto"/>
        <w:jc w:val="both"/>
        <w:rPr>
          <w:rFonts w:cs="Arial"/>
          <w:color w:val="000000"/>
          <w:szCs w:val="20"/>
        </w:rPr>
      </w:pPr>
    </w:p>
    <w:p w14:paraId="028FFF54" w14:textId="77777777" w:rsidR="00614763" w:rsidRPr="0004492D" w:rsidRDefault="00614763" w:rsidP="0004492D">
      <w:pPr>
        <w:autoSpaceDE w:val="0"/>
        <w:autoSpaceDN w:val="0"/>
        <w:adjustRightInd w:val="0"/>
        <w:spacing w:line="240" w:lineRule="auto"/>
        <w:jc w:val="both"/>
        <w:rPr>
          <w:rFonts w:cs="Arial"/>
          <w:color w:val="000000"/>
          <w:szCs w:val="20"/>
        </w:rPr>
      </w:pPr>
      <w:r w:rsidRPr="0004492D">
        <w:rPr>
          <w:rFonts w:cs="Arial"/>
          <w:color w:val="000000"/>
          <w:szCs w:val="20"/>
        </w:rPr>
        <w:t>Vlada kot ustanoviteljica ARAO, na dokument poda soglasje. PDFN za leto 2022 je pripravljen skladno s strateškimi usmeritvami podanih v Resoluciji je pripravljen na podlagi strateških usmeritev podanih v Resoluciji o nacionalnem programu ravnanja z radioaktivnimi odpadki in izrabljenim gorivom za obdobje 2016–2025, potrjenega Investicijskega programa za odlagališče NSRAO Vrbina, Krško, ter 3. revizije Programa razgradnje NEK in 3. revizije Programa odlaganja radioaktivnih odpadkov in izrabljenega goriva iz NEK.</w:t>
      </w:r>
    </w:p>
    <w:p w14:paraId="6942ED70" w14:textId="77777777" w:rsidR="00614763" w:rsidRPr="0004492D" w:rsidRDefault="00614763" w:rsidP="0004492D">
      <w:pPr>
        <w:autoSpaceDE w:val="0"/>
        <w:autoSpaceDN w:val="0"/>
        <w:adjustRightInd w:val="0"/>
        <w:spacing w:line="240" w:lineRule="auto"/>
        <w:jc w:val="both"/>
        <w:rPr>
          <w:rFonts w:cs="Arial"/>
          <w:color w:val="000000"/>
          <w:szCs w:val="20"/>
        </w:rPr>
      </w:pPr>
    </w:p>
    <w:p w14:paraId="479BDD2C" w14:textId="77777777" w:rsidR="00614763" w:rsidRPr="0004492D" w:rsidRDefault="00614763"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 PDFN 2022 so načrtovane naloge in aktivnosti za izvajanje javne službe na področju izgradnje odlagališča nizko in srednje radioaktivnih odpadkov (v nadaljnjem besedilu: odlagališče NSRAO), na področju ravnanja z radioaktivnimi odpadki ter dolgoročnega nadzora in vzdrževanja zaprtega odlagališča rudarske in </w:t>
      </w:r>
      <w:proofErr w:type="spellStart"/>
      <w:r w:rsidRPr="0004492D">
        <w:rPr>
          <w:rFonts w:cs="Arial"/>
          <w:color w:val="000000"/>
          <w:szCs w:val="20"/>
        </w:rPr>
        <w:t>hidrometalurške</w:t>
      </w:r>
      <w:proofErr w:type="spellEnd"/>
      <w:r w:rsidRPr="0004492D">
        <w:rPr>
          <w:rFonts w:cs="Arial"/>
          <w:color w:val="000000"/>
          <w:szCs w:val="20"/>
        </w:rPr>
        <w:t xml:space="preserve"> jalovine.  </w:t>
      </w:r>
    </w:p>
    <w:p w14:paraId="4180B8A7" w14:textId="77777777" w:rsidR="00614763" w:rsidRPr="0004492D" w:rsidRDefault="00614763" w:rsidP="0004492D">
      <w:pPr>
        <w:autoSpaceDE w:val="0"/>
        <w:autoSpaceDN w:val="0"/>
        <w:adjustRightInd w:val="0"/>
        <w:spacing w:line="240" w:lineRule="auto"/>
        <w:jc w:val="both"/>
        <w:rPr>
          <w:rFonts w:cs="Arial"/>
          <w:color w:val="000000"/>
          <w:szCs w:val="20"/>
        </w:rPr>
      </w:pPr>
    </w:p>
    <w:p w14:paraId="0238A614" w14:textId="77777777" w:rsidR="00614763" w:rsidRPr="0004492D" w:rsidRDefault="00614763" w:rsidP="0004492D">
      <w:pPr>
        <w:autoSpaceDE w:val="0"/>
        <w:autoSpaceDN w:val="0"/>
        <w:adjustRightInd w:val="0"/>
        <w:spacing w:line="240" w:lineRule="auto"/>
        <w:jc w:val="both"/>
        <w:rPr>
          <w:rFonts w:cs="Arial"/>
          <w:color w:val="000000"/>
          <w:szCs w:val="20"/>
        </w:rPr>
      </w:pPr>
      <w:r w:rsidRPr="0004492D">
        <w:rPr>
          <w:rFonts w:cs="Arial"/>
          <w:color w:val="000000"/>
          <w:szCs w:val="20"/>
        </w:rPr>
        <w:t>Finančni načrt je ARAO pripravil na podlagi vrste in obsega načrtovanih storitev javne službe, podpornih, strokovnih, organizacijskih in razvojnih nalog ter pri tem upošteval tudi usmeritve dane od resornega ministrstva.</w:t>
      </w:r>
    </w:p>
    <w:p w14:paraId="524804B6" w14:textId="77777777" w:rsidR="00614763" w:rsidRPr="0004492D" w:rsidRDefault="00614763" w:rsidP="0004492D">
      <w:pPr>
        <w:autoSpaceDE w:val="0"/>
        <w:autoSpaceDN w:val="0"/>
        <w:adjustRightInd w:val="0"/>
        <w:spacing w:line="240" w:lineRule="auto"/>
        <w:jc w:val="both"/>
        <w:rPr>
          <w:rFonts w:cs="Arial"/>
          <w:color w:val="000000"/>
          <w:szCs w:val="20"/>
        </w:rPr>
      </w:pPr>
    </w:p>
    <w:p w14:paraId="2FE9A3D8" w14:textId="77777777" w:rsidR="00614763" w:rsidRPr="0004492D" w:rsidRDefault="00614763" w:rsidP="0004492D">
      <w:pPr>
        <w:autoSpaceDE w:val="0"/>
        <w:autoSpaceDN w:val="0"/>
        <w:adjustRightInd w:val="0"/>
        <w:spacing w:line="240" w:lineRule="auto"/>
        <w:jc w:val="both"/>
        <w:rPr>
          <w:rFonts w:cs="Arial"/>
          <w:color w:val="000000"/>
          <w:szCs w:val="20"/>
        </w:rPr>
      </w:pPr>
      <w:r w:rsidRPr="0004492D">
        <w:rPr>
          <w:rFonts w:cs="Arial"/>
          <w:color w:val="000000"/>
          <w:szCs w:val="20"/>
        </w:rPr>
        <w:t>Zaradi nemotenega izvajanja svojih aktivnosti predvsem pa gradnje odlagališča NSRAO je v  finančnem načrtu dodano poglavje z oceno potrebnih finančnih sredstev za leto 2023.</w:t>
      </w:r>
    </w:p>
    <w:p w14:paraId="313F6B43" w14:textId="77777777" w:rsidR="00614763" w:rsidRPr="0004492D" w:rsidRDefault="00614763" w:rsidP="0004492D">
      <w:pPr>
        <w:autoSpaceDE w:val="0"/>
        <w:autoSpaceDN w:val="0"/>
        <w:adjustRightInd w:val="0"/>
        <w:spacing w:line="240" w:lineRule="auto"/>
        <w:jc w:val="both"/>
        <w:rPr>
          <w:rFonts w:cs="Arial"/>
          <w:color w:val="000000"/>
          <w:szCs w:val="20"/>
        </w:rPr>
      </w:pPr>
    </w:p>
    <w:p w14:paraId="2A6CE969" w14:textId="6902C25A" w:rsidR="00246179" w:rsidRPr="0004492D" w:rsidRDefault="00614763"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infrastrukturo</w:t>
      </w:r>
    </w:p>
    <w:p w14:paraId="2F432B66"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719895D5" w14:textId="423BA891" w:rsidR="00D32B62" w:rsidRPr="0004492D" w:rsidRDefault="00D32B62"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Odgovor na pobudo Varuha človekovih pravic glede presoje posledic sprejetih predpisov in ukrepov na človekove pravice</w:t>
      </w:r>
    </w:p>
    <w:p w14:paraId="05B90398" w14:textId="77777777" w:rsidR="00D32B62" w:rsidRPr="0004492D" w:rsidRDefault="00D32B62" w:rsidP="0004492D">
      <w:pPr>
        <w:autoSpaceDE w:val="0"/>
        <w:autoSpaceDN w:val="0"/>
        <w:adjustRightInd w:val="0"/>
        <w:spacing w:line="240" w:lineRule="auto"/>
        <w:jc w:val="both"/>
        <w:rPr>
          <w:rFonts w:cs="Arial"/>
          <w:color w:val="000000"/>
          <w:szCs w:val="20"/>
        </w:rPr>
      </w:pPr>
    </w:p>
    <w:p w14:paraId="25CB9166" w14:textId="26E483A8" w:rsidR="00D32B62" w:rsidRPr="0004492D" w:rsidRDefault="00D32B62"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Vlada Republike Slovenije je sprejela odgovor na pobudo Varuha človekovih pravic Republike Slovenije glede presoje posledic sprejetih predpisov in ukrepov na človekove pravice ter za vzpostavitev centralne kontaktne točke za zagotavljanje ocene posledic sprejetega ukrepa oziroma predpisa na človekove pravice po posameznih ministrstvih. </w:t>
      </w:r>
    </w:p>
    <w:p w14:paraId="0D95ABDB" w14:textId="77777777" w:rsidR="00D32B62" w:rsidRPr="0004492D" w:rsidRDefault="00D32B62" w:rsidP="0004492D">
      <w:pPr>
        <w:autoSpaceDE w:val="0"/>
        <w:autoSpaceDN w:val="0"/>
        <w:adjustRightInd w:val="0"/>
        <w:spacing w:line="240" w:lineRule="auto"/>
        <w:jc w:val="both"/>
        <w:rPr>
          <w:rFonts w:cs="Arial"/>
          <w:color w:val="000000"/>
          <w:szCs w:val="20"/>
        </w:rPr>
      </w:pPr>
    </w:p>
    <w:p w14:paraId="41EEB412" w14:textId="77777777" w:rsidR="00D32B62" w:rsidRPr="0004492D" w:rsidRDefault="00D32B62"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Kot je Vlada Republike Slovenije že odgovorila v predhodnih pobudah, so s sistemskega vidika v Republiki Sloveniji pravila normiranja opredeljena v Resoluciji o normativni dejavnosti in v </w:t>
      </w:r>
      <w:proofErr w:type="spellStart"/>
      <w:r w:rsidRPr="0004492D">
        <w:rPr>
          <w:rFonts w:cs="Arial"/>
          <w:color w:val="000000"/>
          <w:szCs w:val="20"/>
        </w:rPr>
        <w:t>Nomotehničnih</w:t>
      </w:r>
      <w:proofErr w:type="spellEnd"/>
      <w:r w:rsidRPr="0004492D">
        <w:rPr>
          <w:rFonts w:cs="Arial"/>
          <w:color w:val="000000"/>
          <w:szCs w:val="20"/>
        </w:rPr>
        <w:t xml:space="preserve"> smernicah, ki jih je treba postaviti v kontekst pravil, ki jih določajo Poslovnik Vlade Republike Slovenije in navodila za njegovo izvajanje ter Poslovnik državnega zbora. S pripravo in sprejetjem predpisov ob sodelovanju strokovne in druge zainteresirane javnosti se tako zasleduje tudi zelo pomemben cilj varovanja človekovih pravic in temeljnih svoboščin, kar s predmetno pobudo izpostavlja tudi Varuh človekovih pravic Republike Slovenije.</w:t>
      </w:r>
    </w:p>
    <w:p w14:paraId="7D7EE343" w14:textId="77777777" w:rsidR="00D32B62" w:rsidRPr="0004492D" w:rsidRDefault="00D32B62" w:rsidP="0004492D">
      <w:pPr>
        <w:autoSpaceDE w:val="0"/>
        <w:autoSpaceDN w:val="0"/>
        <w:adjustRightInd w:val="0"/>
        <w:spacing w:line="240" w:lineRule="auto"/>
        <w:jc w:val="both"/>
        <w:rPr>
          <w:rFonts w:cs="Arial"/>
          <w:color w:val="000000"/>
          <w:szCs w:val="20"/>
        </w:rPr>
      </w:pPr>
    </w:p>
    <w:p w14:paraId="07E1818C" w14:textId="77777777" w:rsidR="00D32B62" w:rsidRPr="0004492D" w:rsidRDefault="00D32B62"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Človekove pravice so ustavna materija, zato njihovo urejanje z zakoni vedno terja obrazložitev z vidika ustavne skladnosti, pri čemer se presoja v skladu z zahtevami iz ustave (da morajo biti posegi v človekove pravice in temeljne svoboščine primerni, nujni in sorazmerni) opravlja pri zakonih že sedaj. Presoja (nedopustnih) posledic zakonskega in podzakonskega predpisa na človekove pravice in temeljne svoboščine je v fazi medresorskega usklajevanja, to je pred predložitvijo gradiva vladi v obravnavo, že uveljavljena in tudi poteka. Vlada meni, da je presoja posledic sprejetih predpisov in ukrepov na človekove pravice in temeljne svoboščine ustrezno urejena že v fazi medresorskega usklajevanja. </w:t>
      </w:r>
    </w:p>
    <w:p w14:paraId="7133833D" w14:textId="77777777" w:rsidR="00D32B62" w:rsidRPr="0004492D" w:rsidRDefault="00D32B62" w:rsidP="0004492D">
      <w:pPr>
        <w:autoSpaceDE w:val="0"/>
        <w:autoSpaceDN w:val="0"/>
        <w:adjustRightInd w:val="0"/>
        <w:spacing w:line="240" w:lineRule="auto"/>
        <w:jc w:val="both"/>
        <w:rPr>
          <w:rFonts w:cs="Arial"/>
          <w:color w:val="000000"/>
          <w:szCs w:val="20"/>
        </w:rPr>
      </w:pPr>
    </w:p>
    <w:p w14:paraId="603EC1E1" w14:textId="77777777" w:rsidR="00D32B62" w:rsidRPr="0004492D" w:rsidRDefault="00D32B62" w:rsidP="0004492D">
      <w:pPr>
        <w:autoSpaceDE w:val="0"/>
        <w:autoSpaceDN w:val="0"/>
        <w:adjustRightInd w:val="0"/>
        <w:spacing w:line="240" w:lineRule="auto"/>
        <w:jc w:val="both"/>
        <w:rPr>
          <w:rFonts w:cs="Arial"/>
          <w:color w:val="000000"/>
          <w:szCs w:val="20"/>
        </w:rPr>
      </w:pPr>
      <w:r w:rsidRPr="0004492D">
        <w:rPr>
          <w:rFonts w:cs="Arial"/>
          <w:color w:val="000000"/>
          <w:szCs w:val="20"/>
        </w:rPr>
        <w:lastRenderedPageBreak/>
        <w:t>Glede pobude za vzpostavitev centralnih točk po posameznih ministrstvih za zagotavljanje ocene posledic sprejetega ukrepa oziroma predpisa na človekove pravice Vlada meni, da predlog ne bi doprinesel k boljšemu uresničevanju človekovih pravic in svoboščin, saj bi šlo le še za dodatnega presojevalca vplivov, katerega mnenja ne bi bila v ničemer bolj zavezujoča kot mnenja v usklajevanju že udeleženih organov in vzpostavljenih mehanizmov medresorskega usklajevanja na posameznem resorju, zato ga ne podpira.</w:t>
      </w:r>
    </w:p>
    <w:p w14:paraId="62A0C55B" w14:textId="77777777" w:rsidR="00D32B62" w:rsidRPr="0004492D" w:rsidRDefault="00D32B62" w:rsidP="0004492D">
      <w:pPr>
        <w:autoSpaceDE w:val="0"/>
        <w:autoSpaceDN w:val="0"/>
        <w:adjustRightInd w:val="0"/>
        <w:spacing w:line="240" w:lineRule="auto"/>
        <w:jc w:val="both"/>
        <w:rPr>
          <w:rFonts w:cs="Arial"/>
          <w:color w:val="000000"/>
          <w:szCs w:val="20"/>
        </w:rPr>
      </w:pPr>
    </w:p>
    <w:p w14:paraId="3EE4C21E" w14:textId="4CC00E1F" w:rsidR="00246179" w:rsidRPr="0004492D" w:rsidRDefault="00D32B62"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javno upravo</w:t>
      </w:r>
    </w:p>
    <w:p w14:paraId="68F7DF79"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131764CD" w14:textId="42291F1F" w:rsidR="008D12FB" w:rsidRPr="0004492D" w:rsidRDefault="008D12FB"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je sprejela sklep o določitvi družbe T-2 d. o. o. za zavezanca za obvezno organiziranje varovanja</w:t>
      </w:r>
    </w:p>
    <w:p w14:paraId="0382BF0E" w14:textId="77777777" w:rsidR="008D12FB" w:rsidRPr="0004492D" w:rsidRDefault="008D12FB" w:rsidP="0004492D">
      <w:pPr>
        <w:autoSpaceDE w:val="0"/>
        <w:autoSpaceDN w:val="0"/>
        <w:adjustRightInd w:val="0"/>
        <w:spacing w:line="240" w:lineRule="auto"/>
        <w:jc w:val="both"/>
        <w:rPr>
          <w:rFonts w:cs="Arial"/>
          <w:b/>
          <w:bCs/>
          <w:color w:val="000000"/>
          <w:szCs w:val="20"/>
        </w:rPr>
      </w:pPr>
    </w:p>
    <w:p w14:paraId="49E82080" w14:textId="77777777" w:rsidR="008D12FB" w:rsidRPr="0004492D" w:rsidRDefault="008D12FB" w:rsidP="0004492D">
      <w:pPr>
        <w:autoSpaceDE w:val="0"/>
        <w:autoSpaceDN w:val="0"/>
        <w:adjustRightInd w:val="0"/>
        <w:spacing w:line="240" w:lineRule="auto"/>
        <w:jc w:val="both"/>
        <w:rPr>
          <w:rFonts w:cs="Arial"/>
          <w:color w:val="000000"/>
          <w:szCs w:val="20"/>
        </w:rPr>
      </w:pPr>
      <w:r w:rsidRPr="0004492D">
        <w:rPr>
          <w:rFonts w:cs="Arial"/>
          <w:color w:val="000000"/>
          <w:szCs w:val="20"/>
        </w:rPr>
        <w:t>Vlada Republike Slovenije je na današnji seji sprejela sklep, s katerim določa družbo T-2 d. o. o., Verovškova 64A, Ljubljana, za zavezanca za obvezno organiziranje varovanja.</w:t>
      </w:r>
    </w:p>
    <w:p w14:paraId="6933B2FA" w14:textId="77777777" w:rsidR="008D12FB" w:rsidRPr="0004492D" w:rsidRDefault="008D12FB" w:rsidP="0004492D">
      <w:pPr>
        <w:autoSpaceDE w:val="0"/>
        <w:autoSpaceDN w:val="0"/>
        <w:adjustRightInd w:val="0"/>
        <w:spacing w:line="240" w:lineRule="auto"/>
        <w:jc w:val="both"/>
        <w:rPr>
          <w:rFonts w:cs="Arial"/>
          <w:color w:val="000000"/>
          <w:szCs w:val="20"/>
        </w:rPr>
      </w:pPr>
    </w:p>
    <w:p w14:paraId="7F6610E9" w14:textId="77777777" w:rsidR="008D12FB" w:rsidRPr="0004492D" w:rsidRDefault="008D12FB" w:rsidP="0004492D">
      <w:pPr>
        <w:autoSpaceDE w:val="0"/>
        <w:autoSpaceDN w:val="0"/>
        <w:adjustRightInd w:val="0"/>
        <w:spacing w:line="240" w:lineRule="auto"/>
        <w:jc w:val="both"/>
        <w:rPr>
          <w:rFonts w:cs="Arial"/>
          <w:color w:val="000000"/>
          <w:szCs w:val="20"/>
        </w:rPr>
      </w:pPr>
      <w:r w:rsidRPr="0004492D">
        <w:rPr>
          <w:rFonts w:cs="Arial"/>
          <w:color w:val="000000"/>
          <w:szCs w:val="20"/>
        </w:rPr>
        <w:t>Vlada je nadalje sprejela sklep, da družba T-2 d. o. o. vzpostavi in izvaja ukrepe varovanja v skladu s predpisi in standardi stroke na področju zasebnega varovanja:</w:t>
      </w:r>
    </w:p>
    <w:p w14:paraId="09A3B0A9" w14:textId="223723B9" w:rsidR="008D12FB" w:rsidRPr="0004492D" w:rsidRDefault="008D12FB" w:rsidP="0004492D">
      <w:pPr>
        <w:pStyle w:val="Odstavekseznama"/>
        <w:numPr>
          <w:ilvl w:val="0"/>
          <w:numId w:val="35"/>
        </w:numPr>
        <w:autoSpaceDE w:val="0"/>
        <w:autoSpaceDN w:val="0"/>
        <w:adjustRightInd w:val="0"/>
        <w:spacing w:line="240" w:lineRule="auto"/>
        <w:jc w:val="both"/>
        <w:rPr>
          <w:rFonts w:cs="Arial"/>
          <w:color w:val="000000"/>
          <w:szCs w:val="20"/>
        </w:rPr>
      </w:pPr>
      <w:r w:rsidRPr="0004492D">
        <w:rPr>
          <w:rFonts w:cs="Arial"/>
          <w:color w:val="000000"/>
          <w:szCs w:val="20"/>
        </w:rPr>
        <w:t xml:space="preserve">stalen vizualni nadzor in nadzor varovanega območja prek video nadzornega sistema, </w:t>
      </w:r>
    </w:p>
    <w:p w14:paraId="67BCFA2A" w14:textId="13C2DC40" w:rsidR="008D12FB" w:rsidRPr="0004492D" w:rsidRDefault="008D12FB" w:rsidP="0004492D">
      <w:pPr>
        <w:pStyle w:val="Odstavekseznama"/>
        <w:numPr>
          <w:ilvl w:val="0"/>
          <w:numId w:val="35"/>
        </w:numPr>
        <w:autoSpaceDE w:val="0"/>
        <w:autoSpaceDN w:val="0"/>
        <w:adjustRightInd w:val="0"/>
        <w:spacing w:line="240" w:lineRule="auto"/>
        <w:jc w:val="both"/>
        <w:rPr>
          <w:rFonts w:cs="Arial"/>
          <w:color w:val="000000"/>
          <w:szCs w:val="20"/>
        </w:rPr>
      </w:pPr>
      <w:r w:rsidRPr="0004492D">
        <w:rPr>
          <w:rFonts w:cs="Arial"/>
          <w:color w:val="000000"/>
          <w:szCs w:val="20"/>
        </w:rPr>
        <w:t xml:space="preserve">občasna fizična kontrola posameznih objektov in območij, </w:t>
      </w:r>
    </w:p>
    <w:p w14:paraId="57D614FE" w14:textId="20844F47" w:rsidR="008D12FB" w:rsidRPr="0004492D" w:rsidRDefault="008D12FB" w:rsidP="0004492D">
      <w:pPr>
        <w:pStyle w:val="Odstavekseznama"/>
        <w:numPr>
          <w:ilvl w:val="0"/>
          <w:numId w:val="35"/>
        </w:numPr>
        <w:autoSpaceDE w:val="0"/>
        <w:autoSpaceDN w:val="0"/>
        <w:adjustRightInd w:val="0"/>
        <w:spacing w:line="240" w:lineRule="auto"/>
        <w:jc w:val="both"/>
        <w:rPr>
          <w:rFonts w:cs="Arial"/>
          <w:color w:val="000000"/>
          <w:szCs w:val="20"/>
        </w:rPr>
      </w:pPr>
      <w:r w:rsidRPr="0004492D">
        <w:rPr>
          <w:rFonts w:cs="Arial"/>
          <w:color w:val="000000"/>
          <w:szCs w:val="20"/>
        </w:rPr>
        <w:t>pri izvajanju varovanja in zagotavljanju varnosti zavezanec sodeluje s pristojnimi državnimi organi, ki so zavezancu dolžni nuditi pomoč v skladu z zakonskimi pooblastili in svojimi pristojnostmi. V primeru naravnih in drugih nesreč, v krizi, izrednem stanju in vojni je potrebno ravnati skladno s predpisi, ki urejajo navedena stanja,</w:t>
      </w:r>
    </w:p>
    <w:p w14:paraId="4AF03827" w14:textId="654D5DB3" w:rsidR="008D12FB" w:rsidRPr="0004492D" w:rsidRDefault="008D12FB" w:rsidP="0004492D">
      <w:pPr>
        <w:pStyle w:val="Odstavekseznama"/>
        <w:numPr>
          <w:ilvl w:val="0"/>
          <w:numId w:val="35"/>
        </w:numPr>
        <w:autoSpaceDE w:val="0"/>
        <w:autoSpaceDN w:val="0"/>
        <w:adjustRightInd w:val="0"/>
        <w:spacing w:line="240" w:lineRule="auto"/>
        <w:jc w:val="both"/>
        <w:rPr>
          <w:rFonts w:cs="Arial"/>
          <w:color w:val="000000"/>
          <w:szCs w:val="20"/>
        </w:rPr>
      </w:pPr>
      <w:r w:rsidRPr="0004492D">
        <w:rPr>
          <w:rFonts w:cs="Arial"/>
          <w:color w:val="000000"/>
          <w:szCs w:val="20"/>
        </w:rPr>
        <w:t>vgrajeni morajo biti sistemi tehničnega varovanja: prenos alarmnih sporočil ter sredstva za obdelavo in arhiviranje teh sporočil (varnostni alarmi, senzorji in detektorji gibanja, sistemi za nadzor alarmov, kamer in senzorjev) na istem objektu, na drugi lokaciji ali v varnostno-nadzornem centru. Sistemi za prenos signalov morajo biti izdelani tako, da odkrijejo nedovoljene posege v sistem in imajo lasten in rezerven vir napajanja,</w:t>
      </w:r>
    </w:p>
    <w:p w14:paraId="7CA70EE0" w14:textId="2196AD19" w:rsidR="008D12FB" w:rsidRPr="0004492D" w:rsidRDefault="008D12FB" w:rsidP="0004492D">
      <w:pPr>
        <w:pStyle w:val="Odstavekseznama"/>
        <w:numPr>
          <w:ilvl w:val="0"/>
          <w:numId w:val="35"/>
        </w:numPr>
        <w:autoSpaceDE w:val="0"/>
        <w:autoSpaceDN w:val="0"/>
        <w:adjustRightInd w:val="0"/>
        <w:spacing w:line="240" w:lineRule="auto"/>
        <w:jc w:val="both"/>
        <w:rPr>
          <w:rFonts w:cs="Arial"/>
          <w:color w:val="000000"/>
          <w:szCs w:val="20"/>
        </w:rPr>
      </w:pPr>
      <w:r w:rsidRPr="0004492D">
        <w:rPr>
          <w:rFonts w:cs="Arial"/>
          <w:color w:val="000000"/>
          <w:szCs w:val="20"/>
        </w:rPr>
        <w:t>izvedba ukrepov v skladu z Zakonom o zasebnem varovanju (ZZasV-1) in ukrepov, ki so določeni s posebni predpisi, če je varovanje urejeno s temi predpisi in ti predpisi vsebujejo vsaj enakovredne postopke, naloge in varnostne ukrepe, kot ZZasV-1, skladno z oceno stopnje tveganja in načrtom varovanja.</w:t>
      </w:r>
    </w:p>
    <w:p w14:paraId="2FF297FE" w14:textId="77777777" w:rsidR="008D12FB" w:rsidRPr="0004492D" w:rsidRDefault="008D12FB" w:rsidP="0004492D">
      <w:pPr>
        <w:autoSpaceDE w:val="0"/>
        <w:autoSpaceDN w:val="0"/>
        <w:adjustRightInd w:val="0"/>
        <w:spacing w:line="240" w:lineRule="auto"/>
        <w:jc w:val="both"/>
        <w:rPr>
          <w:rFonts w:cs="Arial"/>
          <w:color w:val="000000"/>
          <w:szCs w:val="20"/>
        </w:rPr>
      </w:pPr>
    </w:p>
    <w:p w14:paraId="08BDC56A" w14:textId="77777777" w:rsidR="008D12FB" w:rsidRPr="0004492D" w:rsidRDefault="008D12FB" w:rsidP="0004492D">
      <w:pPr>
        <w:autoSpaceDE w:val="0"/>
        <w:autoSpaceDN w:val="0"/>
        <w:adjustRightInd w:val="0"/>
        <w:spacing w:line="240" w:lineRule="auto"/>
        <w:jc w:val="both"/>
        <w:rPr>
          <w:rFonts w:cs="Arial"/>
          <w:color w:val="000000"/>
          <w:szCs w:val="20"/>
        </w:rPr>
      </w:pPr>
      <w:r w:rsidRPr="0004492D">
        <w:rPr>
          <w:rFonts w:cs="Arial"/>
          <w:color w:val="000000"/>
          <w:szCs w:val="20"/>
        </w:rPr>
        <w:t>Vlada je sprejela tudi sklep, da družba T-2 d. o. o. organizira varovanje ter pripravi in potrdi načrt varovanja v 12 mesecih od dneva sprejetja tega sklepa in o tem, v 15 dneh od potrditve načrta varovanja, obvesti predlagatelja in ministrstvo, pristojno za notranje zadeve.</w:t>
      </w:r>
    </w:p>
    <w:p w14:paraId="734B3AB0" w14:textId="77777777" w:rsidR="008D12FB" w:rsidRPr="0004492D" w:rsidRDefault="008D12FB" w:rsidP="0004492D">
      <w:pPr>
        <w:autoSpaceDE w:val="0"/>
        <w:autoSpaceDN w:val="0"/>
        <w:adjustRightInd w:val="0"/>
        <w:spacing w:line="240" w:lineRule="auto"/>
        <w:jc w:val="both"/>
        <w:rPr>
          <w:rFonts w:cs="Arial"/>
          <w:color w:val="000000"/>
          <w:szCs w:val="20"/>
        </w:rPr>
      </w:pPr>
    </w:p>
    <w:p w14:paraId="0845185A" w14:textId="28176135" w:rsidR="00246179" w:rsidRPr="0004492D" w:rsidRDefault="008D12FB"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javno upravo</w:t>
      </w:r>
    </w:p>
    <w:p w14:paraId="5DC3DDAE"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78A2D9DB" w14:textId="4A4659C2" w:rsidR="002471DB" w:rsidRPr="0004492D" w:rsidRDefault="002471DB"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 xml:space="preserve">Sklep o nastanitvi mladoletnikov brez spremstva do konca leta 2022 </w:t>
      </w:r>
    </w:p>
    <w:p w14:paraId="1A8C9202" w14:textId="77777777" w:rsidR="002471DB" w:rsidRPr="0004492D" w:rsidRDefault="002471DB" w:rsidP="0004492D">
      <w:pPr>
        <w:autoSpaceDE w:val="0"/>
        <w:autoSpaceDN w:val="0"/>
        <w:adjustRightInd w:val="0"/>
        <w:spacing w:line="240" w:lineRule="auto"/>
        <w:jc w:val="both"/>
        <w:rPr>
          <w:rFonts w:cs="Arial"/>
          <w:b/>
          <w:bCs/>
          <w:color w:val="000000"/>
          <w:szCs w:val="20"/>
        </w:rPr>
      </w:pPr>
    </w:p>
    <w:p w14:paraId="1DCA1C7D" w14:textId="77777777" w:rsidR="002471DB" w:rsidRPr="0004492D" w:rsidRDefault="002471DB"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Vlada Republike Slovenije je sprejela Sklep o nastanitvi mladoletnikov brez spremstva do konca leta 2022 v Dijaškem domu Srednja gozdarska in lesarska šola Postojna. V skladu s sklepom se bo mladoletnike brez spremstva, ki imajo status ilegalnega tujca, prosilca za mednarodno zaščito in osebe s priznano mednarodno zaščito še naprej nastanjevalo v Dijaški dom – Srednja gozdarska šola Postojna. Gre za nastanjevanje najranljivejše kategorije oseb, ki v Republiko Slovenijo pridejo brez spremstva staršev. V omenjenem dijaškem domu jim je nudena 24-urna oskrba, za njih skrbijo ustrezno usposobljeni strokovni delavci. Tekom bivanja so otroci vključeni v različne integracijske aktivnosti. </w:t>
      </w:r>
    </w:p>
    <w:p w14:paraId="6DB39F01" w14:textId="77777777" w:rsidR="002471DB" w:rsidRPr="0004492D" w:rsidRDefault="002471DB" w:rsidP="0004492D">
      <w:pPr>
        <w:autoSpaceDE w:val="0"/>
        <w:autoSpaceDN w:val="0"/>
        <w:adjustRightInd w:val="0"/>
        <w:spacing w:line="240" w:lineRule="auto"/>
        <w:jc w:val="both"/>
        <w:rPr>
          <w:rFonts w:cs="Arial"/>
          <w:color w:val="000000"/>
          <w:szCs w:val="20"/>
        </w:rPr>
      </w:pPr>
    </w:p>
    <w:p w14:paraId="3E1C43C3" w14:textId="1EE7E107" w:rsidR="00246179" w:rsidRPr="0004492D" w:rsidRDefault="002471DB" w:rsidP="0004492D">
      <w:pPr>
        <w:autoSpaceDE w:val="0"/>
        <w:autoSpaceDN w:val="0"/>
        <w:adjustRightInd w:val="0"/>
        <w:spacing w:line="240" w:lineRule="auto"/>
        <w:jc w:val="both"/>
        <w:rPr>
          <w:rFonts w:cs="Arial"/>
          <w:color w:val="000000"/>
          <w:szCs w:val="20"/>
        </w:rPr>
      </w:pPr>
      <w:r w:rsidRPr="0004492D">
        <w:rPr>
          <w:rFonts w:cs="Arial"/>
          <w:color w:val="000000"/>
          <w:szCs w:val="20"/>
        </w:rPr>
        <w:t>Vir: Urad vlade za oskrbo in integracijo migrantov</w:t>
      </w:r>
    </w:p>
    <w:p w14:paraId="5D606ABA"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7547F8E5" w14:textId="0D4644E5" w:rsidR="0068223D" w:rsidRPr="0004492D" w:rsidRDefault="0068223D"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potrdila povečanje pravic porabe na proračunski postavki Ministrstva za zdravje</w:t>
      </w:r>
    </w:p>
    <w:p w14:paraId="65247156" w14:textId="77777777" w:rsidR="0068223D" w:rsidRPr="0004492D" w:rsidRDefault="0068223D" w:rsidP="0004492D">
      <w:pPr>
        <w:autoSpaceDE w:val="0"/>
        <w:autoSpaceDN w:val="0"/>
        <w:adjustRightInd w:val="0"/>
        <w:spacing w:line="240" w:lineRule="auto"/>
        <w:jc w:val="both"/>
        <w:rPr>
          <w:rFonts w:cs="Arial"/>
          <w:b/>
          <w:bCs/>
          <w:color w:val="000000"/>
          <w:szCs w:val="20"/>
        </w:rPr>
      </w:pPr>
    </w:p>
    <w:p w14:paraId="421CCBBB" w14:textId="77777777" w:rsidR="0068223D" w:rsidRPr="0004492D" w:rsidRDefault="0068223D" w:rsidP="0004492D">
      <w:pPr>
        <w:autoSpaceDE w:val="0"/>
        <w:autoSpaceDN w:val="0"/>
        <w:adjustRightInd w:val="0"/>
        <w:spacing w:line="240" w:lineRule="auto"/>
        <w:jc w:val="both"/>
        <w:rPr>
          <w:rFonts w:cs="Arial"/>
          <w:color w:val="000000"/>
          <w:szCs w:val="20"/>
        </w:rPr>
      </w:pPr>
      <w:r w:rsidRPr="0004492D">
        <w:rPr>
          <w:rFonts w:cs="Arial"/>
          <w:color w:val="000000"/>
          <w:szCs w:val="20"/>
        </w:rPr>
        <w:t>Vlada Republike Slovenije je dala soglasje Ministrstvu za zdravje za prevzemanje in plačevanje obveznosti v letu 2021 preko načrtovanih pravic porabe v sprejetem proračunu države na namenski postavki 2229 - Sredstva amortizacije in drugi viri po ZIJZ dodatno za 2.000.000,00 evrov, do višine 11.000.000 evrov.</w:t>
      </w:r>
    </w:p>
    <w:p w14:paraId="65C09674" w14:textId="77777777" w:rsidR="0068223D" w:rsidRPr="0004492D" w:rsidRDefault="0068223D" w:rsidP="0004492D">
      <w:pPr>
        <w:autoSpaceDE w:val="0"/>
        <w:autoSpaceDN w:val="0"/>
        <w:adjustRightInd w:val="0"/>
        <w:spacing w:line="240" w:lineRule="auto"/>
        <w:jc w:val="both"/>
        <w:rPr>
          <w:rFonts w:cs="Arial"/>
          <w:color w:val="000000"/>
          <w:szCs w:val="20"/>
        </w:rPr>
      </w:pPr>
    </w:p>
    <w:p w14:paraId="2858D1F5" w14:textId="7B7C7AD0" w:rsidR="0068223D" w:rsidRDefault="0068223D" w:rsidP="0004492D">
      <w:pPr>
        <w:autoSpaceDE w:val="0"/>
        <w:autoSpaceDN w:val="0"/>
        <w:adjustRightInd w:val="0"/>
        <w:spacing w:line="240" w:lineRule="auto"/>
        <w:jc w:val="both"/>
        <w:rPr>
          <w:rFonts w:cs="Arial"/>
          <w:color w:val="000000"/>
          <w:szCs w:val="20"/>
        </w:rPr>
      </w:pPr>
      <w:r w:rsidRPr="0004492D">
        <w:rPr>
          <w:rFonts w:cs="Arial"/>
          <w:color w:val="000000"/>
          <w:szCs w:val="20"/>
        </w:rPr>
        <w:lastRenderedPageBreak/>
        <w:t xml:space="preserve">Pri pripravi proračuna za leto 2021 je ministrstvo namenska sredstva na proračunski postavki 2229 načrtovalo v višini 9.000.000 evrov. Gre za postavko na kateri se zbirajo sredstva amortizacije, najemnin in sredstva od prodanih nepremični, ki jih so jih javni zdravstveni zavodi dolžni odvajati skladno z Zakonom o investicijah v javne zdravstvene zavode, katerih ustanovitelj je Republika Slovenija (ZIJZ-1). Iz te postavke pa se sredstva nato nakazujejo na proračunski sklad (PP 875), iz katerega črpamo sredstva za investicije. </w:t>
      </w:r>
    </w:p>
    <w:p w14:paraId="71806E40" w14:textId="77777777" w:rsidR="00083EB7" w:rsidRPr="0004492D" w:rsidRDefault="00083EB7" w:rsidP="0004492D">
      <w:pPr>
        <w:autoSpaceDE w:val="0"/>
        <w:autoSpaceDN w:val="0"/>
        <w:adjustRightInd w:val="0"/>
        <w:spacing w:line="240" w:lineRule="auto"/>
        <w:jc w:val="both"/>
        <w:rPr>
          <w:rFonts w:cs="Arial"/>
          <w:color w:val="000000"/>
          <w:szCs w:val="20"/>
        </w:rPr>
      </w:pPr>
    </w:p>
    <w:p w14:paraId="727B7A78" w14:textId="77777777" w:rsidR="0068223D" w:rsidRPr="0004492D" w:rsidRDefault="0068223D" w:rsidP="0004492D">
      <w:pPr>
        <w:autoSpaceDE w:val="0"/>
        <w:autoSpaceDN w:val="0"/>
        <w:adjustRightInd w:val="0"/>
        <w:spacing w:line="240" w:lineRule="auto"/>
        <w:jc w:val="both"/>
        <w:rPr>
          <w:rFonts w:cs="Arial"/>
          <w:color w:val="000000"/>
          <w:szCs w:val="20"/>
        </w:rPr>
      </w:pPr>
      <w:r w:rsidRPr="0004492D">
        <w:rPr>
          <w:rFonts w:cs="Arial"/>
          <w:color w:val="000000"/>
          <w:szCs w:val="20"/>
        </w:rPr>
        <w:t>Glede na višino že vplačanih prilivov in še pričakovanih prilivov do konca leta, je Ministrstvo za zdravje ocenilo, da bo prilivov za okvirno 2.000.000 evrov več, kot je bilo načrtovano. Z namenom, da se omogoči prenos vseh sredstev na proračunski sklad je zato Ministrstvo predlagalo Vladi sprejem sklepa za prevzemanje in plačevanje obveznosti v letu 2021 preko načrtovanih pravic porabe na namenski postavki 2229 za 2.000.000 evrov, in sicer do višine 11.000.000 evrov.</w:t>
      </w:r>
    </w:p>
    <w:p w14:paraId="06163EF7" w14:textId="77777777" w:rsidR="0068223D" w:rsidRPr="0004492D" w:rsidRDefault="0068223D" w:rsidP="0004492D">
      <w:pPr>
        <w:autoSpaceDE w:val="0"/>
        <w:autoSpaceDN w:val="0"/>
        <w:adjustRightInd w:val="0"/>
        <w:spacing w:line="240" w:lineRule="auto"/>
        <w:jc w:val="both"/>
        <w:rPr>
          <w:rFonts w:cs="Arial"/>
          <w:color w:val="000000"/>
          <w:szCs w:val="20"/>
        </w:rPr>
      </w:pPr>
    </w:p>
    <w:p w14:paraId="56EB4812" w14:textId="1E7A3677" w:rsidR="00246179" w:rsidRPr="0004492D" w:rsidRDefault="0068223D"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zdravje</w:t>
      </w:r>
    </w:p>
    <w:p w14:paraId="136ADA49" w14:textId="77777777" w:rsidR="0068223D" w:rsidRPr="0004492D" w:rsidRDefault="0068223D" w:rsidP="0004492D">
      <w:pPr>
        <w:autoSpaceDE w:val="0"/>
        <w:autoSpaceDN w:val="0"/>
        <w:adjustRightInd w:val="0"/>
        <w:spacing w:line="240" w:lineRule="auto"/>
        <w:jc w:val="both"/>
        <w:rPr>
          <w:rFonts w:cs="Arial"/>
          <w:b/>
          <w:bCs/>
          <w:color w:val="000000"/>
          <w:szCs w:val="20"/>
        </w:rPr>
      </w:pPr>
    </w:p>
    <w:p w14:paraId="61266C86" w14:textId="3276EA09" w:rsidR="001B5923" w:rsidRPr="0004492D" w:rsidRDefault="001B5923"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 xml:space="preserve">Soglasje za prevzemanje in plačevanje obveznosti na namenskih postavkah Ministrstva za okolje in prostor </w:t>
      </w:r>
    </w:p>
    <w:p w14:paraId="1A1E41D3" w14:textId="77777777" w:rsidR="001B5923" w:rsidRPr="0004492D" w:rsidRDefault="001B5923" w:rsidP="0004492D">
      <w:pPr>
        <w:autoSpaceDE w:val="0"/>
        <w:autoSpaceDN w:val="0"/>
        <w:adjustRightInd w:val="0"/>
        <w:spacing w:line="240" w:lineRule="auto"/>
        <w:jc w:val="both"/>
        <w:rPr>
          <w:rFonts w:cs="Arial"/>
          <w:color w:val="000000"/>
          <w:szCs w:val="20"/>
        </w:rPr>
      </w:pPr>
    </w:p>
    <w:p w14:paraId="15CFF9C5" w14:textId="77777777" w:rsidR="001B5923" w:rsidRPr="0004492D" w:rsidRDefault="001B5923" w:rsidP="0004492D">
      <w:pPr>
        <w:autoSpaceDE w:val="0"/>
        <w:autoSpaceDN w:val="0"/>
        <w:adjustRightInd w:val="0"/>
        <w:spacing w:line="240" w:lineRule="auto"/>
        <w:jc w:val="both"/>
        <w:rPr>
          <w:rFonts w:cs="Arial"/>
          <w:color w:val="000000"/>
          <w:szCs w:val="20"/>
        </w:rPr>
      </w:pPr>
      <w:r w:rsidRPr="0004492D">
        <w:rPr>
          <w:rFonts w:cs="Arial"/>
          <w:color w:val="000000"/>
          <w:szCs w:val="20"/>
        </w:rPr>
        <w:t>Vlada je dala soglasje Ministrstvu za okolje in prostor (MOP), da prevzema in plačuje obveznosti preko načrtovanih pravic porabe v sprejetem proračunu države za leto 2021, na namenskih proračunskih postavkah, in sicer največ do skupne višine 179,4 milijona evrov.</w:t>
      </w:r>
    </w:p>
    <w:p w14:paraId="66ADC44B" w14:textId="77777777" w:rsidR="001B5923" w:rsidRPr="0004492D" w:rsidRDefault="001B5923" w:rsidP="0004492D">
      <w:pPr>
        <w:autoSpaceDE w:val="0"/>
        <w:autoSpaceDN w:val="0"/>
        <w:adjustRightInd w:val="0"/>
        <w:spacing w:line="240" w:lineRule="auto"/>
        <w:jc w:val="both"/>
        <w:rPr>
          <w:rFonts w:cs="Arial"/>
          <w:color w:val="000000"/>
          <w:szCs w:val="20"/>
        </w:rPr>
      </w:pPr>
    </w:p>
    <w:p w14:paraId="33506742" w14:textId="77777777" w:rsidR="001B5923" w:rsidRPr="0004492D" w:rsidRDefault="001B5923" w:rsidP="0004492D">
      <w:pPr>
        <w:autoSpaceDE w:val="0"/>
        <w:autoSpaceDN w:val="0"/>
        <w:adjustRightInd w:val="0"/>
        <w:spacing w:line="240" w:lineRule="auto"/>
        <w:jc w:val="both"/>
        <w:rPr>
          <w:rFonts w:cs="Arial"/>
          <w:color w:val="000000"/>
          <w:szCs w:val="20"/>
        </w:rPr>
      </w:pPr>
      <w:r w:rsidRPr="0004492D">
        <w:rPr>
          <w:rFonts w:cs="Arial"/>
          <w:color w:val="000000"/>
          <w:szCs w:val="20"/>
        </w:rPr>
        <w:t>Zakon o varstvu okolja (ZVO-1) določa, da se v okviru državnega proračuna kot proračunski sklad ustanovi Sklad za podnebne spremembe za sofinanciranje ukrepov za blaženje in prilagajanje posledicam podnebnih sprememb.</w:t>
      </w:r>
    </w:p>
    <w:p w14:paraId="2E962C0A" w14:textId="77777777" w:rsidR="001B5923" w:rsidRPr="0004492D" w:rsidRDefault="001B5923"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 </w:t>
      </w:r>
    </w:p>
    <w:p w14:paraId="52244609" w14:textId="77777777" w:rsidR="001B5923" w:rsidRPr="0004492D" w:rsidRDefault="001B5923" w:rsidP="0004492D">
      <w:pPr>
        <w:autoSpaceDE w:val="0"/>
        <w:autoSpaceDN w:val="0"/>
        <w:adjustRightInd w:val="0"/>
        <w:spacing w:line="240" w:lineRule="auto"/>
        <w:jc w:val="both"/>
        <w:rPr>
          <w:rFonts w:cs="Arial"/>
          <w:color w:val="000000"/>
          <w:szCs w:val="20"/>
        </w:rPr>
      </w:pPr>
      <w:r w:rsidRPr="0004492D">
        <w:rPr>
          <w:rFonts w:cs="Arial"/>
          <w:color w:val="000000"/>
          <w:szCs w:val="20"/>
        </w:rPr>
        <w:t>Sredstva Sklada za podnebne spremembe se skladno z Zakonom o javnih financah vodijo na evidenčnem računu v okviru računa proračuna, ki ga odpre država zaradi ločenega vodenja določenih prejemkov in izdatkov ter uresničevanja posebnega namena. Ta namen je prispevati k blaženju (to je zmanjševanju emisij toplogrednih plinov) podnebnih sprememb in prilagajanju nanje.</w:t>
      </w:r>
    </w:p>
    <w:p w14:paraId="549FAF45" w14:textId="77777777" w:rsidR="001B5923" w:rsidRPr="0004492D" w:rsidRDefault="001B5923" w:rsidP="0004492D">
      <w:pPr>
        <w:autoSpaceDE w:val="0"/>
        <w:autoSpaceDN w:val="0"/>
        <w:adjustRightInd w:val="0"/>
        <w:spacing w:line="240" w:lineRule="auto"/>
        <w:jc w:val="both"/>
        <w:rPr>
          <w:rFonts w:cs="Arial"/>
          <w:color w:val="000000"/>
          <w:szCs w:val="20"/>
        </w:rPr>
      </w:pPr>
    </w:p>
    <w:p w14:paraId="0D13C868" w14:textId="77777777" w:rsidR="001B5923" w:rsidRPr="0004492D" w:rsidRDefault="001B5923" w:rsidP="0004492D">
      <w:pPr>
        <w:autoSpaceDE w:val="0"/>
        <w:autoSpaceDN w:val="0"/>
        <w:adjustRightInd w:val="0"/>
        <w:spacing w:line="240" w:lineRule="auto"/>
        <w:jc w:val="both"/>
        <w:rPr>
          <w:rFonts w:cs="Arial"/>
          <w:color w:val="000000"/>
          <w:szCs w:val="20"/>
        </w:rPr>
      </w:pPr>
      <w:r w:rsidRPr="0004492D">
        <w:rPr>
          <w:rFonts w:cs="Arial"/>
          <w:color w:val="000000"/>
          <w:szCs w:val="20"/>
        </w:rPr>
        <w:t>Cena emisijskih kuponov na dražbah ostaja volatilna, zato je težko vnaprej natančneje oceniti višino prilivov iz prodaje emisijskih kuponov v letu 2021. Ob tem že dve leti deluje nov mehanizem za prenos emisijskih kuponov v rezervo za stabilnost trga, ki ga je vzpostavila Evropska komisija.</w:t>
      </w:r>
    </w:p>
    <w:p w14:paraId="4AFBE531" w14:textId="77777777" w:rsidR="001B5923" w:rsidRPr="0004492D" w:rsidRDefault="001B5923" w:rsidP="0004492D">
      <w:pPr>
        <w:autoSpaceDE w:val="0"/>
        <w:autoSpaceDN w:val="0"/>
        <w:adjustRightInd w:val="0"/>
        <w:spacing w:line="240" w:lineRule="auto"/>
        <w:jc w:val="both"/>
        <w:rPr>
          <w:rFonts w:cs="Arial"/>
          <w:color w:val="000000"/>
          <w:szCs w:val="20"/>
        </w:rPr>
      </w:pPr>
    </w:p>
    <w:p w14:paraId="3C947778" w14:textId="77777777" w:rsidR="001B5923" w:rsidRPr="0004492D" w:rsidRDefault="001B5923" w:rsidP="0004492D">
      <w:pPr>
        <w:autoSpaceDE w:val="0"/>
        <w:autoSpaceDN w:val="0"/>
        <w:adjustRightInd w:val="0"/>
        <w:spacing w:line="240" w:lineRule="auto"/>
        <w:jc w:val="both"/>
        <w:rPr>
          <w:rFonts w:cs="Arial"/>
          <w:color w:val="000000"/>
          <w:szCs w:val="20"/>
        </w:rPr>
      </w:pPr>
      <w:r w:rsidRPr="0004492D">
        <w:rPr>
          <w:rFonts w:cs="Arial"/>
          <w:color w:val="000000"/>
          <w:szCs w:val="20"/>
        </w:rPr>
        <w:t>V Odloku o Programu porabe sredstev Sklada za podnebne spremembe v obdobju 2021-2023 je bilo za leto 2021 ocenjeno, da bo Slovenija na dražbi ponudila 3,1 milijona emisijskih kuponov, vendar se je del teh, prav tako kot leta 2020 glede na poročilo Evropske komisije, prenesel v rezervo za stabilnost trga. Za oceno prilivov iz naslova prodaje emisijskih kuponov v letu 2021 se tako upošteva prodaja 2,454 milijona ton emisijskih kuponov in na podlagi gibanja cen iz preteklosti se ocenjuje letni priliv v višini 132,6 milijona evrov. Ob pripravi odloka o Programu porabe sredstev Sklada za podnebne spremembe v obdobju od 2021 do je bila opravljena ocena prilivov v višini 98,1 milijona evrov ob predpostavki, da bi bila cena emisijskih kuponov 37,76 evra na tono CO2. Ker pa so se cene kuponov v zadnjega pol leta bistveno povišale (povprečna cena znaša že več kot 52,6 evra na tono CO2), je prišlo do povečanja prilivov. Povprečna cena emisijskih kuponov je v novembru 2021 narasla na 65,37 evra na tono CO2 in se še povečuje.</w:t>
      </w:r>
    </w:p>
    <w:p w14:paraId="26B81B4D" w14:textId="77777777" w:rsidR="001B5923" w:rsidRPr="0004492D" w:rsidRDefault="001B5923" w:rsidP="0004492D">
      <w:pPr>
        <w:autoSpaceDE w:val="0"/>
        <w:autoSpaceDN w:val="0"/>
        <w:adjustRightInd w:val="0"/>
        <w:spacing w:line="240" w:lineRule="auto"/>
        <w:jc w:val="both"/>
        <w:rPr>
          <w:rFonts w:cs="Arial"/>
          <w:color w:val="000000"/>
          <w:szCs w:val="20"/>
        </w:rPr>
      </w:pPr>
    </w:p>
    <w:p w14:paraId="7FFC113D" w14:textId="77777777" w:rsidR="001B5923" w:rsidRPr="0004492D" w:rsidRDefault="001B5923" w:rsidP="0004492D">
      <w:pPr>
        <w:autoSpaceDE w:val="0"/>
        <w:autoSpaceDN w:val="0"/>
        <w:adjustRightInd w:val="0"/>
        <w:spacing w:line="240" w:lineRule="auto"/>
        <w:jc w:val="both"/>
        <w:rPr>
          <w:rFonts w:cs="Arial"/>
          <w:color w:val="000000"/>
          <w:szCs w:val="20"/>
        </w:rPr>
      </w:pPr>
      <w:r w:rsidRPr="0004492D">
        <w:rPr>
          <w:rFonts w:cs="Arial"/>
          <w:color w:val="000000"/>
          <w:szCs w:val="20"/>
        </w:rPr>
        <w:t>Zato se predlaga povečanje dovoljene porabe na namenskih postavkah pri Ministrstvu za okolje in prostor za dodatnih 72,6 milijona evrov. Na podlagi tega bo lahko MOP v letu 2021 prevzemal in povečeval obveznosti na namenskih proračunskih postavkah največ do skupne višine 179,4 milijona evrov.</w:t>
      </w:r>
    </w:p>
    <w:p w14:paraId="042E612D" w14:textId="77777777" w:rsidR="001B5923" w:rsidRPr="0004492D" w:rsidRDefault="001B5923" w:rsidP="0004492D">
      <w:pPr>
        <w:autoSpaceDE w:val="0"/>
        <w:autoSpaceDN w:val="0"/>
        <w:adjustRightInd w:val="0"/>
        <w:spacing w:line="240" w:lineRule="auto"/>
        <w:jc w:val="both"/>
        <w:rPr>
          <w:rFonts w:cs="Arial"/>
          <w:color w:val="000000"/>
          <w:szCs w:val="20"/>
        </w:rPr>
      </w:pPr>
    </w:p>
    <w:p w14:paraId="6C359ED6" w14:textId="0252B353" w:rsidR="00246179" w:rsidRPr="0004492D" w:rsidRDefault="001B5923"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okolje in prostor</w:t>
      </w:r>
    </w:p>
    <w:p w14:paraId="601B5EEB"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34FEBEE9" w14:textId="50EEC9A4" w:rsidR="00D45904" w:rsidRPr="0004492D" w:rsidRDefault="00D45904"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 xml:space="preserve">Za projekt podjetja </w:t>
      </w:r>
      <w:proofErr w:type="spellStart"/>
      <w:r w:rsidRPr="0004492D">
        <w:rPr>
          <w:rFonts w:cs="Arial"/>
          <w:b/>
          <w:bCs/>
          <w:color w:val="000000"/>
          <w:szCs w:val="20"/>
        </w:rPr>
        <w:t>Stilles</w:t>
      </w:r>
      <w:proofErr w:type="spellEnd"/>
      <w:r w:rsidRPr="0004492D">
        <w:rPr>
          <w:rFonts w:cs="Arial"/>
          <w:b/>
          <w:bCs/>
          <w:color w:val="000000"/>
          <w:szCs w:val="20"/>
        </w:rPr>
        <w:t xml:space="preserve"> bo Vlada RS prispevala dober milijon evrov</w:t>
      </w:r>
    </w:p>
    <w:p w14:paraId="2BEEC95C" w14:textId="77777777" w:rsidR="00D45904" w:rsidRPr="0004492D" w:rsidRDefault="00D45904" w:rsidP="0004492D">
      <w:pPr>
        <w:autoSpaceDE w:val="0"/>
        <w:autoSpaceDN w:val="0"/>
        <w:adjustRightInd w:val="0"/>
        <w:spacing w:line="240" w:lineRule="auto"/>
        <w:jc w:val="both"/>
        <w:rPr>
          <w:rFonts w:cs="Arial"/>
          <w:b/>
          <w:bCs/>
          <w:color w:val="000000"/>
          <w:szCs w:val="20"/>
        </w:rPr>
      </w:pPr>
    </w:p>
    <w:p w14:paraId="02AFAAAA" w14:textId="77777777" w:rsidR="00D45904" w:rsidRPr="0004492D" w:rsidRDefault="00D45904"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Vlada Republike Slovenije je v veljavni načrt razvojnih programov 2021–2024 Proračuna Republike Slovenije uvrstila projekt »Kompozitna modularna kombi plošča </w:t>
      </w:r>
      <w:proofErr w:type="spellStart"/>
      <w:r w:rsidRPr="0004492D">
        <w:rPr>
          <w:rFonts w:cs="Arial"/>
          <w:color w:val="000000"/>
          <w:szCs w:val="20"/>
        </w:rPr>
        <w:t>Stilles</w:t>
      </w:r>
      <w:proofErr w:type="spellEnd"/>
      <w:r w:rsidRPr="0004492D">
        <w:rPr>
          <w:rFonts w:cs="Arial"/>
          <w:color w:val="000000"/>
          <w:szCs w:val="20"/>
        </w:rPr>
        <w:t xml:space="preserve">« in mu s tem odobrila sofinanciranje upravičenih stroškov v višini 1.027.500 evrov, in sicer v skladu z Zakonom </w:t>
      </w:r>
      <w:r w:rsidRPr="0004492D">
        <w:rPr>
          <w:rFonts w:cs="Arial"/>
          <w:color w:val="000000"/>
          <w:szCs w:val="20"/>
        </w:rPr>
        <w:lastRenderedPageBreak/>
        <w:t>o spodbujanju skladnega regionalnega razvoja, saj je ocenila, da projekt bistveno prispeva k regionalnemu razvoju.</w:t>
      </w:r>
    </w:p>
    <w:p w14:paraId="2832DFE0" w14:textId="77777777" w:rsidR="00D45904" w:rsidRPr="0004492D" w:rsidRDefault="00D45904" w:rsidP="0004492D">
      <w:pPr>
        <w:autoSpaceDE w:val="0"/>
        <w:autoSpaceDN w:val="0"/>
        <w:adjustRightInd w:val="0"/>
        <w:spacing w:line="240" w:lineRule="auto"/>
        <w:jc w:val="both"/>
        <w:rPr>
          <w:rFonts w:cs="Arial"/>
          <w:color w:val="000000"/>
          <w:szCs w:val="20"/>
        </w:rPr>
      </w:pPr>
    </w:p>
    <w:p w14:paraId="42C35CFC" w14:textId="77777777" w:rsidR="00D45904" w:rsidRPr="0004492D" w:rsidRDefault="00D45904" w:rsidP="0004492D">
      <w:pPr>
        <w:autoSpaceDE w:val="0"/>
        <w:autoSpaceDN w:val="0"/>
        <w:adjustRightInd w:val="0"/>
        <w:spacing w:line="240" w:lineRule="auto"/>
        <w:jc w:val="both"/>
        <w:rPr>
          <w:rFonts w:cs="Arial"/>
          <w:color w:val="000000"/>
          <w:szCs w:val="20"/>
        </w:rPr>
      </w:pPr>
      <w:r w:rsidRPr="0004492D">
        <w:rPr>
          <w:rFonts w:cs="Arial"/>
          <w:color w:val="000000"/>
          <w:szCs w:val="20"/>
        </w:rPr>
        <w:t>Namen investicije je diferenciacija prodajnih segmentov in s tem zmanjšanje strateške odvisnosti od dejavnosti opremljanja hotelov. Z izvedbo projekta bo podjetje koristno uporabljalo odpadne materiale, ki jih generira njegova osnovna dejavnost in s tem uvedlo princip poslovanja po načelih krožnega gospodarstva. Projekt bo ustvaril najmanj 20 novih delovnih mest in pomenil osnovo za nadaljnjo rast dodatne vrednost in razvoj družbe.</w:t>
      </w:r>
    </w:p>
    <w:p w14:paraId="5BD2FA66" w14:textId="77777777" w:rsidR="00D45904" w:rsidRPr="0004492D" w:rsidRDefault="00D45904" w:rsidP="0004492D">
      <w:pPr>
        <w:autoSpaceDE w:val="0"/>
        <w:autoSpaceDN w:val="0"/>
        <w:adjustRightInd w:val="0"/>
        <w:spacing w:line="240" w:lineRule="auto"/>
        <w:jc w:val="both"/>
        <w:rPr>
          <w:rFonts w:cs="Arial"/>
          <w:color w:val="000000"/>
          <w:szCs w:val="20"/>
        </w:rPr>
      </w:pPr>
    </w:p>
    <w:p w14:paraId="47DD0680" w14:textId="77777777" w:rsidR="00D45904" w:rsidRPr="0004492D" w:rsidRDefault="00D45904"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Z razvojno gospodarskega vidika izvedba projekta omogoča možnosti za rast in razvoj družbe </w:t>
      </w:r>
      <w:proofErr w:type="spellStart"/>
      <w:r w:rsidRPr="0004492D">
        <w:rPr>
          <w:rFonts w:cs="Arial"/>
          <w:color w:val="000000"/>
          <w:szCs w:val="20"/>
        </w:rPr>
        <w:t>Stilles</w:t>
      </w:r>
      <w:proofErr w:type="spellEnd"/>
      <w:r w:rsidRPr="0004492D">
        <w:rPr>
          <w:rFonts w:cs="Arial"/>
          <w:color w:val="000000"/>
          <w:szCs w:val="20"/>
        </w:rPr>
        <w:t xml:space="preserve">, </w:t>
      </w:r>
      <w:proofErr w:type="spellStart"/>
      <w:r w:rsidRPr="0004492D">
        <w:rPr>
          <w:rFonts w:cs="Arial"/>
          <w:color w:val="000000"/>
          <w:szCs w:val="20"/>
        </w:rPr>
        <w:t>d.o.o</w:t>
      </w:r>
      <w:proofErr w:type="spellEnd"/>
      <w:r w:rsidRPr="0004492D">
        <w:rPr>
          <w:rFonts w:cs="Arial"/>
          <w:color w:val="000000"/>
          <w:szCs w:val="20"/>
        </w:rPr>
        <w:t>., ter s tem tudi njenih podizvajalcev in dobaviteljev, ki so v glavnini iz lokalnega regionalnega okolja in iz območja Slovenije. Vlagatelj se ukvarja s končnimi proizvodi, zato bo višji obseg poslovanja družbe pomenil poslovno priložnost za druge poslovne subjekte v lokalnem regionalnem okolju in celotni lesno predelovalni verigi v Sloveniji.</w:t>
      </w:r>
    </w:p>
    <w:p w14:paraId="054F487A" w14:textId="77777777" w:rsidR="00D45904" w:rsidRPr="0004492D" w:rsidRDefault="00D45904" w:rsidP="0004492D">
      <w:pPr>
        <w:autoSpaceDE w:val="0"/>
        <w:autoSpaceDN w:val="0"/>
        <w:adjustRightInd w:val="0"/>
        <w:spacing w:line="240" w:lineRule="auto"/>
        <w:jc w:val="both"/>
        <w:rPr>
          <w:rFonts w:cs="Arial"/>
          <w:color w:val="000000"/>
          <w:szCs w:val="20"/>
        </w:rPr>
      </w:pPr>
    </w:p>
    <w:p w14:paraId="4D9C19FB" w14:textId="77777777" w:rsidR="00D45904" w:rsidRPr="0004492D" w:rsidRDefault="00D45904"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Celotna investicija je vredna skoraj 5,5 milijona evrov z DDV. Država bo investicijo podprla v višini 1.027.500 evrov, kar predstavlja četrtino upravičenih stroškov. Sredstva bo zagotovilo Ministrstvo za gospodarski razvoj in tehnologijo, in sicer na proračunski postavki 534310 – Spodbujanje investicij in 160046 – Spodbujanje lesne industrije. </w:t>
      </w:r>
    </w:p>
    <w:p w14:paraId="789D8BB8" w14:textId="77777777" w:rsidR="00D45904" w:rsidRPr="0004492D" w:rsidRDefault="00D45904" w:rsidP="0004492D">
      <w:pPr>
        <w:autoSpaceDE w:val="0"/>
        <w:autoSpaceDN w:val="0"/>
        <w:adjustRightInd w:val="0"/>
        <w:spacing w:line="240" w:lineRule="auto"/>
        <w:jc w:val="both"/>
        <w:rPr>
          <w:rFonts w:cs="Arial"/>
          <w:color w:val="000000"/>
          <w:szCs w:val="20"/>
        </w:rPr>
      </w:pPr>
    </w:p>
    <w:p w14:paraId="4F06145E" w14:textId="77777777" w:rsidR="00D45904" w:rsidRPr="0004492D" w:rsidRDefault="00D45904" w:rsidP="0004492D">
      <w:pPr>
        <w:autoSpaceDE w:val="0"/>
        <w:autoSpaceDN w:val="0"/>
        <w:adjustRightInd w:val="0"/>
        <w:spacing w:line="240" w:lineRule="auto"/>
        <w:jc w:val="both"/>
        <w:rPr>
          <w:rFonts w:cs="Arial"/>
          <w:color w:val="000000"/>
          <w:szCs w:val="20"/>
        </w:rPr>
      </w:pPr>
      <w:r w:rsidRPr="0004492D">
        <w:rPr>
          <w:rFonts w:cs="Arial"/>
          <w:color w:val="000000"/>
          <w:szCs w:val="20"/>
        </w:rPr>
        <w:t>Medsebojne pravice in obveznosti bosta pogodbeni stranki določili s pogodbo o sofinanciranju.</w:t>
      </w:r>
    </w:p>
    <w:p w14:paraId="3748442C" w14:textId="77777777" w:rsidR="00D45904" w:rsidRPr="0004492D" w:rsidRDefault="00D45904" w:rsidP="0004492D">
      <w:pPr>
        <w:autoSpaceDE w:val="0"/>
        <w:autoSpaceDN w:val="0"/>
        <w:adjustRightInd w:val="0"/>
        <w:spacing w:line="240" w:lineRule="auto"/>
        <w:jc w:val="both"/>
        <w:rPr>
          <w:rFonts w:cs="Arial"/>
          <w:color w:val="000000"/>
          <w:szCs w:val="20"/>
        </w:rPr>
      </w:pPr>
    </w:p>
    <w:p w14:paraId="6AA61C45" w14:textId="523BB90F" w:rsidR="00246179" w:rsidRPr="0004492D" w:rsidRDefault="00D45904"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gospodarski razvoj in tehnologijo</w:t>
      </w:r>
    </w:p>
    <w:p w14:paraId="58374F7C" w14:textId="77777777" w:rsidR="00D45904" w:rsidRPr="0004492D" w:rsidRDefault="00D45904" w:rsidP="0004492D">
      <w:pPr>
        <w:autoSpaceDE w:val="0"/>
        <w:autoSpaceDN w:val="0"/>
        <w:adjustRightInd w:val="0"/>
        <w:spacing w:line="240" w:lineRule="auto"/>
        <w:jc w:val="both"/>
        <w:rPr>
          <w:rFonts w:cs="Arial"/>
          <w:color w:val="000000"/>
          <w:szCs w:val="20"/>
        </w:rPr>
      </w:pPr>
    </w:p>
    <w:p w14:paraId="2D8EA843" w14:textId="3EF740C5" w:rsidR="0099488B" w:rsidRPr="0004492D" w:rsidRDefault="0099488B"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sprejela poročilo o opravljenih inšpekcijskih postopkih nad porabo sredstev državnega proračuna</w:t>
      </w:r>
    </w:p>
    <w:p w14:paraId="54D9EF06" w14:textId="77777777" w:rsidR="0099488B" w:rsidRPr="0004492D" w:rsidRDefault="0099488B" w:rsidP="0004492D">
      <w:pPr>
        <w:autoSpaceDE w:val="0"/>
        <w:autoSpaceDN w:val="0"/>
        <w:adjustRightInd w:val="0"/>
        <w:spacing w:line="240" w:lineRule="auto"/>
        <w:jc w:val="both"/>
        <w:rPr>
          <w:rFonts w:cs="Arial"/>
          <w:color w:val="000000"/>
          <w:szCs w:val="20"/>
        </w:rPr>
      </w:pPr>
    </w:p>
    <w:p w14:paraId="47B3AD78" w14:textId="77777777" w:rsidR="0099488B" w:rsidRPr="0004492D" w:rsidRDefault="0099488B" w:rsidP="0004492D">
      <w:pPr>
        <w:autoSpaceDE w:val="0"/>
        <w:autoSpaceDN w:val="0"/>
        <w:adjustRightInd w:val="0"/>
        <w:spacing w:line="240" w:lineRule="auto"/>
        <w:jc w:val="both"/>
        <w:rPr>
          <w:rFonts w:cs="Arial"/>
          <w:color w:val="000000"/>
          <w:szCs w:val="20"/>
        </w:rPr>
      </w:pPr>
      <w:r w:rsidRPr="0004492D">
        <w:rPr>
          <w:rFonts w:cs="Arial"/>
          <w:color w:val="000000"/>
          <w:szCs w:val="20"/>
        </w:rPr>
        <w:t>Vlada je sprejela Poročilo Ministrstva za finance o opravljenih postopkih inšpekcijskega nadzora nad porabo sredstev državnega proračuna v obdobju od 1. januarja do 30. junija 2021.</w:t>
      </w:r>
    </w:p>
    <w:p w14:paraId="5312AAD6" w14:textId="77777777" w:rsidR="0099488B" w:rsidRPr="0004492D" w:rsidRDefault="0099488B" w:rsidP="0004492D">
      <w:pPr>
        <w:autoSpaceDE w:val="0"/>
        <w:autoSpaceDN w:val="0"/>
        <w:adjustRightInd w:val="0"/>
        <w:spacing w:line="240" w:lineRule="auto"/>
        <w:jc w:val="both"/>
        <w:rPr>
          <w:rFonts w:cs="Arial"/>
          <w:color w:val="000000"/>
          <w:szCs w:val="20"/>
        </w:rPr>
      </w:pPr>
    </w:p>
    <w:p w14:paraId="0E30B035" w14:textId="77777777" w:rsidR="0099488B" w:rsidRPr="0004492D" w:rsidRDefault="0099488B"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 skladu s 106. členom Zakona o javnih financah ministrstvo o opravljenih nadzorih, ugotovitvah in odločitvah polletno obvešča vlado in računsko sodišče, vlada pa polletno obvešča Državni zbor Republike Slovenije. </w:t>
      </w:r>
    </w:p>
    <w:p w14:paraId="7CE49A45" w14:textId="77777777" w:rsidR="0099488B" w:rsidRPr="0004492D" w:rsidRDefault="0099488B" w:rsidP="0004492D">
      <w:pPr>
        <w:autoSpaceDE w:val="0"/>
        <w:autoSpaceDN w:val="0"/>
        <w:adjustRightInd w:val="0"/>
        <w:spacing w:line="240" w:lineRule="auto"/>
        <w:jc w:val="both"/>
        <w:rPr>
          <w:rFonts w:cs="Arial"/>
          <w:color w:val="000000"/>
          <w:szCs w:val="20"/>
        </w:rPr>
      </w:pPr>
    </w:p>
    <w:p w14:paraId="68FF5208" w14:textId="77777777" w:rsidR="0099488B" w:rsidRPr="0004492D" w:rsidRDefault="0099488B"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Proračunska inšpekcija je v prvi polovici leta 2021 izvedla 319 inšpekcijskih nadzorov. Od tega je bilo izvedenih 22 inšpekcijskih nadzorov po letnem načrtu, štirje na podlagi prijav in predlogov, ter 297 po Zakonu o nalezljivih boleznih. V 22 izvedenih nadzorih je bilo skupno zajetih 1.399.094.816 evrov proračunskih sredstev in drugih finančnih sredstev vezanih na poslovanje javnih podjetij. Pri treh </w:t>
      </w:r>
      <w:proofErr w:type="spellStart"/>
      <w:r w:rsidRPr="0004492D">
        <w:rPr>
          <w:rFonts w:cs="Arial"/>
          <w:color w:val="000000"/>
          <w:szCs w:val="20"/>
        </w:rPr>
        <w:t>inšpicirancih</w:t>
      </w:r>
      <w:proofErr w:type="spellEnd"/>
      <w:r w:rsidRPr="0004492D">
        <w:rPr>
          <w:rFonts w:cs="Arial"/>
          <w:color w:val="000000"/>
          <w:szCs w:val="20"/>
        </w:rPr>
        <w:t xml:space="preserve"> je bilo skupaj ugotovljenih 11 primerov nepravilnosti in pomanjkljivosti. Za njihovo odpravo je bilo predlaganih pet ukrepov, uvedena pa sta bila tudi dva postopka o prekršku, ki sta še v teku. Od petih ukrepov, o izvedbi katerih morajo zavezanci poročati proračunski inšpekciji, so bili v tem obdobju na ustrezen način izvedeni trije, v ostalih primerih pa je bila v obravnavanem obdobju realizacija še v teku. </w:t>
      </w:r>
    </w:p>
    <w:p w14:paraId="25FAFE9C" w14:textId="77777777" w:rsidR="0099488B" w:rsidRPr="0004492D" w:rsidRDefault="0099488B" w:rsidP="0004492D">
      <w:pPr>
        <w:autoSpaceDE w:val="0"/>
        <w:autoSpaceDN w:val="0"/>
        <w:adjustRightInd w:val="0"/>
        <w:spacing w:line="240" w:lineRule="auto"/>
        <w:jc w:val="both"/>
        <w:rPr>
          <w:rFonts w:cs="Arial"/>
          <w:color w:val="000000"/>
          <w:szCs w:val="20"/>
        </w:rPr>
      </w:pPr>
    </w:p>
    <w:p w14:paraId="29066A42" w14:textId="77777777" w:rsidR="0099488B" w:rsidRPr="0004492D" w:rsidRDefault="0099488B" w:rsidP="0004492D">
      <w:pPr>
        <w:autoSpaceDE w:val="0"/>
        <w:autoSpaceDN w:val="0"/>
        <w:adjustRightInd w:val="0"/>
        <w:spacing w:line="240" w:lineRule="auto"/>
        <w:jc w:val="both"/>
        <w:rPr>
          <w:rFonts w:cs="Arial"/>
          <w:color w:val="000000"/>
          <w:szCs w:val="20"/>
        </w:rPr>
      </w:pPr>
      <w:r w:rsidRPr="0004492D">
        <w:rPr>
          <w:rFonts w:cs="Arial"/>
          <w:color w:val="000000"/>
          <w:szCs w:val="20"/>
        </w:rPr>
        <w:t>V 297 nadzorih po Zakonu o nalezljivih boleznih je bilo ugotovljenih 58 nepravilnosti in pomanjkljivosti, v glavnem povezanih z nepravilnim nošenjem zaščitnih mask. Inšpektorji so kršiteljem izrekli opozorila, na podlagi katerih so bile kršitve odpravljene.</w:t>
      </w:r>
    </w:p>
    <w:p w14:paraId="762739AB" w14:textId="77777777" w:rsidR="0099488B" w:rsidRPr="0004492D" w:rsidRDefault="0099488B" w:rsidP="0004492D">
      <w:pPr>
        <w:autoSpaceDE w:val="0"/>
        <w:autoSpaceDN w:val="0"/>
        <w:adjustRightInd w:val="0"/>
        <w:spacing w:line="240" w:lineRule="auto"/>
        <w:jc w:val="both"/>
        <w:rPr>
          <w:rFonts w:cs="Arial"/>
          <w:color w:val="000000"/>
          <w:szCs w:val="20"/>
        </w:rPr>
      </w:pPr>
    </w:p>
    <w:p w14:paraId="0197697F" w14:textId="59DC5133" w:rsidR="00246179" w:rsidRPr="0004492D" w:rsidRDefault="0099488B"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finance</w:t>
      </w:r>
    </w:p>
    <w:p w14:paraId="28B6EC3A"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1B4C415C" w14:textId="44A981EA" w:rsidR="00BB654B" w:rsidRPr="0004492D" w:rsidRDefault="00BB654B"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sprejela 41. in 42. poročilo o poroštvu Slovenije Irski, Portugalski in Helenski republiki</w:t>
      </w:r>
    </w:p>
    <w:p w14:paraId="57743818" w14:textId="77777777" w:rsidR="00BB654B" w:rsidRPr="0004492D" w:rsidRDefault="00BB654B" w:rsidP="0004492D">
      <w:pPr>
        <w:autoSpaceDE w:val="0"/>
        <w:autoSpaceDN w:val="0"/>
        <w:adjustRightInd w:val="0"/>
        <w:spacing w:line="240" w:lineRule="auto"/>
        <w:jc w:val="both"/>
        <w:rPr>
          <w:rFonts w:cs="Arial"/>
          <w:color w:val="000000"/>
          <w:szCs w:val="20"/>
        </w:rPr>
      </w:pPr>
    </w:p>
    <w:p w14:paraId="2098CA1C" w14:textId="77777777" w:rsidR="00BB654B" w:rsidRPr="0004492D" w:rsidRDefault="00BB654B" w:rsidP="0004492D">
      <w:pPr>
        <w:autoSpaceDE w:val="0"/>
        <w:autoSpaceDN w:val="0"/>
        <w:adjustRightInd w:val="0"/>
        <w:spacing w:line="240" w:lineRule="auto"/>
        <w:jc w:val="both"/>
        <w:rPr>
          <w:rFonts w:cs="Arial"/>
          <w:color w:val="000000"/>
          <w:szCs w:val="20"/>
        </w:rPr>
      </w:pPr>
      <w:r w:rsidRPr="0004492D">
        <w:rPr>
          <w:rFonts w:cs="Arial"/>
          <w:color w:val="000000"/>
          <w:szCs w:val="20"/>
        </w:rPr>
        <w:t>Vlada je sprejela 41. in 42. poročilo o poroštvu Republike Slovenije in odobreni finančni pomoči Irski, Portugalski republiki in Helenski republiki ter ga pošlje Državnemu zboru Republike Slovenije.</w:t>
      </w:r>
    </w:p>
    <w:p w14:paraId="208E6266" w14:textId="77777777" w:rsidR="00BB654B" w:rsidRPr="0004492D" w:rsidRDefault="00BB654B" w:rsidP="0004492D">
      <w:pPr>
        <w:autoSpaceDE w:val="0"/>
        <w:autoSpaceDN w:val="0"/>
        <w:adjustRightInd w:val="0"/>
        <w:spacing w:line="240" w:lineRule="auto"/>
        <w:jc w:val="both"/>
        <w:rPr>
          <w:rFonts w:cs="Arial"/>
          <w:color w:val="000000"/>
          <w:szCs w:val="20"/>
        </w:rPr>
      </w:pPr>
    </w:p>
    <w:p w14:paraId="1161AECF" w14:textId="77777777" w:rsidR="00BB654B" w:rsidRPr="0004492D" w:rsidRDefault="00BB654B"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Gre za redno poročanje Državnemu zboru o stanju poroštva, ki ga je Republika Slovenija dala za namene finančne pomoči državam članicam evra v okviru Evropskega instrumenta za finančno stabilnost, ki je bil predhodnik Evropskega mehanizma za stabilnost. Poročilo je pripravljeno na </w:t>
      </w:r>
      <w:r w:rsidRPr="0004492D">
        <w:rPr>
          <w:rFonts w:cs="Arial"/>
          <w:color w:val="000000"/>
          <w:szCs w:val="20"/>
        </w:rPr>
        <w:lastRenderedPageBreak/>
        <w:t>podlagi Zakona o poroštvu Republike Slovenije za zagotavljanje finančne stabilnosti v evro območju. Poročilo združuje poročili iz prvih dveh kvartalov leta 2021.</w:t>
      </w:r>
    </w:p>
    <w:p w14:paraId="6B7C072D" w14:textId="77777777" w:rsidR="00BB654B" w:rsidRPr="0004492D" w:rsidRDefault="00BB654B" w:rsidP="0004492D">
      <w:pPr>
        <w:autoSpaceDE w:val="0"/>
        <w:autoSpaceDN w:val="0"/>
        <w:adjustRightInd w:val="0"/>
        <w:spacing w:line="240" w:lineRule="auto"/>
        <w:jc w:val="both"/>
        <w:rPr>
          <w:rFonts w:cs="Arial"/>
          <w:color w:val="000000"/>
          <w:szCs w:val="20"/>
        </w:rPr>
      </w:pPr>
    </w:p>
    <w:p w14:paraId="102C2A3C" w14:textId="77777777" w:rsidR="00BB654B" w:rsidRPr="0004492D" w:rsidRDefault="00BB654B"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Vse države, prejemnice finančne pomoči s strani Evropskega instrumenta za finančno stabilnost so zaključile programe pomoči. Sedaj se vrši le </w:t>
      </w:r>
      <w:proofErr w:type="spellStart"/>
      <w:r w:rsidRPr="0004492D">
        <w:rPr>
          <w:rFonts w:cs="Arial"/>
          <w:color w:val="000000"/>
          <w:szCs w:val="20"/>
        </w:rPr>
        <w:t>poprogramski</w:t>
      </w:r>
      <w:proofErr w:type="spellEnd"/>
      <w:r w:rsidRPr="0004492D">
        <w:rPr>
          <w:rFonts w:cs="Arial"/>
          <w:color w:val="000000"/>
          <w:szCs w:val="20"/>
        </w:rPr>
        <w:t xml:space="preserve"> nadzor, ki bo trajal dokler 75% posojenih sredstev ne bo vrnjenih. </w:t>
      </w:r>
      <w:proofErr w:type="spellStart"/>
      <w:r w:rsidRPr="0004492D">
        <w:rPr>
          <w:rFonts w:cs="Arial"/>
          <w:color w:val="000000"/>
          <w:szCs w:val="20"/>
        </w:rPr>
        <w:t>Poprogramske</w:t>
      </w:r>
      <w:proofErr w:type="spellEnd"/>
      <w:r w:rsidRPr="0004492D">
        <w:rPr>
          <w:rFonts w:cs="Arial"/>
          <w:color w:val="000000"/>
          <w:szCs w:val="20"/>
        </w:rPr>
        <w:t xml:space="preserve"> misije Irske in Portugalske potekajo polletno, Grčija pa je v okrepljenem nadzoru, zato potekajo misije četrtletno. </w:t>
      </w:r>
    </w:p>
    <w:p w14:paraId="095CEE08" w14:textId="77777777" w:rsidR="00BB654B" w:rsidRPr="0004492D" w:rsidRDefault="00BB654B" w:rsidP="0004492D">
      <w:pPr>
        <w:autoSpaceDE w:val="0"/>
        <w:autoSpaceDN w:val="0"/>
        <w:adjustRightInd w:val="0"/>
        <w:spacing w:line="240" w:lineRule="auto"/>
        <w:jc w:val="both"/>
        <w:rPr>
          <w:rFonts w:cs="Arial"/>
          <w:color w:val="000000"/>
          <w:szCs w:val="20"/>
        </w:rPr>
      </w:pPr>
    </w:p>
    <w:p w14:paraId="4D245F27" w14:textId="77777777" w:rsidR="00BB654B" w:rsidRPr="0004492D" w:rsidRDefault="00BB654B"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Za zagotavljanje finančne pomoči je imela družba Evropskega instrumenta za finančno stabilnost na 30. junij 2021 izdanih 67 dolžniških vrednostnih papirjev v skupni višini 194,80 milijarde evrov, za katere znaša poroštvo Slovenije eno milijardo evrov (glavnica). S povečanjem deleža v posamezni izdaji na 120% oziroma do 165% (za izdaje vrednostnih papirjev po 18. oktobru 2011) pa se poroštvo Slovenije poveča na 1,6 milijarde evrov glavnice, ki ji je potrebno prišteti natečene obresti. </w:t>
      </w:r>
    </w:p>
    <w:p w14:paraId="0763487E" w14:textId="77777777" w:rsidR="00BB654B" w:rsidRPr="0004492D" w:rsidRDefault="00BB654B" w:rsidP="0004492D">
      <w:pPr>
        <w:autoSpaceDE w:val="0"/>
        <w:autoSpaceDN w:val="0"/>
        <w:adjustRightInd w:val="0"/>
        <w:spacing w:line="240" w:lineRule="auto"/>
        <w:jc w:val="both"/>
        <w:rPr>
          <w:rFonts w:cs="Arial"/>
          <w:color w:val="000000"/>
          <w:szCs w:val="20"/>
        </w:rPr>
      </w:pPr>
    </w:p>
    <w:p w14:paraId="0C9144AB" w14:textId="06E0BDC7" w:rsidR="00246179" w:rsidRPr="0004492D" w:rsidRDefault="00BB654B"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finance</w:t>
      </w:r>
    </w:p>
    <w:p w14:paraId="3C03F9B3"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2037EBE6" w14:textId="2BB89518" w:rsidR="003316D9" w:rsidRPr="0004492D" w:rsidRDefault="003316D9"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sprejela stališče glede evropske uredbe o bonitetni obravnavi globalnih sistemsko pomembnih skupin institucij</w:t>
      </w:r>
    </w:p>
    <w:p w14:paraId="1C619AD1" w14:textId="77777777" w:rsidR="003316D9" w:rsidRPr="0004492D" w:rsidRDefault="003316D9" w:rsidP="0004492D">
      <w:pPr>
        <w:autoSpaceDE w:val="0"/>
        <w:autoSpaceDN w:val="0"/>
        <w:adjustRightInd w:val="0"/>
        <w:spacing w:line="240" w:lineRule="auto"/>
        <w:jc w:val="both"/>
        <w:rPr>
          <w:rFonts w:cs="Arial"/>
          <w:b/>
          <w:bCs/>
          <w:color w:val="000000"/>
          <w:szCs w:val="20"/>
        </w:rPr>
      </w:pPr>
    </w:p>
    <w:p w14:paraId="677D099B" w14:textId="77777777" w:rsidR="003316D9" w:rsidRPr="0004492D" w:rsidRDefault="003316D9" w:rsidP="0004492D">
      <w:pPr>
        <w:autoSpaceDE w:val="0"/>
        <w:autoSpaceDN w:val="0"/>
        <w:adjustRightInd w:val="0"/>
        <w:spacing w:line="240" w:lineRule="auto"/>
        <w:jc w:val="both"/>
        <w:rPr>
          <w:rFonts w:cs="Arial"/>
          <w:color w:val="000000"/>
          <w:szCs w:val="20"/>
        </w:rPr>
      </w:pPr>
      <w:r w:rsidRPr="0004492D">
        <w:rPr>
          <w:rFonts w:cs="Arial"/>
          <w:color w:val="000000"/>
          <w:szCs w:val="20"/>
        </w:rPr>
        <w:t>Vlada je sprejela stališče, da Slovenija podpira predlog evropske uredbe glede bonitetne obravnave globalnih sistemsko pomembnih skupin institucij. Spremembe so tehnične narave in se nanašajo na reševanje bank. Cilj okvira Evropske unije za reševanje je zagotoviti, da se pokritje izgub bank in dokapitalizacija izvajata z zasebnimi sredstvi.</w:t>
      </w:r>
    </w:p>
    <w:p w14:paraId="42E67CAA" w14:textId="77777777" w:rsidR="003316D9" w:rsidRPr="0004492D" w:rsidRDefault="003316D9" w:rsidP="0004492D">
      <w:pPr>
        <w:autoSpaceDE w:val="0"/>
        <w:autoSpaceDN w:val="0"/>
        <w:adjustRightInd w:val="0"/>
        <w:spacing w:line="240" w:lineRule="auto"/>
        <w:jc w:val="both"/>
        <w:rPr>
          <w:rFonts w:cs="Arial"/>
          <w:color w:val="000000"/>
          <w:szCs w:val="20"/>
        </w:rPr>
      </w:pPr>
    </w:p>
    <w:p w14:paraId="1F495B2E" w14:textId="77777777" w:rsidR="003316D9" w:rsidRPr="0004492D" w:rsidRDefault="003316D9" w:rsidP="0004492D">
      <w:pPr>
        <w:autoSpaceDE w:val="0"/>
        <w:autoSpaceDN w:val="0"/>
        <w:adjustRightInd w:val="0"/>
        <w:spacing w:line="240" w:lineRule="auto"/>
        <w:jc w:val="both"/>
        <w:rPr>
          <w:rFonts w:cs="Arial"/>
          <w:color w:val="000000"/>
          <w:szCs w:val="20"/>
        </w:rPr>
      </w:pPr>
      <w:r w:rsidRPr="0004492D">
        <w:rPr>
          <w:rFonts w:cs="Arial"/>
          <w:color w:val="000000"/>
          <w:szCs w:val="20"/>
        </w:rPr>
        <w:t>Vlada se je v stališču opredelila do Predloga Uredbe Evropskega Parlamenta in Sveta o spremembi Uredbe (EU) št. 575/2013 in Direktive 2014/59/EU v zvezi z bonitetno obravnavo globalnih sistemsko pomembnih skupin institucij s strategijo reševanja z več vstopnimi točkami in metodologijo za posredni vpis instrumentov, primernih za izpolnjevanje minimalne zahteve glede kapitala in kvalificiranih obveznosti.</w:t>
      </w:r>
    </w:p>
    <w:p w14:paraId="5C3BA9E2" w14:textId="77777777" w:rsidR="003316D9" w:rsidRPr="0004492D" w:rsidRDefault="003316D9" w:rsidP="0004492D">
      <w:pPr>
        <w:autoSpaceDE w:val="0"/>
        <w:autoSpaceDN w:val="0"/>
        <w:adjustRightInd w:val="0"/>
        <w:spacing w:line="240" w:lineRule="auto"/>
        <w:jc w:val="both"/>
        <w:rPr>
          <w:rFonts w:cs="Arial"/>
          <w:color w:val="000000"/>
          <w:szCs w:val="20"/>
        </w:rPr>
      </w:pPr>
    </w:p>
    <w:p w14:paraId="77F12973" w14:textId="77777777" w:rsidR="003316D9" w:rsidRPr="0004492D" w:rsidRDefault="003316D9"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Evropska komisija predlaga dopolnitve Uredbe (EU) št. 575/2013 (CRR) in Direktive 2014/59/EU. Spremembe so tehnične narave in se nanašajo na reševanje bank. Cilj okvira Evropske unije za reševanje je sicer zagotoviti, da se pokritje izgub bank in dokapitalizacija izvajata z zasebnimi sredstvi, ko se njihovo finančno stanje poslabša in se jih nato začne reševati. </w:t>
      </w:r>
    </w:p>
    <w:p w14:paraId="79D0259F" w14:textId="77777777" w:rsidR="003316D9" w:rsidRPr="0004492D" w:rsidRDefault="003316D9" w:rsidP="0004492D">
      <w:pPr>
        <w:autoSpaceDE w:val="0"/>
        <w:autoSpaceDN w:val="0"/>
        <w:adjustRightInd w:val="0"/>
        <w:spacing w:line="240" w:lineRule="auto"/>
        <w:jc w:val="both"/>
        <w:rPr>
          <w:rFonts w:cs="Arial"/>
          <w:color w:val="000000"/>
          <w:szCs w:val="20"/>
        </w:rPr>
      </w:pPr>
    </w:p>
    <w:p w14:paraId="414046EA" w14:textId="77777777" w:rsidR="003316D9" w:rsidRPr="0004492D" w:rsidRDefault="003316D9" w:rsidP="0004492D">
      <w:pPr>
        <w:autoSpaceDE w:val="0"/>
        <w:autoSpaceDN w:val="0"/>
        <w:adjustRightInd w:val="0"/>
        <w:spacing w:line="240" w:lineRule="auto"/>
        <w:jc w:val="both"/>
        <w:rPr>
          <w:rFonts w:cs="Arial"/>
          <w:color w:val="000000"/>
          <w:szCs w:val="20"/>
        </w:rPr>
      </w:pPr>
      <w:r w:rsidRPr="0004492D">
        <w:rPr>
          <w:rFonts w:cs="Arial"/>
          <w:color w:val="000000"/>
          <w:szCs w:val="20"/>
        </w:rPr>
        <w:t>Slovenija podpira namen predlaganih tehničnih sprememb, s katerimi se bo omogočilo konsistentno uporabo finančne zakonodaje Evropske unije, ki je bila sprejeta leta 2019 v okviru paketa ukrepov za zmanjševanje tveganj. Predlog uvaja spremembe obstoječe zakonodaje, ki so v celoti skladne z obstoječimi določbami politike na področju bonitetnih in reševalnih zahteve za institucije. Cilj okvira Evropske unije za reševanje je namreč zagotoviti, da se pokritje izgub in dokapitalizacija bank izvajata z zasebnimi sredstvi, ko se njihovo finančno stanje poslabša in se jih nato začne reševati. Predlagane spremembe zapolnjujejo vrzeli, ki so se pojavile v praksi pri uporabi obstoječih pravil Evropske unije glede zagotavljanja rešljivosti bančnih skupin. Posledično se bo z izvajanjem predlaganih sprememb doseglo izvajanje pravil kot so bila zamišljena in tako še večjo zaščito finančne stabilnosti in prispevalo k zmanjšanju podpore davkoplačevalcev pri reševanju bank.</w:t>
      </w:r>
    </w:p>
    <w:p w14:paraId="59ED461D" w14:textId="77777777" w:rsidR="003316D9" w:rsidRPr="0004492D" w:rsidRDefault="003316D9" w:rsidP="0004492D">
      <w:pPr>
        <w:autoSpaceDE w:val="0"/>
        <w:autoSpaceDN w:val="0"/>
        <w:adjustRightInd w:val="0"/>
        <w:spacing w:line="240" w:lineRule="auto"/>
        <w:jc w:val="both"/>
        <w:rPr>
          <w:rFonts w:cs="Arial"/>
          <w:color w:val="000000"/>
          <w:szCs w:val="20"/>
        </w:rPr>
      </w:pPr>
    </w:p>
    <w:p w14:paraId="7F8F123E" w14:textId="7EA7AED5" w:rsidR="00246179" w:rsidRPr="0004492D" w:rsidRDefault="003316D9"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finance</w:t>
      </w:r>
    </w:p>
    <w:p w14:paraId="2EBBBE53"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4D714232" w14:textId="58D43E52" w:rsidR="009E71F0" w:rsidRPr="0004492D" w:rsidRDefault="009E71F0"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S</w:t>
      </w:r>
      <w:r w:rsidR="002D2E48" w:rsidRPr="0004492D">
        <w:rPr>
          <w:rFonts w:cs="Arial"/>
          <w:b/>
          <w:bCs/>
          <w:color w:val="000000"/>
          <w:szCs w:val="20"/>
        </w:rPr>
        <w:t>t</w:t>
      </w:r>
      <w:r w:rsidRPr="0004492D">
        <w:rPr>
          <w:rFonts w:cs="Arial"/>
          <w:b/>
          <w:bCs/>
          <w:color w:val="000000"/>
          <w:szCs w:val="20"/>
        </w:rPr>
        <w:t>ališče Republike Slovenije do Načrta izrednih ukrepov za zagotavljanje preskrbe s hrano in prehranske varnosti v kriznih časih</w:t>
      </w:r>
    </w:p>
    <w:p w14:paraId="0D05468B" w14:textId="77777777" w:rsidR="009E71F0" w:rsidRPr="0004492D" w:rsidRDefault="009E71F0" w:rsidP="0004492D">
      <w:pPr>
        <w:autoSpaceDE w:val="0"/>
        <w:autoSpaceDN w:val="0"/>
        <w:adjustRightInd w:val="0"/>
        <w:spacing w:line="240" w:lineRule="auto"/>
        <w:jc w:val="both"/>
        <w:rPr>
          <w:rFonts w:cs="Arial"/>
          <w:b/>
          <w:bCs/>
          <w:color w:val="000000"/>
          <w:szCs w:val="20"/>
        </w:rPr>
      </w:pPr>
    </w:p>
    <w:p w14:paraId="1E6FF5D3" w14:textId="77777777" w:rsidR="009E71F0" w:rsidRPr="0004492D" w:rsidRDefault="009E71F0"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Vlada je sprejela stališče Slovenije k Sporočilu Komisije Evropskemu parlamentu, Svetu, Evropskemu ekonomsko-socialnemu odboru in Odboru regij - Načrt izrednih ukrepov za zagotavljanje preskrbe s hrano in prehranske varnosti v kriznih časih. Slovenija sporočilo Evropske komisije podpira. </w:t>
      </w:r>
    </w:p>
    <w:p w14:paraId="48366363" w14:textId="77777777" w:rsidR="009E71F0" w:rsidRPr="0004492D" w:rsidRDefault="009E71F0" w:rsidP="0004492D">
      <w:pPr>
        <w:autoSpaceDE w:val="0"/>
        <w:autoSpaceDN w:val="0"/>
        <w:adjustRightInd w:val="0"/>
        <w:spacing w:line="240" w:lineRule="auto"/>
        <w:jc w:val="both"/>
        <w:rPr>
          <w:rFonts w:cs="Arial"/>
          <w:color w:val="000000"/>
          <w:szCs w:val="20"/>
        </w:rPr>
      </w:pPr>
    </w:p>
    <w:p w14:paraId="698FAE98" w14:textId="671294A5" w:rsidR="009E71F0" w:rsidRPr="0004492D" w:rsidRDefault="009E71F0"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Kljub odpornosti prehranskega sistema EU v času pandemije covid-19 in ob pomoči skupne kmetijske politike in skupne ribiške politike so nekateri izzivi osvetlili vrsto težav, ki bi se lahko </w:t>
      </w:r>
      <w:r w:rsidRPr="0004492D">
        <w:rPr>
          <w:rFonts w:cs="Arial"/>
          <w:color w:val="000000"/>
          <w:szCs w:val="20"/>
        </w:rPr>
        <w:lastRenderedPageBreak/>
        <w:t xml:space="preserve">pojavile v prihodnosti. Zato je </w:t>
      </w:r>
      <w:r w:rsidR="00083EB7">
        <w:rPr>
          <w:rFonts w:cs="Arial"/>
          <w:color w:val="000000"/>
          <w:szCs w:val="20"/>
        </w:rPr>
        <w:t>p</w:t>
      </w:r>
      <w:r w:rsidRPr="0004492D">
        <w:rPr>
          <w:rFonts w:cs="Arial"/>
          <w:color w:val="000000"/>
          <w:szCs w:val="20"/>
        </w:rPr>
        <w:t xml:space="preserve">otrebno izboljšati pripravljenost celotne EU na podobne krizne situacije. Ob pojavi pandemije covid-19 so se namreč v preskrbi z hrano pojavile pomanjkljivosti predvsem na področju logistike, maloprodaje, predelave, odkupa, itd. Zato je maja 2021 Evropska komisija v strategiji „od vil do vilic“ napovedala pripravo načrta izrednih ukrepov. </w:t>
      </w:r>
    </w:p>
    <w:p w14:paraId="4829F10F" w14:textId="77777777" w:rsidR="009E71F0" w:rsidRPr="0004492D" w:rsidRDefault="009E71F0" w:rsidP="0004492D">
      <w:pPr>
        <w:autoSpaceDE w:val="0"/>
        <w:autoSpaceDN w:val="0"/>
        <w:adjustRightInd w:val="0"/>
        <w:spacing w:line="240" w:lineRule="auto"/>
        <w:jc w:val="both"/>
        <w:rPr>
          <w:rFonts w:cs="Arial"/>
          <w:color w:val="000000"/>
          <w:szCs w:val="20"/>
        </w:rPr>
      </w:pPr>
    </w:p>
    <w:p w14:paraId="0C119F40" w14:textId="1DCAD654" w:rsidR="009E71F0" w:rsidRPr="0004492D" w:rsidRDefault="009E71F0" w:rsidP="0004492D">
      <w:pPr>
        <w:autoSpaceDE w:val="0"/>
        <w:autoSpaceDN w:val="0"/>
        <w:adjustRightInd w:val="0"/>
        <w:spacing w:line="240" w:lineRule="auto"/>
        <w:jc w:val="both"/>
        <w:rPr>
          <w:rFonts w:cs="Arial"/>
          <w:color w:val="000000"/>
          <w:szCs w:val="20"/>
        </w:rPr>
      </w:pPr>
      <w:r w:rsidRPr="0004492D">
        <w:rPr>
          <w:rFonts w:cs="Arial"/>
          <w:color w:val="000000"/>
          <w:szCs w:val="20"/>
        </w:rPr>
        <w:t>Evropska komisija je Sporočilo Komisije "Načrt izrednih ukrepov za zagotavljanje preskrbe s hrano in prehranske varnosti v kriznih časih" objavila 12. 11. 2021. Z načrtom je opredelila ukrepe EU za odpravo pomanjkljivosti in zagot</w:t>
      </w:r>
      <w:r w:rsidR="00083EB7">
        <w:rPr>
          <w:rFonts w:cs="Arial"/>
          <w:color w:val="000000"/>
          <w:szCs w:val="20"/>
        </w:rPr>
        <w:t>a</w:t>
      </w:r>
      <w:r w:rsidRPr="0004492D">
        <w:rPr>
          <w:rFonts w:cs="Arial"/>
          <w:color w:val="000000"/>
          <w:szCs w:val="20"/>
        </w:rPr>
        <w:t>vljanje boljšega odziva na prihodnje krize. Načrt bi se aktiviral v primeru krize, ki bi vplivala na celoten prehranski sistem ali njegov del in ogrožala prehransko varnost v EU. Cilj načrta je torej neprekinjeno zagotavljati zadostno in raznoliko oskrbo državljanov z varno, hranljivo, cenovno dostopno in trajnostno hrano. Pri tem so vključeni trije generalni direktorati Evropske komisije – za kmetijstvo in razvoj podeželja, pomorske zadeve in ribištvo ter zdravje in varnost hrane.</w:t>
      </w:r>
    </w:p>
    <w:p w14:paraId="1B1702B7" w14:textId="77777777" w:rsidR="009E71F0" w:rsidRPr="0004492D" w:rsidRDefault="009E71F0" w:rsidP="0004492D">
      <w:pPr>
        <w:autoSpaceDE w:val="0"/>
        <w:autoSpaceDN w:val="0"/>
        <w:adjustRightInd w:val="0"/>
        <w:spacing w:line="240" w:lineRule="auto"/>
        <w:jc w:val="both"/>
        <w:rPr>
          <w:rFonts w:cs="Arial"/>
          <w:color w:val="000000"/>
          <w:szCs w:val="20"/>
        </w:rPr>
      </w:pPr>
    </w:p>
    <w:p w14:paraId="5CCFDD40" w14:textId="77777777" w:rsidR="009E71F0" w:rsidRPr="0004492D" w:rsidRDefault="009E71F0"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Komisija želi dejavno izboljšati krizno upravljanje v EU, vključno s pripravljenostjo. Načrtovanje izrednih razmer zahteva opredelitev postopkov za usklajevanje, sodelovanje in izmenjavo informacij med ključnimi akterji. Zato je predlagala naslednje aktivnosti: </w:t>
      </w:r>
    </w:p>
    <w:p w14:paraId="2D67D7FD" w14:textId="77777777" w:rsidR="009E71F0" w:rsidRPr="0004492D" w:rsidRDefault="009E71F0" w:rsidP="0004492D">
      <w:pPr>
        <w:autoSpaceDE w:val="0"/>
        <w:autoSpaceDN w:val="0"/>
        <w:adjustRightInd w:val="0"/>
        <w:spacing w:line="240" w:lineRule="auto"/>
        <w:jc w:val="both"/>
        <w:rPr>
          <w:rFonts w:cs="Arial"/>
          <w:color w:val="000000"/>
          <w:szCs w:val="20"/>
        </w:rPr>
      </w:pPr>
    </w:p>
    <w:p w14:paraId="03D5C26E" w14:textId="4C0FB71C" w:rsidR="009E71F0" w:rsidRPr="0004492D" w:rsidRDefault="009E71F0" w:rsidP="0004492D">
      <w:pPr>
        <w:pStyle w:val="Odstavekseznama"/>
        <w:numPr>
          <w:ilvl w:val="0"/>
          <w:numId w:val="41"/>
        </w:numPr>
        <w:autoSpaceDE w:val="0"/>
        <w:autoSpaceDN w:val="0"/>
        <w:adjustRightInd w:val="0"/>
        <w:spacing w:line="240" w:lineRule="auto"/>
        <w:jc w:val="both"/>
        <w:rPr>
          <w:rFonts w:cs="Arial"/>
          <w:color w:val="000000"/>
          <w:szCs w:val="20"/>
        </w:rPr>
      </w:pPr>
      <w:r w:rsidRPr="0004492D">
        <w:rPr>
          <w:rFonts w:cs="Arial"/>
          <w:color w:val="000000"/>
          <w:szCs w:val="20"/>
        </w:rPr>
        <w:t>drugo četrtletje 2022: Vzpostavitev stalnega evropskega mehanizma za pripravljenost in odzivanje na krize na področju prehranske varnosti, vključno z namensko strokovno skupino, v kateri bodo sodelovali javni organi držav članic in tretjih držav ter deležniki, in pripraviti njegov poslovnik. Hkrati je Komisija mnenja, da delovanje mehanizma, ne bo podvojilo drugih obstoječih struktur za pripravljenost ali odzivanje, brez poseganja v npr. strateške rezerve (blagovne), ki jih imajo nekatere države članice.</w:t>
      </w:r>
    </w:p>
    <w:p w14:paraId="3A90AE4F" w14:textId="514FB156" w:rsidR="009E71F0" w:rsidRPr="0004492D" w:rsidRDefault="009E71F0" w:rsidP="0004492D">
      <w:pPr>
        <w:pStyle w:val="Odstavekseznama"/>
        <w:numPr>
          <w:ilvl w:val="0"/>
          <w:numId w:val="41"/>
        </w:numPr>
        <w:autoSpaceDE w:val="0"/>
        <w:autoSpaceDN w:val="0"/>
        <w:adjustRightInd w:val="0"/>
        <w:spacing w:line="240" w:lineRule="auto"/>
        <w:jc w:val="both"/>
        <w:rPr>
          <w:rFonts w:cs="Arial"/>
          <w:color w:val="000000"/>
          <w:szCs w:val="20"/>
        </w:rPr>
      </w:pPr>
      <w:r w:rsidRPr="0004492D">
        <w:rPr>
          <w:rFonts w:cs="Arial"/>
          <w:color w:val="000000"/>
          <w:szCs w:val="20"/>
        </w:rPr>
        <w:t>četrto četrtletje 2022: Ustanovitev mreže korespondentov iz ustreznih organizacij zasebnega sektorja.</w:t>
      </w:r>
    </w:p>
    <w:p w14:paraId="5B7BD6F4" w14:textId="3EB89CF7" w:rsidR="009E71F0" w:rsidRPr="0004492D" w:rsidRDefault="009E71F0" w:rsidP="0004492D">
      <w:pPr>
        <w:pStyle w:val="Odstavekseznama"/>
        <w:numPr>
          <w:ilvl w:val="0"/>
          <w:numId w:val="41"/>
        </w:numPr>
        <w:autoSpaceDE w:val="0"/>
        <w:autoSpaceDN w:val="0"/>
        <w:adjustRightInd w:val="0"/>
        <w:spacing w:line="240" w:lineRule="auto"/>
        <w:jc w:val="both"/>
        <w:rPr>
          <w:rFonts w:cs="Arial"/>
          <w:color w:val="000000"/>
          <w:szCs w:val="20"/>
        </w:rPr>
      </w:pPr>
      <w:r w:rsidRPr="0004492D">
        <w:rPr>
          <w:rFonts w:cs="Arial"/>
          <w:color w:val="000000"/>
          <w:szCs w:val="20"/>
        </w:rPr>
        <w:t>letno od konca leta 2022: Redno poročanje o stanju pripravljenosti in dejavnostih strokovne skupine drugim institucijam EU in splošni javnosti.</w:t>
      </w:r>
    </w:p>
    <w:p w14:paraId="38F228B5" w14:textId="380DC9B6" w:rsidR="009E71F0" w:rsidRPr="0004492D" w:rsidRDefault="009E71F0" w:rsidP="0004492D">
      <w:pPr>
        <w:pStyle w:val="Odstavekseznama"/>
        <w:numPr>
          <w:ilvl w:val="0"/>
          <w:numId w:val="41"/>
        </w:numPr>
        <w:autoSpaceDE w:val="0"/>
        <w:autoSpaceDN w:val="0"/>
        <w:adjustRightInd w:val="0"/>
        <w:spacing w:line="240" w:lineRule="auto"/>
        <w:jc w:val="both"/>
        <w:rPr>
          <w:rFonts w:cs="Arial"/>
          <w:color w:val="000000"/>
          <w:szCs w:val="20"/>
        </w:rPr>
      </w:pPr>
      <w:r w:rsidRPr="0004492D">
        <w:rPr>
          <w:rFonts w:cs="Arial"/>
          <w:color w:val="000000"/>
          <w:szCs w:val="20"/>
        </w:rPr>
        <w:t>vsaj letno od drugega četrtletja 2022: Sklicati strokovno skupino redno in ad hoc v primeru krize, ki bi ogrožala preskrbo s hrano in prehransko varnost v EU.</w:t>
      </w:r>
    </w:p>
    <w:p w14:paraId="3D1067F8" w14:textId="5F070441" w:rsidR="009E71F0" w:rsidRPr="0004492D" w:rsidRDefault="009E71F0" w:rsidP="0004492D">
      <w:pPr>
        <w:pStyle w:val="Odstavekseznama"/>
        <w:numPr>
          <w:ilvl w:val="0"/>
          <w:numId w:val="41"/>
        </w:numPr>
        <w:autoSpaceDE w:val="0"/>
        <w:autoSpaceDN w:val="0"/>
        <w:adjustRightInd w:val="0"/>
        <w:spacing w:line="240" w:lineRule="auto"/>
        <w:jc w:val="both"/>
        <w:rPr>
          <w:rFonts w:cs="Arial"/>
          <w:color w:val="000000"/>
          <w:szCs w:val="20"/>
        </w:rPr>
      </w:pPr>
      <w:r w:rsidRPr="0004492D">
        <w:rPr>
          <w:rFonts w:cs="Arial"/>
          <w:color w:val="000000"/>
          <w:szCs w:val="20"/>
        </w:rPr>
        <w:t>četrto četrtletje 2022: Vzpostavitev ustrezne digitalne platforme, ki bo podpirala evropski mehanizem za pripravljenost in odzivanje na krize na področju prehranske varnosti pri izmenjavi informacij.</w:t>
      </w:r>
    </w:p>
    <w:p w14:paraId="3971621F" w14:textId="4A44E8C1" w:rsidR="009E71F0" w:rsidRPr="0004492D" w:rsidRDefault="009E71F0" w:rsidP="0004492D">
      <w:pPr>
        <w:pStyle w:val="Odstavekseznama"/>
        <w:numPr>
          <w:ilvl w:val="0"/>
          <w:numId w:val="41"/>
        </w:numPr>
        <w:autoSpaceDE w:val="0"/>
        <w:autoSpaceDN w:val="0"/>
        <w:adjustRightInd w:val="0"/>
        <w:spacing w:line="240" w:lineRule="auto"/>
        <w:jc w:val="both"/>
        <w:rPr>
          <w:rFonts w:cs="Arial"/>
          <w:color w:val="000000"/>
          <w:szCs w:val="20"/>
        </w:rPr>
      </w:pPr>
      <w:r w:rsidRPr="0004492D">
        <w:rPr>
          <w:rFonts w:cs="Arial"/>
          <w:color w:val="000000"/>
          <w:szCs w:val="20"/>
        </w:rPr>
        <w:t>četrto četrtletje 2023: Evidentiranje tveganja in ranljivosti verige preskrbe s hrano EU in njenih kritičnih infrastruktur, vključno s strukturnimi vprašanji, med drugim z namensko študijo.</w:t>
      </w:r>
    </w:p>
    <w:p w14:paraId="4DCE0E9C" w14:textId="3E595599" w:rsidR="009E71F0" w:rsidRPr="0004492D" w:rsidRDefault="009E71F0" w:rsidP="0004492D">
      <w:pPr>
        <w:pStyle w:val="Odstavekseznama"/>
        <w:numPr>
          <w:ilvl w:val="0"/>
          <w:numId w:val="41"/>
        </w:numPr>
        <w:autoSpaceDE w:val="0"/>
        <w:autoSpaceDN w:val="0"/>
        <w:adjustRightInd w:val="0"/>
        <w:spacing w:line="240" w:lineRule="auto"/>
        <w:jc w:val="both"/>
        <w:rPr>
          <w:rFonts w:cs="Arial"/>
          <w:color w:val="000000"/>
          <w:szCs w:val="20"/>
        </w:rPr>
      </w:pPr>
      <w:r w:rsidRPr="0004492D">
        <w:rPr>
          <w:rFonts w:cs="Arial"/>
          <w:color w:val="000000"/>
          <w:szCs w:val="20"/>
        </w:rPr>
        <w:t>četrto četrtletje 2022: Priprava posebne preglednice za spremljanje preskrbe s hrano in prehranske varnosti.</w:t>
      </w:r>
    </w:p>
    <w:p w14:paraId="75135E38" w14:textId="5A656335" w:rsidR="009E71F0" w:rsidRPr="0004492D" w:rsidRDefault="009E71F0" w:rsidP="0004492D">
      <w:pPr>
        <w:pStyle w:val="Odstavekseznama"/>
        <w:numPr>
          <w:ilvl w:val="0"/>
          <w:numId w:val="41"/>
        </w:numPr>
        <w:autoSpaceDE w:val="0"/>
        <w:autoSpaceDN w:val="0"/>
        <w:adjustRightInd w:val="0"/>
        <w:spacing w:line="240" w:lineRule="auto"/>
        <w:jc w:val="both"/>
        <w:rPr>
          <w:rFonts w:cs="Arial"/>
          <w:color w:val="000000"/>
          <w:szCs w:val="20"/>
        </w:rPr>
      </w:pPr>
      <w:r w:rsidRPr="0004492D">
        <w:rPr>
          <w:rFonts w:cs="Arial"/>
          <w:color w:val="000000"/>
          <w:szCs w:val="20"/>
        </w:rPr>
        <w:t>četrto četrtletje 2024: Izvedba študije o vlogi informacijskih tehnologij za izboljšanje preglednosti trga, zlasti v kriznih časih.</w:t>
      </w:r>
    </w:p>
    <w:p w14:paraId="03128B99" w14:textId="12238D03" w:rsidR="009E71F0" w:rsidRPr="0004492D" w:rsidRDefault="009E71F0" w:rsidP="0004492D">
      <w:pPr>
        <w:pStyle w:val="Odstavekseznama"/>
        <w:numPr>
          <w:ilvl w:val="0"/>
          <w:numId w:val="41"/>
        </w:numPr>
        <w:autoSpaceDE w:val="0"/>
        <w:autoSpaceDN w:val="0"/>
        <w:adjustRightInd w:val="0"/>
        <w:spacing w:line="240" w:lineRule="auto"/>
        <w:jc w:val="both"/>
        <w:rPr>
          <w:rFonts w:cs="Arial"/>
          <w:color w:val="000000"/>
          <w:szCs w:val="20"/>
        </w:rPr>
      </w:pPr>
      <w:r w:rsidRPr="0004492D">
        <w:rPr>
          <w:rFonts w:cs="Arial"/>
          <w:color w:val="000000"/>
          <w:szCs w:val="20"/>
        </w:rPr>
        <w:t>Priprava priporočil strokovne skupine (Komisija, države članice, deležniki): o načinih za povečanje raznolikosti virov preskrbe med krajšimi in daljšimi verigami preskrbe s hrano (drugo četrtletje 2023), o smernicah za krizno komuniciranje o preskrbi s hrano in prehranski varnosti (drugo četrtletje 2023), in o načinih obravnave ali blaženja tveganj in ranljivosti, vključno s strukturnimi vprašanji, ki ogrožajo verige preskrbe s hrano (drugo četrtletje 2024).</w:t>
      </w:r>
    </w:p>
    <w:p w14:paraId="79822CCB" w14:textId="77777777" w:rsidR="009E71F0" w:rsidRPr="0004492D" w:rsidRDefault="009E71F0" w:rsidP="0004492D">
      <w:pPr>
        <w:autoSpaceDE w:val="0"/>
        <w:autoSpaceDN w:val="0"/>
        <w:adjustRightInd w:val="0"/>
        <w:spacing w:line="240" w:lineRule="auto"/>
        <w:jc w:val="both"/>
        <w:rPr>
          <w:rFonts w:cs="Arial"/>
          <w:color w:val="000000"/>
          <w:szCs w:val="20"/>
        </w:rPr>
      </w:pPr>
    </w:p>
    <w:p w14:paraId="11FD5B24" w14:textId="77777777" w:rsidR="009E71F0" w:rsidRPr="0004492D" w:rsidRDefault="009E71F0" w:rsidP="0004492D">
      <w:pPr>
        <w:autoSpaceDE w:val="0"/>
        <w:autoSpaceDN w:val="0"/>
        <w:adjustRightInd w:val="0"/>
        <w:spacing w:line="240" w:lineRule="auto"/>
        <w:jc w:val="both"/>
        <w:rPr>
          <w:rFonts w:cs="Arial"/>
          <w:color w:val="000000"/>
          <w:szCs w:val="20"/>
        </w:rPr>
      </w:pPr>
      <w:r w:rsidRPr="0004492D">
        <w:rPr>
          <w:rFonts w:cs="Arial"/>
          <w:color w:val="000000"/>
          <w:szCs w:val="20"/>
        </w:rPr>
        <w:t>Odpornost in okrevanje EU ter strateško avtonomna EU sta tudi prednostni nalogi predsedovanja Slovenije Svetu EU, ki se izteka 31. 12. 2021. Na področju kmetijstva si je slovensko  predsedstva tako zadalo tudi premik k obravnavi kmetijstva kot ključne in strateške dejavnosti za zagotavljanje zanesljive, zadostne, trajnostne in odporne preskrbe s hrano. S tem namenom so bili na  decembrskem zasedanju Sveta za kmetijstvo in ribištvo (12. – 14. 12. 2021) sprejeti sklepi Sveta o Načrtu izrednih ukrepov za zagotavljanje preskrbe s hrano in prehranske varnosti v kriznih časih.</w:t>
      </w:r>
    </w:p>
    <w:p w14:paraId="3F9E3424" w14:textId="77777777" w:rsidR="009E71F0" w:rsidRPr="0004492D" w:rsidRDefault="009E71F0" w:rsidP="0004492D">
      <w:pPr>
        <w:autoSpaceDE w:val="0"/>
        <w:autoSpaceDN w:val="0"/>
        <w:adjustRightInd w:val="0"/>
        <w:spacing w:line="240" w:lineRule="auto"/>
        <w:jc w:val="both"/>
        <w:rPr>
          <w:rFonts w:cs="Arial"/>
          <w:color w:val="000000"/>
          <w:szCs w:val="20"/>
        </w:rPr>
      </w:pPr>
    </w:p>
    <w:p w14:paraId="73813BE8" w14:textId="33432E88" w:rsidR="00246179" w:rsidRPr="0004492D" w:rsidRDefault="009E71F0"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kmetijstvo, gozdarstvo in prehrano</w:t>
      </w:r>
    </w:p>
    <w:p w14:paraId="3FE4379B" w14:textId="098D1C3A" w:rsidR="00246179" w:rsidRDefault="00246179" w:rsidP="0004492D">
      <w:pPr>
        <w:autoSpaceDE w:val="0"/>
        <w:autoSpaceDN w:val="0"/>
        <w:adjustRightInd w:val="0"/>
        <w:spacing w:line="240" w:lineRule="auto"/>
        <w:jc w:val="both"/>
        <w:rPr>
          <w:rFonts w:cs="Arial"/>
          <w:color w:val="000000"/>
          <w:szCs w:val="20"/>
        </w:rPr>
      </w:pPr>
    </w:p>
    <w:p w14:paraId="05808A08" w14:textId="2F3C07C9" w:rsidR="00083EB7" w:rsidRDefault="00083EB7" w:rsidP="0004492D">
      <w:pPr>
        <w:autoSpaceDE w:val="0"/>
        <w:autoSpaceDN w:val="0"/>
        <w:adjustRightInd w:val="0"/>
        <w:spacing w:line="240" w:lineRule="auto"/>
        <w:jc w:val="both"/>
        <w:rPr>
          <w:rFonts w:cs="Arial"/>
          <w:color w:val="000000"/>
          <w:szCs w:val="20"/>
        </w:rPr>
      </w:pPr>
    </w:p>
    <w:p w14:paraId="2D036A4F" w14:textId="77777777" w:rsidR="00083EB7" w:rsidRPr="0004492D" w:rsidRDefault="00083EB7" w:rsidP="0004492D">
      <w:pPr>
        <w:autoSpaceDE w:val="0"/>
        <w:autoSpaceDN w:val="0"/>
        <w:adjustRightInd w:val="0"/>
        <w:spacing w:line="240" w:lineRule="auto"/>
        <w:jc w:val="both"/>
        <w:rPr>
          <w:rFonts w:cs="Arial"/>
          <w:color w:val="000000"/>
          <w:szCs w:val="20"/>
        </w:rPr>
      </w:pPr>
    </w:p>
    <w:p w14:paraId="39DD0CDB" w14:textId="12C5C305" w:rsidR="00257488" w:rsidRPr="0004492D" w:rsidRDefault="00257488"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lastRenderedPageBreak/>
        <w:t xml:space="preserve">Izgradnja cestnega mostu pri stalnem mejnem prehodu za mednarodni promet potnikov in blaga v cestnem prometu Dragonja - </w:t>
      </w:r>
      <w:proofErr w:type="spellStart"/>
      <w:r w:rsidRPr="0004492D">
        <w:rPr>
          <w:rFonts w:cs="Arial"/>
          <w:b/>
          <w:bCs/>
          <w:color w:val="000000"/>
          <w:szCs w:val="20"/>
        </w:rPr>
        <w:t>Kaštel</w:t>
      </w:r>
      <w:proofErr w:type="spellEnd"/>
      <w:r w:rsidRPr="0004492D">
        <w:rPr>
          <w:rFonts w:cs="Arial"/>
          <w:b/>
          <w:bCs/>
          <w:color w:val="000000"/>
          <w:szCs w:val="20"/>
        </w:rPr>
        <w:t xml:space="preserve"> </w:t>
      </w:r>
    </w:p>
    <w:p w14:paraId="7042F6C3" w14:textId="77777777" w:rsidR="00257488" w:rsidRPr="0004492D" w:rsidRDefault="00257488" w:rsidP="0004492D">
      <w:pPr>
        <w:autoSpaceDE w:val="0"/>
        <w:autoSpaceDN w:val="0"/>
        <w:adjustRightInd w:val="0"/>
        <w:spacing w:line="240" w:lineRule="auto"/>
        <w:jc w:val="both"/>
        <w:rPr>
          <w:rFonts w:cs="Arial"/>
          <w:b/>
          <w:bCs/>
          <w:color w:val="000000"/>
          <w:szCs w:val="20"/>
        </w:rPr>
      </w:pPr>
    </w:p>
    <w:p w14:paraId="54018270" w14:textId="77777777" w:rsidR="00257488" w:rsidRPr="0004492D" w:rsidRDefault="00257488"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Vlada Republike Slovenije je izdala Uredbo o ratifikaciji Sporazuma med Vlado Republike Slovenije in Vlado Republike Hrvaške o izgradnji cestnega mostu pri stalnem mejnem prehodu za mednarodni promet potnikov in blaga v cestnem prometu Dragonja (Slovenija) in </w:t>
      </w:r>
      <w:proofErr w:type="spellStart"/>
      <w:r w:rsidRPr="0004492D">
        <w:rPr>
          <w:rFonts w:cs="Arial"/>
          <w:color w:val="000000"/>
          <w:szCs w:val="20"/>
        </w:rPr>
        <w:t>Kaštel</w:t>
      </w:r>
      <w:proofErr w:type="spellEnd"/>
      <w:r w:rsidRPr="0004492D">
        <w:rPr>
          <w:rFonts w:cs="Arial"/>
          <w:color w:val="000000"/>
          <w:szCs w:val="20"/>
        </w:rPr>
        <w:t xml:space="preserve"> (Hrvaška). Sporazum je bil sklenjen 16. aprila 2021 v Bujah. </w:t>
      </w:r>
    </w:p>
    <w:p w14:paraId="58F5D63B" w14:textId="77777777" w:rsidR="00257488" w:rsidRPr="0004492D" w:rsidRDefault="00257488" w:rsidP="0004492D">
      <w:pPr>
        <w:autoSpaceDE w:val="0"/>
        <w:autoSpaceDN w:val="0"/>
        <w:adjustRightInd w:val="0"/>
        <w:spacing w:line="240" w:lineRule="auto"/>
        <w:jc w:val="both"/>
        <w:rPr>
          <w:rFonts w:cs="Arial"/>
          <w:color w:val="000000"/>
          <w:szCs w:val="20"/>
        </w:rPr>
      </w:pPr>
    </w:p>
    <w:p w14:paraId="6A288393" w14:textId="77777777" w:rsidR="00257488" w:rsidRPr="0004492D" w:rsidRDefault="00257488"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 okviru večkratnih dvostranskih srečanj s predstavniki hrvaških pristojnih institucij je bilo ugotovljeno, da obstoječi most pri mejnem prehodu za mednarodni promet potnikov in blaga v cestnem prometu Dragonja - </w:t>
      </w:r>
      <w:proofErr w:type="spellStart"/>
      <w:r w:rsidRPr="0004492D">
        <w:rPr>
          <w:rFonts w:cs="Arial"/>
          <w:color w:val="000000"/>
          <w:szCs w:val="20"/>
        </w:rPr>
        <w:t>Kaštel</w:t>
      </w:r>
      <w:proofErr w:type="spellEnd"/>
      <w:r w:rsidRPr="0004492D">
        <w:rPr>
          <w:rFonts w:cs="Arial"/>
          <w:color w:val="000000"/>
          <w:szCs w:val="20"/>
        </w:rPr>
        <w:t xml:space="preserve"> ne ustreza več tehničnim in infrastrukturnim pogojem, ki so potrebni za varen promet in prehod meje. Z namenom, da se omogoči varnejši in hitrejši prehod državne meje potnikom, še posebej prebivalcem obmejnih območij, je bila sprejeta odločitev, da je treba zagotoviti varno uporabo navedenega premostitvenega objekta.</w:t>
      </w:r>
    </w:p>
    <w:p w14:paraId="2F4C9F0E" w14:textId="77777777" w:rsidR="00257488" w:rsidRPr="0004492D" w:rsidRDefault="00257488" w:rsidP="0004492D">
      <w:pPr>
        <w:autoSpaceDE w:val="0"/>
        <w:autoSpaceDN w:val="0"/>
        <w:adjustRightInd w:val="0"/>
        <w:spacing w:line="240" w:lineRule="auto"/>
        <w:jc w:val="both"/>
        <w:rPr>
          <w:rFonts w:cs="Arial"/>
          <w:color w:val="000000"/>
          <w:szCs w:val="20"/>
        </w:rPr>
      </w:pPr>
    </w:p>
    <w:p w14:paraId="313606C2" w14:textId="297EB135" w:rsidR="00246179" w:rsidRPr="0004492D" w:rsidRDefault="00257488"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zunanje zadeve</w:t>
      </w:r>
    </w:p>
    <w:p w14:paraId="00AE04F7"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38F0E669" w14:textId="00EC8A39" w:rsidR="00EF252A" w:rsidRPr="0004492D" w:rsidRDefault="00EF252A"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se je seznanila z informacijo podpisu dopolnila k dogovoru pri projektu nadzora JRKB v okviru PESCO</w:t>
      </w:r>
    </w:p>
    <w:p w14:paraId="0CC41215" w14:textId="77777777" w:rsidR="00EF252A" w:rsidRPr="0004492D" w:rsidRDefault="00EF252A" w:rsidP="0004492D">
      <w:pPr>
        <w:autoSpaceDE w:val="0"/>
        <w:autoSpaceDN w:val="0"/>
        <w:adjustRightInd w:val="0"/>
        <w:spacing w:line="240" w:lineRule="auto"/>
        <w:jc w:val="both"/>
        <w:rPr>
          <w:rFonts w:cs="Arial"/>
          <w:color w:val="000000"/>
          <w:szCs w:val="20"/>
        </w:rPr>
      </w:pPr>
    </w:p>
    <w:p w14:paraId="58F65697" w14:textId="77777777" w:rsidR="00EF252A" w:rsidRPr="0004492D" w:rsidRDefault="00EF252A"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Ministrstvo za obrambo RS sodeluje v dveh projektih s področja  jedrskega, radiološkega, kemičnega in biološkega (JRKB) nadzora v okviru Stalnega strukturnega sodelovanja na področju varnosti in obrambe Evropske unije (PESCO).  Glavni namen obeh projektov je vzpostavitev tehnološkega demonstratorja kot prototipa obrambne zmogljivosti za prepoznavanje JRKB groženj v realnem času. </w:t>
      </w:r>
    </w:p>
    <w:p w14:paraId="7D64CA13" w14:textId="77777777" w:rsidR="00EF252A" w:rsidRPr="0004492D" w:rsidRDefault="00EF252A" w:rsidP="0004492D">
      <w:pPr>
        <w:autoSpaceDE w:val="0"/>
        <w:autoSpaceDN w:val="0"/>
        <w:adjustRightInd w:val="0"/>
        <w:spacing w:line="240" w:lineRule="auto"/>
        <w:jc w:val="both"/>
        <w:rPr>
          <w:rFonts w:cs="Arial"/>
          <w:color w:val="000000"/>
          <w:szCs w:val="20"/>
        </w:rPr>
      </w:pPr>
    </w:p>
    <w:p w14:paraId="1EA93856" w14:textId="77777777" w:rsidR="00EF252A" w:rsidRPr="0004492D" w:rsidRDefault="00EF252A"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Dopolnilo št. 2 k navedenemu projektnemu dogovoru se sklepa zaradi uskladitve vsebine in </w:t>
      </w:r>
      <w:proofErr w:type="spellStart"/>
      <w:r w:rsidRPr="0004492D">
        <w:rPr>
          <w:rFonts w:cs="Arial"/>
          <w:color w:val="000000"/>
          <w:szCs w:val="20"/>
        </w:rPr>
        <w:t>časovnice</w:t>
      </w:r>
      <w:proofErr w:type="spellEnd"/>
      <w:r w:rsidRPr="0004492D">
        <w:rPr>
          <w:rFonts w:cs="Arial"/>
          <w:color w:val="000000"/>
          <w:szCs w:val="20"/>
        </w:rPr>
        <w:t xml:space="preserve"> med obema projektoma JRKB nadzora in ne prinaša novih finančnih posledic za Republiko Slovenijo. </w:t>
      </w:r>
    </w:p>
    <w:p w14:paraId="5CE2F16A" w14:textId="77777777" w:rsidR="00EF252A" w:rsidRPr="0004492D" w:rsidRDefault="00EF252A" w:rsidP="0004492D">
      <w:pPr>
        <w:autoSpaceDE w:val="0"/>
        <w:autoSpaceDN w:val="0"/>
        <w:adjustRightInd w:val="0"/>
        <w:spacing w:line="240" w:lineRule="auto"/>
        <w:jc w:val="both"/>
        <w:rPr>
          <w:rFonts w:cs="Arial"/>
          <w:color w:val="000000"/>
          <w:szCs w:val="20"/>
        </w:rPr>
      </w:pPr>
    </w:p>
    <w:p w14:paraId="2F012BF5" w14:textId="095455DD" w:rsidR="00246179" w:rsidRPr="0004492D" w:rsidRDefault="00EF252A"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obrambo</w:t>
      </w:r>
    </w:p>
    <w:p w14:paraId="5B0020A2"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53D952EA" w14:textId="06910590" w:rsidR="00090F0F" w:rsidRPr="0004492D" w:rsidRDefault="00090F0F"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 xml:space="preserve">Potrjena donacija cepiva COVID-19 </w:t>
      </w:r>
      <w:proofErr w:type="spellStart"/>
      <w:r w:rsidRPr="0004492D">
        <w:rPr>
          <w:rFonts w:cs="Arial"/>
          <w:b/>
          <w:bCs/>
          <w:color w:val="000000"/>
          <w:szCs w:val="20"/>
        </w:rPr>
        <w:t>Vaccine</w:t>
      </w:r>
      <w:proofErr w:type="spellEnd"/>
      <w:r w:rsidRPr="0004492D">
        <w:rPr>
          <w:rFonts w:cs="Arial"/>
          <w:b/>
          <w:bCs/>
          <w:color w:val="000000"/>
          <w:szCs w:val="20"/>
        </w:rPr>
        <w:t xml:space="preserve"> Moderna, proizvajalca Moderna </w:t>
      </w:r>
      <w:proofErr w:type="spellStart"/>
      <w:r w:rsidRPr="0004492D">
        <w:rPr>
          <w:rFonts w:cs="Arial"/>
          <w:b/>
          <w:bCs/>
          <w:color w:val="000000"/>
          <w:szCs w:val="20"/>
        </w:rPr>
        <w:t>Switzerland</w:t>
      </w:r>
      <w:proofErr w:type="spellEnd"/>
      <w:r w:rsidRPr="0004492D">
        <w:rPr>
          <w:rFonts w:cs="Arial"/>
          <w:b/>
          <w:bCs/>
          <w:color w:val="000000"/>
          <w:szCs w:val="20"/>
        </w:rPr>
        <w:t xml:space="preserve"> </w:t>
      </w:r>
      <w:proofErr w:type="spellStart"/>
      <w:r w:rsidRPr="0004492D">
        <w:rPr>
          <w:rFonts w:cs="Arial"/>
          <w:b/>
          <w:bCs/>
          <w:color w:val="000000"/>
          <w:szCs w:val="20"/>
        </w:rPr>
        <w:t>GmbH</w:t>
      </w:r>
      <w:proofErr w:type="spellEnd"/>
      <w:r w:rsidRPr="0004492D">
        <w:rPr>
          <w:rFonts w:cs="Arial"/>
          <w:b/>
          <w:bCs/>
          <w:color w:val="000000"/>
          <w:szCs w:val="20"/>
        </w:rPr>
        <w:t xml:space="preserve">  Črni gori</w:t>
      </w:r>
    </w:p>
    <w:p w14:paraId="534EC9E7" w14:textId="77777777" w:rsidR="00090F0F" w:rsidRPr="0004492D" w:rsidRDefault="00090F0F" w:rsidP="0004492D">
      <w:pPr>
        <w:autoSpaceDE w:val="0"/>
        <w:autoSpaceDN w:val="0"/>
        <w:adjustRightInd w:val="0"/>
        <w:spacing w:line="240" w:lineRule="auto"/>
        <w:jc w:val="both"/>
        <w:rPr>
          <w:rFonts w:cs="Arial"/>
          <w:b/>
          <w:bCs/>
          <w:color w:val="000000"/>
          <w:szCs w:val="20"/>
        </w:rPr>
      </w:pPr>
    </w:p>
    <w:p w14:paraId="10A4762B" w14:textId="77777777" w:rsidR="00090F0F" w:rsidRPr="0004492D" w:rsidRDefault="00090F0F"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Vlada Republike Slovenije je odločila, da se 42.000 odmerkov cepiva </w:t>
      </w:r>
      <w:proofErr w:type="spellStart"/>
      <w:r w:rsidRPr="0004492D">
        <w:rPr>
          <w:rFonts w:cs="Arial"/>
          <w:color w:val="000000"/>
          <w:szCs w:val="20"/>
        </w:rPr>
        <w:t>Spikevax</w:t>
      </w:r>
      <w:proofErr w:type="spellEnd"/>
      <w:r w:rsidRPr="0004492D">
        <w:rPr>
          <w:rFonts w:cs="Arial"/>
          <w:color w:val="000000"/>
          <w:szCs w:val="20"/>
        </w:rPr>
        <w:t xml:space="preserve">, proizvajalca Moderna, ki jih je Republika Slovenija naročila na podlagi skupnega EU javnega naročila in so bila že dobavljena v Slovenijo, </w:t>
      </w:r>
      <w:proofErr w:type="spellStart"/>
      <w:r w:rsidRPr="0004492D">
        <w:rPr>
          <w:rFonts w:cs="Arial"/>
          <w:color w:val="000000"/>
          <w:szCs w:val="20"/>
        </w:rPr>
        <w:t>donira</w:t>
      </w:r>
      <w:proofErr w:type="spellEnd"/>
      <w:r w:rsidRPr="0004492D">
        <w:rPr>
          <w:rFonts w:cs="Arial"/>
          <w:color w:val="000000"/>
          <w:szCs w:val="20"/>
        </w:rPr>
        <w:t xml:space="preserve"> Črni gori.</w:t>
      </w:r>
    </w:p>
    <w:p w14:paraId="1055FB88" w14:textId="77777777" w:rsidR="00090F0F" w:rsidRPr="0004492D" w:rsidRDefault="00090F0F" w:rsidP="0004492D">
      <w:pPr>
        <w:autoSpaceDE w:val="0"/>
        <w:autoSpaceDN w:val="0"/>
        <w:adjustRightInd w:val="0"/>
        <w:spacing w:line="240" w:lineRule="auto"/>
        <w:jc w:val="both"/>
        <w:rPr>
          <w:rFonts w:cs="Arial"/>
          <w:color w:val="000000"/>
          <w:szCs w:val="20"/>
        </w:rPr>
      </w:pPr>
    </w:p>
    <w:p w14:paraId="4D9F54D1" w14:textId="77122CB1" w:rsidR="00090F0F" w:rsidRDefault="00090F0F" w:rsidP="0004492D">
      <w:pPr>
        <w:autoSpaceDE w:val="0"/>
        <w:autoSpaceDN w:val="0"/>
        <w:adjustRightInd w:val="0"/>
        <w:spacing w:line="240" w:lineRule="auto"/>
        <w:jc w:val="both"/>
        <w:rPr>
          <w:rFonts w:cs="Arial"/>
          <w:color w:val="000000"/>
          <w:szCs w:val="20"/>
        </w:rPr>
      </w:pPr>
      <w:r w:rsidRPr="0004492D">
        <w:rPr>
          <w:rFonts w:cs="Arial"/>
          <w:color w:val="000000"/>
          <w:szCs w:val="20"/>
        </w:rPr>
        <w:t>Pandemija nalezljive bolezni COVID-19 je doslej povzročila eno največjih svetovnih zdravstvenih, gospodarskih in družbenih kriz. Čim širši dostop do učinkovitih, kakovostnih in varnih cepiv proti COVID-19 predstavlja v trenutnih  okoliščinah edino realno možnost na globalni ravni, da se upočasni in zaustavi širjenje okužb, zmanjša umrljivost, ki jo povzroča virus SARS-CoV-2, izboljša zdravje prebivalstva, razbremenijo zdravstveni sistemi ter omogočijo pogoji za delovanje gospodarstva in drugih sfer družbe.</w:t>
      </w:r>
    </w:p>
    <w:p w14:paraId="0F4973E5" w14:textId="77777777" w:rsidR="00083EB7" w:rsidRPr="0004492D" w:rsidRDefault="00083EB7" w:rsidP="0004492D">
      <w:pPr>
        <w:autoSpaceDE w:val="0"/>
        <w:autoSpaceDN w:val="0"/>
        <w:adjustRightInd w:val="0"/>
        <w:spacing w:line="240" w:lineRule="auto"/>
        <w:jc w:val="both"/>
        <w:rPr>
          <w:rFonts w:cs="Arial"/>
          <w:color w:val="000000"/>
          <w:szCs w:val="20"/>
        </w:rPr>
      </w:pPr>
    </w:p>
    <w:p w14:paraId="7485A98B" w14:textId="0FEFD9C2" w:rsidR="00090F0F" w:rsidRDefault="00090F0F"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Poleg spoštovanja osnovnih higienskih in zaščitnih ukrepov, je ključna za učinkovito naslavljanje pandemije COVID-19 </w:t>
      </w:r>
      <w:proofErr w:type="spellStart"/>
      <w:r w:rsidRPr="0004492D">
        <w:rPr>
          <w:rFonts w:cs="Arial"/>
          <w:color w:val="000000"/>
          <w:szCs w:val="20"/>
        </w:rPr>
        <w:t>precepljenost</w:t>
      </w:r>
      <w:proofErr w:type="spellEnd"/>
      <w:r w:rsidRPr="0004492D">
        <w:rPr>
          <w:rFonts w:cs="Arial"/>
          <w:color w:val="000000"/>
          <w:szCs w:val="20"/>
        </w:rPr>
        <w:t xml:space="preserve"> svetovne populacije, ob sočasnem vlaganju v človekov razvoj in krepitev odpornosti, zlasti zdravstvenih sistemov, pa tudi ostalih sfer družbe v najmanj razvitih državah. Medtem ko večina držav članic EU in drugih razvitih držav v glavnem učinkovito nadaljuje s cepljenjem svojega prebivalstva, je delež precepljenih v državah v razvoju še vedno zanemarljiv.</w:t>
      </w:r>
    </w:p>
    <w:p w14:paraId="7F81987A" w14:textId="77777777" w:rsidR="00083EB7" w:rsidRPr="0004492D" w:rsidRDefault="00083EB7" w:rsidP="0004492D">
      <w:pPr>
        <w:autoSpaceDE w:val="0"/>
        <w:autoSpaceDN w:val="0"/>
        <w:adjustRightInd w:val="0"/>
        <w:spacing w:line="240" w:lineRule="auto"/>
        <w:jc w:val="both"/>
        <w:rPr>
          <w:rFonts w:cs="Arial"/>
          <w:color w:val="000000"/>
          <w:szCs w:val="20"/>
        </w:rPr>
      </w:pPr>
    </w:p>
    <w:p w14:paraId="46C62E9C" w14:textId="77777777" w:rsidR="00090F0F" w:rsidRPr="0004492D" w:rsidRDefault="00090F0F"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Preko mehanizma CECIS je Črna gora izrazila interes za cepiva, pri preverjanju pa tudi pripravljenost za sprejem cepiva </w:t>
      </w:r>
      <w:proofErr w:type="spellStart"/>
      <w:r w:rsidRPr="0004492D">
        <w:rPr>
          <w:rFonts w:cs="Arial"/>
          <w:color w:val="000000"/>
          <w:szCs w:val="20"/>
        </w:rPr>
        <w:t>Spikevax</w:t>
      </w:r>
      <w:proofErr w:type="spellEnd"/>
      <w:r w:rsidRPr="0004492D">
        <w:rPr>
          <w:rFonts w:cs="Arial"/>
          <w:color w:val="000000"/>
          <w:szCs w:val="20"/>
        </w:rPr>
        <w:t xml:space="preserve"> (Moderna). Zato se Črni Gori preko bilateralne pogodbe </w:t>
      </w:r>
      <w:proofErr w:type="spellStart"/>
      <w:r w:rsidRPr="0004492D">
        <w:rPr>
          <w:rFonts w:cs="Arial"/>
          <w:color w:val="000000"/>
          <w:szCs w:val="20"/>
        </w:rPr>
        <w:t>donira</w:t>
      </w:r>
      <w:proofErr w:type="spellEnd"/>
      <w:r w:rsidRPr="0004492D">
        <w:rPr>
          <w:rFonts w:cs="Arial"/>
          <w:color w:val="000000"/>
          <w:szCs w:val="20"/>
        </w:rPr>
        <w:t xml:space="preserve"> 42.000 odmerkov cepiva </w:t>
      </w:r>
      <w:proofErr w:type="spellStart"/>
      <w:r w:rsidRPr="0004492D">
        <w:rPr>
          <w:rFonts w:cs="Arial"/>
          <w:color w:val="000000"/>
          <w:szCs w:val="20"/>
        </w:rPr>
        <w:t>Spikevax</w:t>
      </w:r>
      <w:proofErr w:type="spellEnd"/>
      <w:r w:rsidRPr="0004492D">
        <w:rPr>
          <w:rFonts w:cs="Arial"/>
          <w:color w:val="000000"/>
          <w:szCs w:val="20"/>
        </w:rPr>
        <w:t xml:space="preserve">, ki se nahaja v skladišču v Ljubljani. Črna Gora je pripravljena prevzeti organizacijo in stroške prevoza cepiva iz Slovenije v Črno Goro. V Sloveniji bo NIJZ poskrbel za vse aktivnosti povezave z logističnim delom donacije, ki so zahtevane s strani Slovenije in vključujejo pripravo cepiva za transport, izročitev cepiva in pripravo potrebne dokumentacije. Vlada Republike Slovenije je pooblastila ministra, pristojnega za </w:t>
      </w:r>
      <w:r w:rsidRPr="0004492D">
        <w:rPr>
          <w:rFonts w:cs="Arial"/>
          <w:color w:val="000000"/>
          <w:szCs w:val="20"/>
        </w:rPr>
        <w:lastRenderedPageBreak/>
        <w:t xml:space="preserve">zdravje, za podpis pogodbene dokumentacije med Republiko Slovenijo, Črno goro in dobaviteljem Moderna </w:t>
      </w:r>
      <w:proofErr w:type="spellStart"/>
      <w:r w:rsidRPr="0004492D">
        <w:rPr>
          <w:rFonts w:cs="Arial"/>
          <w:color w:val="000000"/>
          <w:szCs w:val="20"/>
        </w:rPr>
        <w:t>Switzerland</w:t>
      </w:r>
      <w:proofErr w:type="spellEnd"/>
      <w:r w:rsidRPr="0004492D">
        <w:rPr>
          <w:rFonts w:cs="Arial"/>
          <w:color w:val="000000"/>
          <w:szCs w:val="20"/>
        </w:rPr>
        <w:t xml:space="preserve"> </w:t>
      </w:r>
      <w:proofErr w:type="spellStart"/>
      <w:r w:rsidRPr="0004492D">
        <w:rPr>
          <w:rFonts w:cs="Arial"/>
          <w:color w:val="000000"/>
          <w:szCs w:val="20"/>
        </w:rPr>
        <w:t>GmbH</w:t>
      </w:r>
      <w:proofErr w:type="spellEnd"/>
      <w:r w:rsidRPr="0004492D">
        <w:rPr>
          <w:rFonts w:cs="Arial"/>
          <w:color w:val="000000"/>
          <w:szCs w:val="20"/>
        </w:rPr>
        <w:t xml:space="preserve"> ter med Republiko Slovenijo in Črno goro za humanitarno pomoč 42.000 odmerkov cepiva.</w:t>
      </w:r>
    </w:p>
    <w:p w14:paraId="3BF6ECEA" w14:textId="77777777" w:rsidR="00090F0F" w:rsidRPr="0004492D" w:rsidRDefault="00090F0F" w:rsidP="0004492D">
      <w:pPr>
        <w:autoSpaceDE w:val="0"/>
        <w:autoSpaceDN w:val="0"/>
        <w:adjustRightInd w:val="0"/>
        <w:spacing w:line="240" w:lineRule="auto"/>
        <w:jc w:val="both"/>
        <w:rPr>
          <w:rFonts w:cs="Arial"/>
          <w:color w:val="000000"/>
          <w:szCs w:val="20"/>
        </w:rPr>
      </w:pPr>
    </w:p>
    <w:p w14:paraId="2EF0C8E6" w14:textId="0A9CB122" w:rsidR="00246179" w:rsidRPr="0004492D" w:rsidRDefault="00090F0F"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zdravje</w:t>
      </w:r>
    </w:p>
    <w:p w14:paraId="38442DCF" w14:textId="5A93CF13" w:rsidR="00C81648" w:rsidRPr="0004492D" w:rsidRDefault="00C81648" w:rsidP="0004492D">
      <w:pPr>
        <w:autoSpaceDE w:val="0"/>
        <w:autoSpaceDN w:val="0"/>
        <w:adjustRightInd w:val="0"/>
        <w:spacing w:line="240" w:lineRule="auto"/>
        <w:jc w:val="both"/>
        <w:rPr>
          <w:rFonts w:cs="Arial"/>
          <w:color w:val="000000"/>
          <w:szCs w:val="20"/>
        </w:rPr>
      </w:pPr>
    </w:p>
    <w:p w14:paraId="1E5BCB51" w14:textId="0FDE6362" w:rsidR="00C81648" w:rsidRPr="0004492D" w:rsidRDefault="00C81648"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sprejela odgovor Računskemu sodišču RS glede ukrepov po končanju revizijskega postopka o učinkovitosti ureditve financiranja in delovanja javnih agencij in javnih skladov</w:t>
      </w:r>
    </w:p>
    <w:p w14:paraId="4293AAE2" w14:textId="77777777" w:rsidR="00C81648" w:rsidRPr="0004492D" w:rsidRDefault="00C81648" w:rsidP="0004492D">
      <w:pPr>
        <w:autoSpaceDE w:val="0"/>
        <w:autoSpaceDN w:val="0"/>
        <w:adjustRightInd w:val="0"/>
        <w:spacing w:line="240" w:lineRule="auto"/>
        <w:jc w:val="both"/>
        <w:rPr>
          <w:rFonts w:cs="Arial"/>
          <w:color w:val="000000"/>
          <w:szCs w:val="20"/>
        </w:rPr>
      </w:pPr>
    </w:p>
    <w:p w14:paraId="360F6C61" w14:textId="77777777" w:rsidR="00C81648" w:rsidRPr="0004492D" w:rsidRDefault="00C81648" w:rsidP="0004492D">
      <w:pPr>
        <w:autoSpaceDE w:val="0"/>
        <w:autoSpaceDN w:val="0"/>
        <w:adjustRightInd w:val="0"/>
        <w:spacing w:line="240" w:lineRule="auto"/>
        <w:jc w:val="both"/>
        <w:rPr>
          <w:rFonts w:cs="Arial"/>
          <w:color w:val="000000"/>
          <w:szCs w:val="20"/>
        </w:rPr>
      </w:pPr>
      <w:r w:rsidRPr="0004492D">
        <w:rPr>
          <w:rFonts w:cs="Arial"/>
          <w:color w:val="000000"/>
          <w:szCs w:val="20"/>
        </w:rPr>
        <w:t>Vlada Republike Slovenije je sprejela Odgovor Računskemu Sodišču Republike Slovenije o izvedenih ukrepih po končanju revizijskega postopka o učinkovitosti ureditve financiranja in delovanja javnih agencij in javnih skladov  in ga posreduje Računskemu sodišču Republike Slovenije.</w:t>
      </w:r>
    </w:p>
    <w:p w14:paraId="08BD9BA2" w14:textId="77777777" w:rsidR="00C81648" w:rsidRPr="0004492D" w:rsidRDefault="00C81648" w:rsidP="0004492D">
      <w:pPr>
        <w:autoSpaceDE w:val="0"/>
        <w:autoSpaceDN w:val="0"/>
        <w:adjustRightInd w:val="0"/>
        <w:spacing w:line="240" w:lineRule="auto"/>
        <w:jc w:val="both"/>
        <w:rPr>
          <w:rFonts w:cs="Arial"/>
          <w:color w:val="000000"/>
          <w:szCs w:val="20"/>
        </w:rPr>
      </w:pPr>
    </w:p>
    <w:p w14:paraId="6D0859E2" w14:textId="77777777" w:rsidR="00C81648" w:rsidRPr="0004492D" w:rsidRDefault="00C81648"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Računsko sodišče RS je 18. maja 2015 izdalo revizijsko poročilo o učinkovitosti ureditve financiranja in delovanja javnih agencij in javnih skladov. V izdanem poročilu je zahtevalo izvedbo popravljalnih ukrepov ter podalo priporočila, ki se nanašajo na nepravilnosti in nesmotrnosti, odkrite med revizijo. </w:t>
      </w:r>
    </w:p>
    <w:p w14:paraId="746D309B" w14:textId="77777777" w:rsidR="00C81648" w:rsidRPr="0004492D" w:rsidRDefault="00C81648" w:rsidP="0004492D">
      <w:pPr>
        <w:autoSpaceDE w:val="0"/>
        <w:autoSpaceDN w:val="0"/>
        <w:adjustRightInd w:val="0"/>
        <w:spacing w:line="240" w:lineRule="auto"/>
        <w:jc w:val="both"/>
        <w:rPr>
          <w:rFonts w:cs="Arial"/>
          <w:color w:val="000000"/>
          <w:szCs w:val="20"/>
        </w:rPr>
      </w:pPr>
    </w:p>
    <w:p w14:paraId="1BEE8DBE" w14:textId="77777777" w:rsidR="00C81648" w:rsidRPr="0004492D" w:rsidRDefault="00C81648"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S tem v zvezi je Vlada Republike Slovenije med leti 2015 in 2018 sprejela odzivno poročilo, določila usmeritev za opravljanje nadzora nad zakonitostjo, učinkovitostjo in uspešnostjo dela javnih agencij ter sprejela več vmesnih poročil o izvedbi popravljalnih ukrepov, nato pa januarja 2018 sprejela zaključno poročilo o izvedbi popravljanih ukrepov. </w:t>
      </w:r>
    </w:p>
    <w:p w14:paraId="29C06700" w14:textId="77777777" w:rsidR="00C81648" w:rsidRPr="0004492D" w:rsidRDefault="00C81648" w:rsidP="0004492D">
      <w:pPr>
        <w:autoSpaceDE w:val="0"/>
        <w:autoSpaceDN w:val="0"/>
        <w:adjustRightInd w:val="0"/>
        <w:spacing w:line="240" w:lineRule="auto"/>
        <w:jc w:val="both"/>
        <w:rPr>
          <w:rFonts w:cs="Arial"/>
          <w:color w:val="000000"/>
          <w:szCs w:val="20"/>
        </w:rPr>
      </w:pPr>
    </w:p>
    <w:p w14:paraId="553C2E96" w14:textId="77777777" w:rsidR="00C81648" w:rsidRPr="0004492D" w:rsidRDefault="00C81648"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Računsko sodišče je nato izdalo </w:t>
      </w:r>
      <w:proofErr w:type="spellStart"/>
      <w:r w:rsidRPr="0004492D">
        <w:rPr>
          <w:rFonts w:cs="Arial"/>
          <w:color w:val="000000"/>
          <w:szCs w:val="20"/>
        </w:rPr>
        <w:t>porevizijsko</w:t>
      </w:r>
      <w:proofErr w:type="spellEnd"/>
      <w:r w:rsidRPr="0004492D">
        <w:rPr>
          <w:rFonts w:cs="Arial"/>
          <w:color w:val="000000"/>
          <w:szCs w:val="20"/>
        </w:rPr>
        <w:t xml:space="preserve"> poročilo, v katerem je zapisalo, da so popravljalni ukrepi vlade za odpravo nepravilnosti in nesmotrnosti zadovoljivi.</w:t>
      </w:r>
    </w:p>
    <w:p w14:paraId="00D40431" w14:textId="77777777" w:rsidR="00C81648" w:rsidRPr="0004492D" w:rsidRDefault="00C81648" w:rsidP="0004492D">
      <w:pPr>
        <w:autoSpaceDE w:val="0"/>
        <w:autoSpaceDN w:val="0"/>
        <w:adjustRightInd w:val="0"/>
        <w:spacing w:line="240" w:lineRule="auto"/>
        <w:jc w:val="both"/>
        <w:rPr>
          <w:rFonts w:cs="Arial"/>
          <w:color w:val="000000"/>
          <w:szCs w:val="20"/>
        </w:rPr>
      </w:pPr>
    </w:p>
    <w:p w14:paraId="60B17B27" w14:textId="77777777" w:rsidR="00C81648" w:rsidRPr="0004492D" w:rsidRDefault="00C81648"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Računsko sodišče tudi po izvedenih revizijah pri uporabnikih javnih storitev spremlja izvajanje predvidenih ukrepov in načrtov aktivnosti ter ocenjuje njihove učinke. Vlado je zaprosilo, naj poroča o izvedenih ukrepih. Poročila so del vladnega gradiva. </w:t>
      </w:r>
    </w:p>
    <w:p w14:paraId="13CE7F95" w14:textId="77777777" w:rsidR="00C81648" w:rsidRPr="0004492D" w:rsidRDefault="00C81648" w:rsidP="0004492D">
      <w:pPr>
        <w:autoSpaceDE w:val="0"/>
        <w:autoSpaceDN w:val="0"/>
        <w:adjustRightInd w:val="0"/>
        <w:spacing w:line="240" w:lineRule="auto"/>
        <w:jc w:val="both"/>
        <w:rPr>
          <w:rFonts w:cs="Arial"/>
          <w:color w:val="000000"/>
          <w:szCs w:val="20"/>
        </w:rPr>
      </w:pPr>
    </w:p>
    <w:p w14:paraId="74013218" w14:textId="77777777" w:rsidR="00C81648" w:rsidRPr="0004492D" w:rsidRDefault="00C81648" w:rsidP="0004492D">
      <w:pPr>
        <w:autoSpaceDE w:val="0"/>
        <w:autoSpaceDN w:val="0"/>
        <w:adjustRightInd w:val="0"/>
        <w:spacing w:line="240" w:lineRule="auto"/>
        <w:jc w:val="both"/>
        <w:rPr>
          <w:rFonts w:cs="Arial"/>
          <w:color w:val="000000"/>
          <w:szCs w:val="20"/>
        </w:rPr>
      </w:pPr>
      <w:r w:rsidRPr="0004492D">
        <w:rPr>
          <w:rFonts w:cs="Arial"/>
          <w:color w:val="000000"/>
          <w:szCs w:val="20"/>
        </w:rPr>
        <w:t>S tem v zvezi vlada pojasnjuje, da je že z namenom odprave nepravilnosti in nesmotrnosti, na katere je opozarjalo računsko sodišče v revizijskem poročilu Učinkovitost ureditve financiranja in delovanja javnih agencij in javnih skladov, takoj pristopila k pripravi sprememb in dopolnitev Zakona o javnih agencijah na podlagi sprejetih Izhodišč za enotno ureditev statusne ureditve in poslovanja javnih agencij, ki pa v preteklih mandatih ni prejel ustrezne koalicijske podpore za sprejem. Sistemska zakonska ureditev področja javnih agencij tako še vedno temelji na Zakonu o javnih agencijah.</w:t>
      </w:r>
    </w:p>
    <w:p w14:paraId="6CEBC10C" w14:textId="77777777" w:rsidR="00C81648" w:rsidRPr="0004492D" w:rsidRDefault="00C81648" w:rsidP="0004492D">
      <w:pPr>
        <w:autoSpaceDE w:val="0"/>
        <w:autoSpaceDN w:val="0"/>
        <w:adjustRightInd w:val="0"/>
        <w:spacing w:line="240" w:lineRule="auto"/>
        <w:jc w:val="both"/>
        <w:rPr>
          <w:rFonts w:cs="Arial"/>
          <w:color w:val="000000"/>
          <w:szCs w:val="20"/>
        </w:rPr>
      </w:pPr>
    </w:p>
    <w:p w14:paraId="737BE032" w14:textId="336F8DFD" w:rsidR="00C81648" w:rsidRPr="0004492D" w:rsidRDefault="00C81648"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javno upravo</w:t>
      </w:r>
    </w:p>
    <w:p w14:paraId="59A6E479" w14:textId="7297CD52" w:rsidR="0004492D" w:rsidRPr="0004492D" w:rsidRDefault="0004492D" w:rsidP="0004492D">
      <w:pPr>
        <w:autoSpaceDE w:val="0"/>
        <w:autoSpaceDN w:val="0"/>
        <w:adjustRightInd w:val="0"/>
        <w:spacing w:line="240" w:lineRule="auto"/>
        <w:jc w:val="both"/>
        <w:rPr>
          <w:rFonts w:cs="Arial"/>
          <w:color w:val="000000"/>
          <w:szCs w:val="20"/>
        </w:rPr>
      </w:pPr>
    </w:p>
    <w:p w14:paraId="55EAAEF5" w14:textId="77777777" w:rsidR="0004492D" w:rsidRPr="0004492D" w:rsidRDefault="0004492D" w:rsidP="0004492D">
      <w:pPr>
        <w:overflowPunct w:val="0"/>
        <w:autoSpaceDE w:val="0"/>
        <w:autoSpaceDN w:val="0"/>
        <w:adjustRightInd w:val="0"/>
        <w:spacing w:line="240" w:lineRule="auto"/>
        <w:jc w:val="both"/>
        <w:textAlignment w:val="baseline"/>
        <w:rPr>
          <w:rFonts w:cs="Arial"/>
          <w:b/>
          <w:szCs w:val="20"/>
        </w:rPr>
      </w:pPr>
      <w:r w:rsidRPr="0004492D">
        <w:rPr>
          <w:rFonts w:cs="Arial"/>
          <w:b/>
          <w:szCs w:val="20"/>
        </w:rPr>
        <w:t>Vlada obravnavala in potrdila Poročilo o pregledu stanja na Letališču Edvarda Rusjana Maribor</w:t>
      </w:r>
    </w:p>
    <w:p w14:paraId="2746D528" w14:textId="77777777" w:rsidR="0004492D" w:rsidRPr="0004492D" w:rsidRDefault="0004492D" w:rsidP="0004492D">
      <w:pPr>
        <w:overflowPunct w:val="0"/>
        <w:autoSpaceDE w:val="0"/>
        <w:autoSpaceDN w:val="0"/>
        <w:adjustRightInd w:val="0"/>
        <w:spacing w:line="240" w:lineRule="auto"/>
        <w:jc w:val="both"/>
        <w:textAlignment w:val="baseline"/>
        <w:rPr>
          <w:rFonts w:cs="Arial"/>
          <w:szCs w:val="20"/>
        </w:rPr>
      </w:pPr>
    </w:p>
    <w:p w14:paraId="636C2570" w14:textId="77777777" w:rsidR="0004492D" w:rsidRPr="0004492D" w:rsidRDefault="0004492D" w:rsidP="0004492D">
      <w:pPr>
        <w:suppressAutoHyphens/>
        <w:spacing w:line="240" w:lineRule="auto"/>
        <w:jc w:val="both"/>
        <w:rPr>
          <w:rFonts w:cs="Arial"/>
          <w:szCs w:val="20"/>
        </w:rPr>
      </w:pPr>
      <w:r w:rsidRPr="0004492D">
        <w:rPr>
          <w:rFonts w:cs="Arial"/>
          <w:szCs w:val="20"/>
        </w:rPr>
        <w:t>Vlada je obravnavala in potrdila Poročilo o pregledu stanja na Letališču Edvarda Rusjana Maribor, kot tudi predlog podaljšanja začasnega izvajanja storitev obratovanja Letališča Edvarda Rusjana Maribor.</w:t>
      </w:r>
    </w:p>
    <w:p w14:paraId="46E52596" w14:textId="77777777" w:rsidR="0004492D" w:rsidRPr="0004492D" w:rsidRDefault="0004492D" w:rsidP="0004492D">
      <w:pPr>
        <w:overflowPunct w:val="0"/>
        <w:autoSpaceDE w:val="0"/>
        <w:autoSpaceDN w:val="0"/>
        <w:adjustRightInd w:val="0"/>
        <w:spacing w:line="240" w:lineRule="auto"/>
        <w:jc w:val="both"/>
        <w:textAlignment w:val="baseline"/>
        <w:rPr>
          <w:rFonts w:cs="Arial"/>
          <w:iCs/>
          <w:szCs w:val="20"/>
          <w:lang w:eastAsia="sl-SI"/>
        </w:rPr>
      </w:pPr>
    </w:p>
    <w:p w14:paraId="5FDFB48C" w14:textId="77777777" w:rsidR="0004492D" w:rsidRPr="0004492D" w:rsidRDefault="0004492D" w:rsidP="0004492D">
      <w:pPr>
        <w:spacing w:line="240" w:lineRule="auto"/>
        <w:jc w:val="both"/>
        <w:rPr>
          <w:rFonts w:cs="Arial"/>
          <w:szCs w:val="20"/>
        </w:rPr>
      </w:pPr>
      <w:r w:rsidRPr="0004492D">
        <w:rPr>
          <w:rFonts w:cs="Arial"/>
          <w:szCs w:val="20"/>
        </w:rPr>
        <w:t xml:space="preserve">Letališče Edvarda Rusjana Maribor  je eno izmed treh javnih letališč za mednarodni zračni promet v Republiki Sloveniji, ki je na podlagi Sklepa o opredelitvi sistema javnih letališč opredeljeno kot infrastrukturni objekt državnega pomena. </w:t>
      </w:r>
    </w:p>
    <w:p w14:paraId="241E3C86" w14:textId="77777777" w:rsidR="0004492D" w:rsidRPr="0004492D" w:rsidRDefault="0004492D" w:rsidP="0004492D">
      <w:pPr>
        <w:spacing w:line="240" w:lineRule="auto"/>
        <w:jc w:val="both"/>
        <w:rPr>
          <w:rFonts w:cs="Arial"/>
          <w:szCs w:val="20"/>
        </w:rPr>
      </w:pPr>
    </w:p>
    <w:p w14:paraId="3704961B" w14:textId="77777777" w:rsidR="0004492D" w:rsidRPr="0004492D" w:rsidRDefault="0004492D" w:rsidP="0004492D">
      <w:pPr>
        <w:spacing w:line="240" w:lineRule="auto"/>
        <w:jc w:val="both"/>
        <w:rPr>
          <w:rFonts w:cs="Arial"/>
          <w:szCs w:val="20"/>
        </w:rPr>
      </w:pPr>
      <w:r w:rsidRPr="0004492D">
        <w:rPr>
          <w:rFonts w:cs="Arial"/>
          <w:szCs w:val="20"/>
        </w:rPr>
        <w:t>Ministrstvo za infrastrukturo je upravljalec premoženja države na tem letališču, in sicer od leta 2011.</w:t>
      </w:r>
    </w:p>
    <w:p w14:paraId="45FF50D7" w14:textId="77777777" w:rsidR="0004492D" w:rsidRPr="0004492D" w:rsidRDefault="0004492D" w:rsidP="0004492D">
      <w:pPr>
        <w:spacing w:line="240" w:lineRule="auto"/>
        <w:jc w:val="both"/>
        <w:rPr>
          <w:rFonts w:cs="Arial"/>
          <w:szCs w:val="20"/>
        </w:rPr>
      </w:pPr>
    </w:p>
    <w:p w14:paraId="6ECD296F" w14:textId="77777777" w:rsidR="0004492D" w:rsidRPr="0004492D" w:rsidRDefault="0004492D" w:rsidP="0004492D">
      <w:pPr>
        <w:spacing w:line="240" w:lineRule="auto"/>
        <w:jc w:val="both"/>
        <w:rPr>
          <w:rFonts w:cs="Arial"/>
          <w:szCs w:val="20"/>
        </w:rPr>
      </w:pPr>
      <w:r w:rsidRPr="0004492D">
        <w:rPr>
          <w:rFonts w:cs="Arial"/>
          <w:szCs w:val="20"/>
        </w:rPr>
        <w:t xml:space="preserve">Storitev obratovanja mariborskega letališča izvaja družba DRI upravljanje investicij, Družba za razvoj infrastrukture, </w:t>
      </w:r>
      <w:proofErr w:type="spellStart"/>
      <w:r w:rsidRPr="0004492D">
        <w:rPr>
          <w:rFonts w:cs="Arial"/>
          <w:szCs w:val="20"/>
        </w:rPr>
        <w:t>d.o.o</w:t>
      </w:r>
      <w:proofErr w:type="spellEnd"/>
      <w:r w:rsidRPr="0004492D">
        <w:rPr>
          <w:rFonts w:cs="Arial"/>
          <w:szCs w:val="20"/>
        </w:rPr>
        <w:t>., do izvedbe trajne rešitve glede obratovanja LJMB oziroma najpozneje do 31. 12. 2021.</w:t>
      </w:r>
    </w:p>
    <w:p w14:paraId="4FBB85A7" w14:textId="77777777" w:rsidR="0004492D" w:rsidRPr="0004492D" w:rsidRDefault="0004492D" w:rsidP="0004492D">
      <w:pPr>
        <w:spacing w:line="240" w:lineRule="auto"/>
        <w:jc w:val="both"/>
        <w:rPr>
          <w:rFonts w:cs="Arial"/>
          <w:szCs w:val="20"/>
        </w:rPr>
      </w:pPr>
    </w:p>
    <w:p w14:paraId="68033B18" w14:textId="77777777" w:rsidR="0004492D" w:rsidRPr="0004492D" w:rsidRDefault="0004492D" w:rsidP="0004492D">
      <w:pPr>
        <w:spacing w:line="240" w:lineRule="auto"/>
        <w:jc w:val="both"/>
        <w:rPr>
          <w:rFonts w:cs="Arial"/>
          <w:szCs w:val="20"/>
        </w:rPr>
      </w:pPr>
      <w:r w:rsidRPr="0004492D">
        <w:rPr>
          <w:rFonts w:cs="Arial"/>
          <w:szCs w:val="20"/>
        </w:rPr>
        <w:lastRenderedPageBreak/>
        <w:t>Glede na to, da se pogodbeni rok izteka in da je izvedba trajne rešitve glede obratovanja mariborskega letališča odvisna od zaključka številnih dolgotrajnih postopkov, ki so v teku, ter da je bilo iskanje ustreznih rešitev in priprava podlag za nadaljnje obratovanje oteženo, Ministrstvo za infrastrukturo v danih razmerah kot edino možnost vidi podaljšanje pogodbe o izvedbi naročila za izvajanje storitev obratovanja mariborskega letališča.</w:t>
      </w:r>
    </w:p>
    <w:p w14:paraId="44ACBB0D" w14:textId="6938DD17" w:rsidR="0004492D" w:rsidRPr="0004492D" w:rsidRDefault="0004492D" w:rsidP="0004492D">
      <w:pPr>
        <w:autoSpaceDE w:val="0"/>
        <w:autoSpaceDN w:val="0"/>
        <w:adjustRightInd w:val="0"/>
        <w:spacing w:line="240" w:lineRule="auto"/>
        <w:jc w:val="both"/>
        <w:rPr>
          <w:rFonts w:cs="Arial"/>
          <w:color w:val="000000"/>
          <w:szCs w:val="20"/>
        </w:rPr>
      </w:pPr>
    </w:p>
    <w:p w14:paraId="4586B710" w14:textId="4B5D8334" w:rsidR="0004492D" w:rsidRPr="0004492D" w:rsidRDefault="0004492D"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infrastrukturo</w:t>
      </w:r>
    </w:p>
    <w:p w14:paraId="5AA0FCA1" w14:textId="77777777" w:rsidR="0004492D" w:rsidRPr="0004492D" w:rsidRDefault="0004492D" w:rsidP="0004492D">
      <w:pPr>
        <w:spacing w:line="240" w:lineRule="auto"/>
        <w:jc w:val="both"/>
        <w:rPr>
          <w:rFonts w:cs="Arial"/>
          <w:b/>
          <w:iCs/>
          <w:szCs w:val="20"/>
        </w:rPr>
      </w:pPr>
    </w:p>
    <w:p w14:paraId="08F40CBA" w14:textId="46483188" w:rsidR="0004492D" w:rsidRPr="0004492D" w:rsidRDefault="0004492D" w:rsidP="0004492D">
      <w:pPr>
        <w:spacing w:line="240" w:lineRule="auto"/>
        <w:jc w:val="both"/>
        <w:rPr>
          <w:rFonts w:cs="Arial"/>
          <w:b/>
          <w:iCs/>
          <w:szCs w:val="20"/>
        </w:rPr>
      </w:pPr>
      <w:r w:rsidRPr="0004492D">
        <w:rPr>
          <w:rFonts w:cs="Arial"/>
          <w:b/>
          <w:iCs/>
          <w:szCs w:val="20"/>
        </w:rPr>
        <w:t>Vlada sprejela soglasje</w:t>
      </w:r>
      <w:r w:rsidRPr="0004492D">
        <w:rPr>
          <w:rFonts w:cs="Arial"/>
          <w:b/>
          <w:szCs w:val="20"/>
        </w:rPr>
        <w:t xml:space="preserve"> k predlogu amandmajev k noveli</w:t>
      </w:r>
      <w:r w:rsidRPr="0004492D">
        <w:rPr>
          <w:rFonts w:cs="Arial"/>
          <w:b/>
          <w:iCs/>
          <w:szCs w:val="20"/>
        </w:rPr>
        <w:t xml:space="preserve"> Zakona o financiranju občin </w:t>
      </w:r>
      <w:r w:rsidRPr="0004492D">
        <w:rPr>
          <w:rFonts w:cs="Arial"/>
          <w:b/>
          <w:szCs w:val="20"/>
        </w:rPr>
        <w:t xml:space="preserve"> </w:t>
      </w:r>
    </w:p>
    <w:p w14:paraId="1598E010" w14:textId="77777777" w:rsidR="0004492D" w:rsidRPr="0004492D" w:rsidRDefault="0004492D" w:rsidP="0004492D">
      <w:pPr>
        <w:spacing w:line="240" w:lineRule="auto"/>
        <w:jc w:val="both"/>
        <w:rPr>
          <w:rFonts w:cs="Arial"/>
          <w:b/>
          <w:iCs/>
          <w:szCs w:val="20"/>
        </w:rPr>
      </w:pPr>
    </w:p>
    <w:p w14:paraId="24D88AE6" w14:textId="77777777" w:rsidR="0004492D" w:rsidRPr="0004492D" w:rsidRDefault="0004492D" w:rsidP="0004492D">
      <w:pPr>
        <w:autoSpaceDE w:val="0"/>
        <w:autoSpaceDN w:val="0"/>
        <w:adjustRightInd w:val="0"/>
        <w:spacing w:line="240" w:lineRule="auto"/>
        <w:jc w:val="both"/>
        <w:rPr>
          <w:rFonts w:cs="Arial"/>
          <w:szCs w:val="20"/>
        </w:rPr>
      </w:pPr>
      <w:r w:rsidRPr="0004492D">
        <w:rPr>
          <w:rFonts w:cs="Arial"/>
          <w:szCs w:val="20"/>
        </w:rPr>
        <w:t>Vlada Republike Slovenije soglaša s predlogom amandmajev k Predlogu Z</w:t>
      </w:r>
      <w:r w:rsidRPr="0004492D">
        <w:rPr>
          <w:rFonts w:cs="Arial"/>
          <w:iCs/>
          <w:szCs w:val="20"/>
          <w:lang w:eastAsia="sl-SI"/>
        </w:rPr>
        <w:t>akona o spremembah in dopolnitvah Zakona o financiranju občin</w:t>
      </w:r>
      <w:r w:rsidRPr="0004492D">
        <w:rPr>
          <w:rFonts w:cs="Arial"/>
          <w:szCs w:val="20"/>
        </w:rPr>
        <w:t>.</w:t>
      </w:r>
    </w:p>
    <w:p w14:paraId="22555F2A" w14:textId="77777777" w:rsidR="0004492D" w:rsidRPr="0004492D" w:rsidRDefault="0004492D" w:rsidP="0004492D">
      <w:pPr>
        <w:autoSpaceDE w:val="0"/>
        <w:autoSpaceDN w:val="0"/>
        <w:adjustRightInd w:val="0"/>
        <w:spacing w:line="240" w:lineRule="auto"/>
        <w:jc w:val="both"/>
        <w:rPr>
          <w:rFonts w:cs="Arial"/>
          <w:szCs w:val="20"/>
        </w:rPr>
      </w:pPr>
    </w:p>
    <w:p w14:paraId="40309E48" w14:textId="77777777" w:rsidR="0004492D" w:rsidRPr="0004492D" w:rsidRDefault="0004492D" w:rsidP="0004492D">
      <w:pPr>
        <w:autoSpaceDE w:val="0"/>
        <w:autoSpaceDN w:val="0"/>
        <w:adjustRightInd w:val="0"/>
        <w:spacing w:line="240" w:lineRule="auto"/>
        <w:jc w:val="both"/>
        <w:rPr>
          <w:rFonts w:cs="Arial"/>
          <w:szCs w:val="20"/>
        </w:rPr>
      </w:pPr>
      <w:r w:rsidRPr="0004492D">
        <w:rPr>
          <w:rFonts w:cs="Arial"/>
          <w:szCs w:val="20"/>
        </w:rPr>
        <w:t xml:space="preserve">Predlagan je amandma, s katerim se drugi odstavek spremenjenega 20. a člena Zakona o financiranju občin </w:t>
      </w:r>
      <w:r w:rsidRPr="0004492D">
        <w:rPr>
          <w:rFonts w:cs="Arial"/>
          <w:bCs/>
          <w:szCs w:val="20"/>
          <w:lang w:eastAsia="sl-SI"/>
        </w:rPr>
        <w:t>(sofinanciranje obveznosti občin z evidentiranimi romskimi naselji</w:t>
      </w:r>
      <w:r w:rsidRPr="0004492D">
        <w:rPr>
          <w:rFonts w:cs="Arial"/>
          <w:szCs w:val="20"/>
        </w:rPr>
        <w:t xml:space="preserve">) namesto na pravilnik, ki ureja razvrstitev razvojnih regij po stopnji razvitosti za posamezno programsko obdobje, sklicuje na hierarhično nadrejen zakon, ki ureja spodbujanje skladnega regionalnega razvoja. </w:t>
      </w:r>
    </w:p>
    <w:p w14:paraId="243509B3" w14:textId="77777777" w:rsidR="0004492D" w:rsidRPr="0004492D" w:rsidRDefault="0004492D" w:rsidP="0004492D">
      <w:pPr>
        <w:autoSpaceDE w:val="0"/>
        <w:autoSpaceDN w:val="0"/>
        <w:adjustRightInd w:val="0"/>
        <w:spacing w:line="240" w:lineRule="auto"/>
        <w:jc w:val="both"/>
        <w:rPr>
          <w:rFonts w:cs="Arial"/>
          <w:szCs w:val="20"/>
        </w:rPr>
      </w:pPr>
    </w:p>
    <w:p w14:paraId="21C1CDD4" w14:textId="77777777" w:rsidR="0004492D" w:rsidRPr="0004492D" w:rsidRDefault="0004492D" w:rsidP="0004492D">
      <w:pPr>
        <w:autoSpaceDE w:val="0"/>
        <w:autoSpaceDN w:val="0"/>
        <w:adjustRightInd w:val="0"/>
        <w:spacing w:line="240" w:lineRule="auto"/>
        <w:jc w:val="both"/>
        <w:rPr>
          <w:rFonts w:cs="Arial"/>
          <w:szCs w:val="20"/>
        </w:rPr>
      </w:pPr>
      <w:r w:rsidRPr="0004492D">
        <w:rPr>
          <w:rFonts w:cs="Arial"/>
          <w:szCs w:val="20"/>
        </w:rPr>
        <w:t>Poleg tega je v spremenjenem 20. a členu predvidena postopnost uvajanja dodatnih sredstev, tako kot je postopnost uvajanja dodatnih sredstev določena v prehodnih določbah Zakona o finančni razbremenitvi občin.</w:t>
      </w:r>
    </w:p>
    <w:p w14:paraId="23020187" w14:textId="77777777" w:rsidR="0004492D" w:rsidRPr="0004492D" w:rsidRDefault="0004492D" w:rsidP="0004492D">
      <w:pPr>
        <w:autoSpaceDE w:val="0"/>
        <w:autoSpaceDN w:val="0"/>
        <w:adjustRightInd w:val="0"/>
        <w:spacing w:line="240" w:lineRule="auto"/>
        <w:jc w:val="both"/>
        <w:rPr>
          <w:rFonts w:cs="Arial"/>
          <w:szCs w:val="20"/>
        </w:rPr>
      </w:pPr>
    </w:p>
    <w:p w14:paraId="1F0164C6" w14:textId="7EB96C48" w:rsidR="0004492D" w:rsidRPr="0004492D" w:rsidRDefault="0004492D" w:rsidP="0004492D">
      <w:pPr>
        <w:autoSpaceDE w:val="0"/>
        <w:autoSpaceDN w:val="0"/>
        <w:adjustRightInd w:val="0"/>
        <w:spacing w:line="240" w:lineRule="auto"/>
        <w:jc w:val="both"/>
        <w:rPr>
          <w:rFonts w:cs="Arial"/>
          <w:szCs w:val="20"/>
        </w:rPr>
      </w:pPr>
      <w:r w:rsidRPr="0004492D">
        <w:rPr>
          <w:rFonts w:cs="Arial"/>
          <w:szCs w:val="20"/>
        </w:rPr>
        <w:t>Predlagani amandma sledi mnenju Zakonodajno-pravne službe Državnega zbora.</w:t>
      </w:r>
    </w:p>
    <w:p w14:paraId="2A7C0D8E" w14:textId="7420BCC0" w:rsidR="0004492D" w:rsidRPr="0004492D" w:rsidRDefault="0004492D" w:rsidP="0004492D">
      <w:pPr>
        <w:autoSpaceDE w:val="0"/>
        <w:autoSpaceDN w:val="0"/>
        <w:adjustRightInd w:val="0"/>
        <w:spacing w:line="240" w:lineRule="auto"/>
        <w:jc w:val="both"/>
        <w:rPr>
          <w:rFonts w:cs="Arial"/>
          <w:szCs w:val="20"/>
        </w:rPr>
      </w:pPr>
    </w:p>
    <w:p w14:paraId="4849B8E7" w14:textId="685154DF" w:rsidR="0004492D" w:rsidRPr="0004492D" w:rsidRDefault="0004492D"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Vir: Ministrstvo za </w:t>
      </w:r>
      <w:r w:rsidR="00083EB7">
        <w:rPr>
          <w:rFonts w:cs="Arial"/>
          <w:color w:val="000000"/>
          <w:szCs w:val="20"/>
        </w:rPr>
        <w:t>finance</w:t>
      </w:r>
    </w:p>
    <w:p w14:paraId="1F617E96" w14:textId="7A41F0F8" w:rsidR="0004492D" w:rsidRPr="0004492D" w:rsidRDefault="0004492D" w:rsidP="0004492D">
      <w:pPr>
        <w:autoSpaceDE w:val="0"/>
        <w:autoSpaceDN w:val="0"/>
        <w:adjustRightInd w:val="0"/>
        <w:spacing w:line="240" w:lineRule="auto"/>
        <w:jc w:val="both"/>
        <w:rPr>
          <w:rFonts w:cs="Arial"/>
          <w:color w:val="000000"/>
          <w:szCs w:val="20"/>
        </w:rPr>
      </w:pPr>
    </w:p>
    <w:p w14:paraId="27C2A71E" w14:textId="77777777" w:rsidR="0004492D" w:rsidRPr="0004492D" w:rsidRDefault="0004492D" w:rsidP="0004492D">
      <w:pPr>
        <w:spacing w:line="240" w:lineRule="auto"/>
        <w:rPr>
          <w:rFonts w:cs="Arial"/>
          <w:b/>
          <w:bCs/>
          <w:szCs w:val="20"/>
        </w:rPr>
      </w:pPr>
      <w:r w:rsidRPr="0004492D">
        <w:rPr>
          <w:rFonts w:cs="Arial"/>
          <w:b/>
          <w:bCs/>
          <w:szCs w:val="20"/>
        </w:rPr>
        <w:t>Vlada o proračunskih prerazporeditvah</w:t>
      </w:r>
    </w:p>
    <w:p w14:paraId="7191F712" w14:textId="77777777" w:rsidR="0004492D" w:rsidRPr="0004492D" w:rsidRDefault="0004492D" w:rsidP="0004492D">
      <w:pPr>
        <w:spacing w:line="240" w:lineRule="auto"/>
        <w:rPr>
          <w:rFonts w:cs="Arial"/>
          <w:szCs w:val="20"/>
        </w:rPr>
      </w:pPr>
    </w:p>
    <w:p w14:paraId="07C07131" w14:textId="77777777" w:rsidR="0004492D" w:rsidRPr="0004492D" w:rsidRDefault="0004492D" w:rsidP="0004492D">
      <w:pPr>
        <w:spacing w:line="240" w:lineRule="auto"/>
        <w:jc w:val="both"/>
        <w:rPr>
          <w:rFonts w:cs="Arial"/>
          <w:b/>
          <w:bCs/>
          <w:szCs w:val="20"/>
        </w:rPr>
      </w:pPr>
      <w:r w:rsidRPr="0004492D">
        <w:rPr>
          <w:rFonts w:cs="Arial"/>
          <w:b/>
          <w:bCs/>
          <w:szCs w:val="20"/>
        </w:rPr>
        <w:t>Vlada je danes odločila o prerazporeditvah in razporeditvah pravic porabe v letošnjem državnem proračunu.</w:t>
      </w:r>
    </w:p>
    <w:p w14:paraId="7CC31DD1" w14:textId="77777777" w:rsidR="0004492D" w:rsidRPr="0004492D" w:rsidRDefault="0004492D" w:rsidP="0004492D">
      <w:pPr>
        <w:spacing w:line="240" w:lineRule="auto"/>
        <w:jc w:val="both"/>
        <w:rPr>
          <w:rFonts w:cs="Arial"/>
          <w:noProof/>
          <w:szCs w:val="20"/>
        </w:rPr>
      </w:pPr>
    </w:p>
    <w:p w14:paraId="645BE3E5" w14:textId="77777777" w:rsidR="0004492D" w:rsidRPr="0004492D" w:rsidRDefault="0004492D" w:rsidP="0004492D">
      <w:pPr>
        <w:spacing w:line="240" w:lineRule="auto"/>
        <w:jc w:val="both"/>
        <w:rPr>
          <w:rFonts w:eastAsia="Calibri" w:cs="Arial"/>
          <w:noProof/>
          <w:szCs w:val="20"/>
        </w:rPr>
      </w:pPr>
      <w:r w:rsidRPr="0004492D">
        <w:rPr>
          <w:rFonts w:cs="Arial"/>
          <w:noProof/>
          <w:szCs w:val="20"/>
        </w:rPr>
        <w:t xml:space="preserve">Med drugim bomo Ministrstvu za zdravje razporedili sredstva splošne proračunske rezervacije v skupni višini 13.779.080,29 evra, od tega </w:t>
      </w:r>
      <w:r w:rsidRPr="0004492D">
        <w:rPr>
          <w:rFonts w:cs="Arial"/>
          <w:noProof/>
          <w:szCs w:val="20"/>
          <w:lang w:eastAsia="sl-SI"/>
        </w:rPr>
        <w:t xml:space="preserve">6.910.394,54 </w:t>
      </w:r>
      <w:r w:rsidRPr="0004492D">
        <w:rPr>
          <w:rFonts w:cs="Arial"/>
          <w:noProof/>
          <w:szCs w:val="20"/>
        </w:rPr>
        <w:t>evra za financiranje izdatkov, povezanih z epidemijo covida-19, in 6.868.685,75 evra na postavko Pripravništvo zdravstvenih delavcev in sodelavcev ter specializacije.</w:t>
      </w:r>
    </w:p>
    <w:p w14:paraId="3442A388" w14:textId="77777777" w:rsidR="0004492D" w:rsidRPr="0004492D" w:rsidRDefault="0004492D" w:rsidP="0004492D">
      <w:pPr>
        <w:spacing w:line="240" w:lineRule="auto"/>
        <w:jc w:val="both"/>
        <w:rPr>
          <w:rFonts w:cs="Arial"/>
          <w:szCs w:val="20"/>
        </w:rPr>
      </w:pPr>
    </w:p>
    <w:p w14:paraId="7B885BFD" w14:textId="77777777" w:rsidR="0004492D" w:rsidRPr="0004492D" w:rsidRDefault="0004492D" w:rsidP="0004492D">
      <w:pPr>
        <w:spacing w:line="240" w:lineRule="auto"/>
        <w:jc w:val="both"/>
        <w:rPr>
          <w:rFonts w:cs="Arial"/>
          <w:szCs w:val="20"/>
        </w:rPr>
      </w:pPr>
      <w:r w:rsidRPr="0004492D">
        <w:rPr>
          <w:rFonts w:cs="Arial"/>
          <w:szCs w:val="20"/>
        </w:rPr>
        <w:t xml:space="preserve">Ministrstvo za gospodarski razvoj in tehnologijo bo prerazporedilo sredstva znotraj svojega finančnega načrta v višini 3 milijone evrov za programe Evropske vesoljske agencije (ESA). To bo slovenskemu gospodarstvu omogočilo hitrejšo integracijo v procese sprejemanja programov in projektov, ki so v vesoljskem sektorju ključni, kar bo pozitivno vplivalo na povečanje dodane vrednosti ter zagotovilo nadaljnjo rast slovenskega vesoljskega gospodarstva. Gre predvsem za nadaljnjo krepitev malih in srednje velikih podjetij na področju tehnološkega razvoja, kar je za Slovenijo ključno. </w:t>
      </w:r>
    </w:p>
    <w:p w14:paraId="393DF2F8" w14:textId="77777777" w:rsidR="0004492D" w:rsidRPr="0004492D" w:rsidRDefault="0004492D" w:rsidP="0004492D">
      <w:pPr>
        <w:spacing w:line="240" w:lineRule="auto"/>
        <w:jc w:val="both"/>
        <w:rPr>
          <w:rFonts w:cs="Arial"/>
          <w:szCs w:val="20"/>
        </w:rPr>
      </w:pPr>
    </w:p>
    <w:p w14:paraId="189EE9E4" w14:textId="77777777" w:rsidR="0004492D" w:rsidRPr="0004492D" w:rsidRDefault="0004492D" w:rsidP="0004492D">
      <w:pPr>
        <w:spacing w:line="240" w:lineRule="auto"/>
        <w:jc w:val="both"/>
        <w:rPr>
          <w:rFonts w:cs="Arial"/>
          <w:szCs w:val="20"/>
        </w:rPr>
      </w:pPr>
      <w:r w:rsidRPr="0004492D">
        <w:rPr>
          <w:rFonts w:cs="Arial"/>
          <w:szCs w:val="20"/>
        </w:rPr>
        <w:t>Ministrstvo za delo, družino, socialne zadeve in enake možnosti bo prerazporedilo pravice porabe v okviru svojega finančnega načrta v višini 3.638.734,62 evra, in sicer med postavkami za interventne ukrepe za povračila nadomestila plače za odrejeno karanteno, povečan znesek dodatka za nego otroka, dodatek za delo z uporabniki, obolelimi za covid-19, strateško zalogo varovalne opreme za izvajalce socialnega varstva in dodatke za neposredno delo z obolelimi. Poleg tega bo ministrstvo za delo v okviru svojega finančnega načrta prerazporedilo še pravice porabe v višini 844.550,28 evra,</w:t>
      </w:r>
      <w:r w:rsidRPr="0004492D">
        <w:rPr>
          <w:rFonts w:cs="Arial"/>
          <w:color w:val="002060"/>
          <w:szCs w:val="20"/>
        </w:rPr>
        <w:t xml:space="preserve"> </w:t>
      </w:r>
      <w:r w:rsidRPr="0004492D">
        <w:rPr>
          <w:rFonts w:cs="Arial"/>
          <w:szCs w:val="20"/>
        </w:rPr>
        <w:t>in sicer med postavkami za interventne ukrepe za povračila nadomestila plače za odrejeno karanteno in višjo silo.</w:t>
      </w:r>
    </w:p>
    <w:p w14:paraId="237F827B" w14:textId="77777777" w:rsidR="0004492D" w:rsidRPr="0004492D" w:rsidRDefault="0004492D" w:rsidP="0004492D">
      <w:pPr>
        <w:spacing w:line="240" w:lineRule="auto"/>
        <w:jc w:val="both"/>
        <w:rPr>
          <w:rFonts w:cs="Arial"/>
          <w:szCs w:val="20"/>
        </w:rPr>
      </w:pPr>
    </w:p>
    <w:p w14:paraId="6DBD7A6E" w14:textId="77777777" w:rsidR="0004492D" w:rsidRPr="0004492D" w:rsidRDefault="0004492D" w:rsidP="0004492D">
      <w:pPr>
        <w:spacing w:line="240" w:lineRule="auto"/>
        <w:jc w:val="both"/>
        <w:rPr>
          <w:rFonts w:cs="Arial"/>
          <w:szCs w:val="20"/>
          <w:highlight w:val="yellow"/>
        </w:rPr>
      </w:pPr>
      <w:r w:rsidRPr="0004492D">
        <w:rPr>
          <w:rFonts w:cs="Arial"/>
          <w:szCs w:val="20"/>
        </w:rPr>
        <w:t xml:space="preserve">Različni proračunski uporabniki so pripravili predloge prerazporeditev pravic porabe v skupni višini 104.967.187,45 evra na postavko Rezerva Republike Slovenije pri Ministrstvu za finance, z namenom zagotovitve dodatnih sredstev za izločanje in posledično oblikovanje in uporabo proračunske rezerve. </w:t>
      </w:r>
    </w:p>
    <w:p w14:paraId="190EAE52" w14:textId="7BCA38A2" w:rsidR="0004492D" w:rsidRDefault="0004492D" w:rsidP="0004492D">
      <w:pPr>
        <w:spacing w:line="240" w:lineRule="auto"/>
        <w:jc w:val="both"/>
        <w:rPr>
          <w:rFonts w:cs="Arial"/>
          <w:szCs w:val="20"/>
        </w:rPr>
      </w:pPr>
    </w:p>
    <w:p w14:paraId="46B19D47" w14:textId="77777777" w:rsidR="00083EB7" w:rsidRPr="0004492D" w:rsidRDefault="00083EB7" w:rsidP="00083EB7">
      <w:pPr>
        <w:autoSpaceDE w:val="0"/>
        <w:autoSpaceDN w:val="0"/>
        <w:adjustRightInd w:val="0"/>
        <w:spacing w:line="240" w:lineRule="auto"/>
        <w:jc w:val="both"/>
        <w:rPr>
          <w:rFonts w:cs="Arial"/>
          <w:color w:val="000000"/>
          <w:szCs w:val="20"/>
        </w:rPr>
      </w:pPr>
      <w:r w:rsidRPr="0004492D">
        <w:rPr>
          <w:rFonts w:cs="Arial"/>
          <w:color w:val="000000"/>
          <w:szCs w:val="20"/>
        </w:rPr>
        <w:t xml:space="preserve">Vir: Ministrstvo za </w:t>
      </w:r>
      <w:r>
        <w:rPr>
          <w:rFonts w:cs="Arial"/>
          <w:color w:val="000000"/>
          <w:szCs w:val="20"/>
        </w:rPr>
        <w:t>finance</w:t>
      </w:r>
    </w:p>
    <w:p w14:paraId="4E626CC3" w14:textId="77777777" w:rsidR="0004492D" w:rsidRPr="0004492D" w:rsidRDefault="0004492D" w:rsidP="00083EB7">
      <w:pPr>
        <w:spacing w:line="240" w:lineRule="auto"/>
        <w:jc w:val="both"/>
        <w:rPr>
          <w:rFonts w:cs="Arial"/>
          <w:b/>
          <w:bCs/>
          <w:iCs/>
          <w:szCs w:val="20"/>
        </w:rPr>
      </w:pPr>
      <w:r w:rsidRPr="0004492D">
        <w:rPr>
          <w:rFonts w:cs="Arial"/>
          <w:b/>
          <w:bCs/>
          <w:iCs/>
          <w:szCs w:val="20"/>
        </w:rPr>
        <w:lastRenderedPageBreak/>
        <w:t>Vlada o nedopustnosti referenduma o Zakonu o dodatnih ukrepih za preprečevanje širjenja, omilitev, obvladovanje, okrevanje in odpravo posledic COVID-19</w:t>
      </w:r>
    </w:p>
    <w:p w14:paraId="30F35007" w14:textId="77777777" w:rsidR="0004492D" w:rsidRPr="0004492D" w:rsidRDefault="0004492D" w:rsidP="00083EB7">
      <w:pPr>
        <w:spacing w:line="240" w:lineRule="auto"/>
        <w:jc w:val="both"/>
        <w:rPr>
          <w:rFonts w:cs="Arial"/>
          <w:b/>
          <w:bCs/>
          <w:iCs/>
          <w:szCs w:val="20"/>
        </w:rPr>
      </w:pPr>
    </w:p>
    <w:p w14:paraId="0151F88F" w14:textId="77777777" w:rsidR="0004492D" w:rsidRPr="00083EB7" w:rsidRDefault="0004492D" w:rsidP="00083EB7">
      <w:pPr>
        <w:spacing w:line="240" w:lineRule="auto"/>
        <w:jc w:val="both"/>
        <w:rPr>
          <w:rFonts w:cs="Arial"/>
          <w:iCs/>
          <w:szCs w:val="20"/>
        </w:rPr>
      </w:pPr>
      <w:r w:rsidRPr="00083EB7">
        <w:rPr>
          <w:rFonts w:cs="Arial"/>
          <w:iCs/>
          <w:szCs w:val="20"/>
        </w:rPr>
        <w:t xml:space="preserve">Vlada je danes določila besedilo predloga Sklepa o nedopustnosti razpisa zakonodajnega referenduma o Zakonu o dodatnih ukrepih za preprečevanje širjenja, omilitev, obvladovanje, okrevanje in odpravo posledic COVID-19, ki ga </w:t>
      </w:r>
      <w:r w:rsidRPr="00083EB7">
        <w:rPr>
          <w:rFonts w:cs="Arial"/>
          <w:szCs w:val="20"/>
        </w:rPr>
        <w:t>bo posredovala d</w:t>
      </w:r>
      <w:r w:rsidRPr="00083EB7">
        <w:rPr>
          <w:rFonts w:cs="Arial"/>
          <w:iCs/>
          <w:szCs w:val="20"/>
        </w:rPr>
        <w:t>ržavnemu zboru.</w:t>
      </w:r>
    </w:p>
    <w:p w14:paraId="40B93B86" w14:textId="77777777" w:rsidR="0004492D" w:rsidRPr="0004492D" w:rsidRDefault="0004492D" w:rsidP="00083EB7">
      <w:pPr>
        <w:spacing w:line="240" w:lineRule="auto"/>
        <w:jc w:val="both"/>
        <w:rPr>
          <w:rFonts w:cs="Arial"/>
          <w:iCs/>
          <w:szCs w:val="20"/>
        </w:rPr>
      </w:pPr>
    </w:p>
    <w:p w14:paraId="1D2D58A7" w14:textId="77777777" w:rsidR="0004492D" w:rsidRPr="0004492D" w:rsidRDefault="0004492D" w:rsidP="00083EB7">
      <w:pPr>
        <w:spacing w:line="240" w:lineRule="auto"/>
        <w:jc w:val="both"/>
        <w:rPr>
          <w:rFonts w:cs="Arial"/>
          <w:szCs w:val="20"/>
          <w:lang w:eastAsia="sl-SI"/>
        </w:rPr>
      </w:pPr>
      <w:r w:rsidRPr="0004492D">
        <w:rPr>
          <w:rFonts w:cs="Arial"/>
          <w:szCs w:val="20"/>
          <w:lang w:eastAsia="sl-SI"/>
        </w:rPr>
        <w:t>Zakon dodatno blaži in odpravlja posledice naravne nesreče nalezljive bolezni covid-19 za gospodarstvo, javne finance in državljane. Skladno z Zakonom o varstvu pred naravnimi in drugimi nesrečami se za naravno nesrečo šteje tudi množičen pojav nalezljive bolezni. Podatki o številu prebivalcev Slovenije, okuženih s covidom-19, in zasedenosti bolnišničnih kapacitet nesporno kažejo na to, da je prišlo do množičnega pojava nalezljive bolezni.</w:t>
      </w:r>
    </w:p>
    <w:p w14:paraId="6FAEBCDB" w14:textId="77777777" w:rsidR="0004492D" w:rsidRPr="0004492D" w:rsidRDefault="0004492D" w:rsidP="00083EB7">
      <w:pPr>
        <w:spacing w:line="240" w:lineRule="auto"/>
        <w:jc w:val="both"/>
        <w:rPr>
          <w:rFonts w:cs="Arial"/>
          <w:szCs w:val="20"/>
          <w:lang w:eastAsia="sl-SI"/>
        </w:rPr>
      </w:pPr>
    </w:p>
    <w:p w14:paraId="4EC647F0" w14:textId="0A14D3F3" w:rsidR="0004492D" w:rsidRPr="0004492D" w:rsidRDefault="00083EB7" w:rsidP="0004492D">
      <w:pPr>
        <w:autoSpaceDE w:val="0"/>
        <w:autoSpaceDN w:val="0"/>
        <w:adjustRightInd w:val="0"/>
        <w:spacing w:line="240" w:lineRule="auto"/>
        <w:jc w:val="both"/>
        <w:rPr>
          <w:rFonts w:cs="Arial"/>
          <w:color w:val="000000"/>
          <w:szCs w:val="20"/>
        </w:rPr>
      </w:pPr>
      <w:r>
        <w:rPr>
          <w:rFonts w:cs="Arial"/>
          <w:color w:val="000000"/>
          <w:szCs w:val="20"/>
        </w:rPr>
        <w:t xml:space="preserve">Vir: Ministrstvo za </w:t>
      </w:r>
      <w:r w:rsidR="00521B00">
        <w:rPr>
          <w:rFonts w:cs="Arial"/>
          <w:color w:val="000000"/>
          <w:szCs w:val="20"/>
        </w:rPr>
        <w:t>javno upravo</w:t>
      </w:r>
    </w:p>
    <w:p w14:paraId="26F60C7C" w14:textId="77777777" w:rsidR="0004492D" w:rsidRPr="0004492D" w:rsidRDefault="0004492D" w:rsidP="0004492D">
      <w:pPr>
        <w:autoSpaceDE w:val="0"/>
        <w:autoSpaceDN w:val="0"/>
        <w:adjustRightInd w:val="0"/>
        <w:spacing w:line="240" w:lineRule="auto"/>
        <w:jc w:val="both"/>
        <w:rPr>
          <w:rFonts w:cs="Arial"/>
          <w:szCs w:val="20"/>
        </w:rPr>
      </w:pPr>
    </w:p>
    <w:p w14:paraId="6657D9D9"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534D3FCF" w14:textId="77777777" w:rsidR="00246179" w:rsidRPr="0004492D" w:rsidRDefault="00246179"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II.  LISTA B</w:t>
      </w:r>
    </w:p>
    <w:p w14:paraId="5595CA34" w14:textId="77777777" w:rsidR="00246179" w:rsidRPr="0004492D" w:rsidRDefault="00246179"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ab/>
      </w:r>
    </w:p>
    <w:p w14:paraId="6E7B1D35" w14:textId="77777777" w:rsidR="00246179" w:rsidRPr="0004492D" w:rsidRDefault="00246179"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2. Predlogi aktov v povezavi s COVID-19</w:t>
      </w:r>
    </w:p>
    <w:p w14:paraId="250DEBB9" w14:textId="77777777" w:rsidR="00481FA4" w:rsidRPr="0004492D" w:rsidRDefault="00481FA4" w:rsidP="0004492D">
      <w:pPr>
        <w:autoSpaceDE w:val="0"/>
        <w:autoSpaceDN w:val="0"/>
        <w:adjustRightInd w:val="0"/>
        <w:spacing w:line="240" w:lineRule="auto"/>
        <w:jc w:val="both"/>
        <w:rPr>
          <w:rFonts w:cs="Arial"/>
          <w:b/>
          <w:bCs/>
          <w:color w:val="000000"/>
          <w:szCs w:val="20"/>
        </w:rPr>
      </w:pPr>
    </w:p>
    <w:p w14:paraId="2218E157" w14:textId="37F266B7" w:rsidR="00481FA4" w:rsidRPr="0004492D" w:rsidRDefault="00481FA4"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Poročilo glede opravljenih nadzorov Zdravstvenega inšpektorata Republike Slovenije v zvezi z nadzorom SARS-CoV-2</w:t>
      </w:r>
    </w:p>
    <w:p w14:paraId="2F8984DF" w14:textId="77777777" w:rsidR="00481FA4" w:rsidRPr="0004492D" w:rsidRDefault="00481FA4" w:rsidP="0004492D">
      <w:pPr>
        <w:autoSpaceDE w:val="0"/>
        <w:autoSpaceDN w:val="0"/>
        <w:adjustRightInd w:val="0"/>
        <w:spacing w:line="240" w:lineRule="auto"/>
        <w:jc w:val="both"/>
        <w:rPr>
          <w:rFonts w:cs="Arial"/>
          <w:b/>
          <w:bCs/>
          <w:color w:val="000000"/>
          <w:szCs w:val="20"/>
        </w:rPr>
      </w:pPr>
    </w:p>
    <w:p w14:paraId="49BB36AD" w14:textId="67290A09" w:rsidR="00481FA4" w:rsidRPr="0004492D" w:rsidRDefault="00481FA4"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 obdobju od 6. do vključno 12. </w:t>
      </w:r>
      <w:r w:rsidR="00CF4AE5" w:rsidRPr="0004492D">
        <w:rPr>
          <w:rFonts w:cs="Arial"/>
          <w:color w:val="000000"/>
          <w:szCs w:val="20"/>
        </w:rPr>
        <w:t xml:space="preserve"> decembra</w:t>
      </w:r>
      <w:r w:rsidRPr="0004492D">
        <w:rPr>
          <w:rFonts w:cs="Arial"/>
          <w:color w:val="000000"/>
          <w:szCs w:val="20"/>
        </w:rPr>
        <w:t xml:space="preserve"> 2021 je bilo skupno število opravljenih nadzorov vseh inšpekcijskih organov, določenih v PKP7, 9.568. Izrečenih je bilo 89 </w:t>
      </w:r>
      <w:proofErr w:type="spellStart"/>
      <w:r w:rsidRPr="0004492D">
        <w:rPr>
          <w:rFonts w:cs="Arial"/>
          <w:color w:val="000000"/>
          <w:szCs w:val="20"/>
        </w:rPr>
        <w:t>prekrškovnih</w:t>
      </w:r>
      <w:proofErr w:type="spellEnd"/>
      <w:r w:rsidRPr="0004492D">
        <w:rPr>
          <w:rFonts w:cs="Arial"/>
          <w:color w:val="000000"/>
          <w:szCs w:val="20"/>
        </w:rPr>
        <w:t xml:space="preserve"> sankcij, 551 opozoril po Zakonu o prekrških in 696 upravnih ukrepov. Izdanih je bilo 11 odločb o prepovedi dejavnosti. Skupna vrednost izrečenih glob je znašala 65.800 </w:t>
      </w:r>
      <w:r w:rsidR="00CF4AE5" w:rsidRPr="0004492D">
        <w:rPr>
          <w:rFonts w:cs="Arial"/>
          <w:color w:val="000000"/>
          <w:szCs w:val="20"/>
        </w:rPr>
        <w:t>evrov</w:t>
      </w:r>
      <w:r w:rsidRPr="0004492D">
        <w:rPr>
          <w:rFonts w:cs="Arial"/>
          <w:color w:val="000000"/>
          <w:szCs w:val="20"/>
        </w:rPr>
        <w:t xml:space="preserve">, od tega so bile globe zaradi nespoštovanja PCT pogoja izrečene v vrednosti 42.400 </w:t>
      </w:r>
      <w:r w:rsidR="00CF4AE5" w:rsidRPr="0004492D">
        <w:rPr>
          <w:rFonts w:cs="Arial"/>
          <w:color w:val="000000"/>
          <w:szCs w:val="20"/>
        </w:rPr>
        <w:t>evrov</w:t>
      </w:r>
      <w:r w:rsidRPr="0004492D">
        <w:rPr>
          <w:rFonts w:cs="Arial"/>
          <w:color w:val="000000"/>
          <w:szCs w:val="20"/>
        </w:rPr>
        <w:t>.</w:t>
      </w:r>
    </w:p>
    <w:p w14:paraId="2E2D789E" w14:textId="77777777" w:rsidR="00481FA4" w:rsidRPr="0004492D" w:rsidRDefault="00481FA4" w:rsidP="0004492D">
      <w:pPr>
        <w:autoSpaceDE w:val="0"/>
        <w:autoSpaceDN w:val="0"/>
        <w:adjustRightInd w:val="0"/>
        <w:spacing w:line="240" w:lineRule="auto"/>
        <w:jc w:val="both"/>
        <w:rPr>
          <w:rFonts w:cs="Arial"/>
          <w:color w:val="000000"/>
          <w:szCs w:val="20"/>
        </w:rPr>
      </w:pPr>
    </w:p>
    <w:p w14:paraId="21792336" w14:textId="77777777" w:rsidR="00481FA4" w:rsidRPr="0004492D" w:rsidRDefault="00481FA4"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Zdravstveni inšpektorat RS je opravil 1019 nadzorov, izrekel pa 33 </w:t>
      </w:r>
      <w:proofErr w:type="spellStart"/>
      <w:r w:rsidRPr="0004492D">
        <w:rPr>
          <w:rFonts w:cs="Arial"/>
          <w:color w:val="000000"/>
          <w:szCs w:val="20"/>
        </w:rPr>
        <w:t>prekrškovnih</w:t>
      </w:r>
      <w:proofErr w:type="spellEnd"/>
      <w:r w:rsidRPr="0004492D">
        <w:rPr>
          <w:rFonts w:cs="Arial"/>
          <w:color w:val="000000"/>
          <w:szCs w:val="20"/>
        </w:rPr>
        <w:t xml:space="preserve"> sankcij, 4 opozorila po Zakonu o prekrških in 5 upravnih ukrepov. </w:t>
      </w:r>
    </w:p>
    <w:p w14:paraId="3F4891FA" w14:textId="77777777" w:rsidR="00481FA4" w:rsidRPr="0004492D" w:rsidRDefault="00481FA4" w:rsidP="0004492D">
      <w:pPr>
        <w:autoSpaceDE w:val="0"/>
        <w:autoSpaceDN w:val="0"/>
        <w:adjustRightInd w:val="0"/>
        <w:spacing w:line="240" w:lineRule="auto"/>
        <w:jc w:val="both"/>
        <w:rPr>
          <w:rFonts w:cs="Arial"/>
          <w:color w:val="000000"/>
          <w:szCs w:val="20"/>
        </w:rPr>
      </w:pPr>
    </w:p>
    <w:p w14:paraId="5E1508F9" w14:textId="77777777" w:rsidR="00481FA4" w:rsidRPr="0004492D" w:rsidRDefault="00481FA4"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zdravje</w:t>
      </w:r>
    </w:p>
    <w:p w14:paraId="68061A89" w14:textId="77777777" w:rsidR="00481FA4" w:rsidRPr="0004492D" w:rsidRDefault="00481FA4" w:rsidP="0004492D">
      <w:pPr>
        <w:autoSpaceDE w:val="0"/>
        <w:autoSpaceDN w:val="0"/>
        <w:adjustRightInd w:val="0"/>
        <w:spacing w:line="240" w:lineRule="auto"/>
        <w:jc w:val="both"/>
        <w:rPr>
          <w:rFonts w:cs="Arial"/>
          <w:color w:val="000000"/>
          <w:szCs w:val="20"/>
        </w:rPr>
      </w:pPr>
    </w:p>
    <w:p w14:paraId="4D34F10E" w14:textId="5510682A" w:rsidR="00481FA4" w:rsidRPr="0004492D" w:rsidRDefault="00481FA4"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Poročilo Zdravstvenega inšpektorata Republike Slovenije o izvajanju nadzora cepljenja proti COVID-19</w:t>
      </w:r>
    </w:p>
    <w:p w14:paraId="03108686" w14:textId="77777777" w:rsidR="00481FA4" w:rsidRPr="0004492D" w:rsidRDefault="00481FA4" w:rsidP="0004492D">
      <w:pPr>
        <w:autoSpaceDE w:val="0"/>
        <w:autoSpaceDN w:val="0"/>
        <w:adjustRightInd w:val="0"/>
        <w:spacing w:line="240" w:lineRule="auto"/>
        <w:jc w:val="both"/>
        <w:rPr>
          <w:rFonts w:cs="Arial"/>
          <w:b/>
          <w:bCs/>
          <w:color w:val="000000"/>
          <w:szCs w:val="20"/>
        </w:rPr>
      </w:pPr>
    </w:p>
    <w:p w14:paraId="2C056D64" w14:textId="77777777" w:rsidR="00481FA4" w:rsidRPr="0004492D" w:rsidRDefault="00481FA4"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Na Zdravniško zbornico Slovenije je bil do sedaj podan odstop za 126 mladoletnih oseb, pri katerih so zdravniki izvedli cepljenje z vektorskim cepivom. Ostali postopki v zvezi z domnevnim cepljenjem mladoletnih oseb z vektorskimi cepivi so še v teku.  </w:t>
      </w:r>
    </w:p>
    <w:p w14:paraId="67425D56" w14:textId="77777777" w:rsidR="00481FA4" w:rsidRPr="0004492D" w:rsidRDefault="00481FA4" w:rsidP="0004492D">
      <w:pPr>
        <w:autoSpaceDE w:val="0"/>
        <w:autoSpaceDN w:val="0"/>
        <w:adjustRightInd w:val="0"/>
        <w:spacing w:line="240" w:lineRule="auto"/>
        <w:jc w:val="both"/>
        <w:rPr>
          <w:rFonts w:cs="Arial"/>
          <w:color w:val="000000"/>
          <w:szCs w:val="20"/>
        </w:rPr>
      </w:pPr>
    </w:p>
    <w:p w14:paraId="6ABB8C76" w14:textId="433335DF" w:rsidR="00246179" w:rsidRPr="0004492D" w:rsidRDefault="00481FA4"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zdravje</w:t>
      </w:r>
    </w:p>
    <w:p w14:paraId="1EA69477" w14:textId="77777777" w:rsidR="00481FA4" w:rsidRPr="0004492D" w:rsidRDefault="00481FA4" w:rsidP="0004492D">
      <w:pPr>
        <w:autoSpaceDE w:val="0"/>
        <w:autoSpaceDN w:val="0"/>
        <w:adjustRightInd w:val="0"/>
        <w:spacing w:line="240" w:lineRule="auto"/>
        <w:jc w:val="both"/>
        <w:rPr>
          <w:rFonts w:cs="Arial"/>
          <w:color w:val="000000"/>
          <w:szCs w:val="20"/>
        </w:rPr>
      </w:pPr>
    </w:p>
    <w:p w14:paraId="38087D95" w14:textId="6A6213BF" w:rsidR="00246179" w:rsidRPr="0004492D" w:rsidRDefault="00246179"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 xml:space="preserve">Poročilo o ukrepih policije za preprečevanje širjenja novega korona virusa </w:t>
      </w:r>
    </w:p>
    <w:p w14:paraId="7D92B280" w14:textId="7FD6E536" w:rsidR="002756EC" w:rsidRPr="0004492D" w:rsidRDefault="002756EC" w:rsidP="0004492D">
      <w:pPr>
        <w:autoSpaceDE w:val="0"/>
        <w:autoSpaceDN w:val="0"/>
        <w:adjustRightInd w:val="0"/>
        <w:spacing w:line="240" w:lineRule="auto"/>
        <w:jc w:val="both"/>
        <w:rPr>
          <w:rFonts w:cs="Arial"/>
          <w:b/>
          <w:bCs/>
          <w:color w:val="000000"/>
          <w:szCs w:val="20"/>
        </w:rPr>
      </w:pPr>
    </w:p>
    <w:p w14:paraId="2E9A5A90" w14:textId="77777777" w:rsidR="002756EC" w:rsidRPr="0004492D" w:rsidRDefault="002756EC" w:rsidP="0004492D">
      <w:pPr>
        <w:autoSpaceDE w:val="0"/>
        <w:autoSpaceDN w:val="0"/>
        <w:adjustRightInd w:val="0"/>
        <w:spacing w:line="240" w:lineRule="auto"/>
        <w:jc w:val="both"/>
        <w:rPr>
          <w:rFonts w:cs="Arial"/>
          <w:color w:val="000000"/>
          <w:szCs w:val="20"/>
        </w:rPr>
      </w:pPr>
      <w:r w:rsidRPr="0004492D">
        <w:rPr>
          <w:rFonts w:cs="Arial"/>
          <w:color w:val="000000"/>
          <w:szCs w:val="20"/>
        </w:rPr>
        <w:t>Vlada Republike Slovenije je obravnavala Poročilo o ukrepih Policije za preprečevanje širjenja novega koronavirusa (SARS-CoV-2).</w:t>
      </w:r>
    </w:p>
    <w:p w14:paraId="72910374" w14:textId="77777777" w:rsidR="002756EC" w:rsidRPr="0004492D" w:rsidRDefault="002756EC" w:rsidP="0004492D">
      <w:pPr>
        <w:autoSpaceDE w:val="0"/>
        <w:autoSpaceDN w:val="0"/>
        <w:adjustRightInd w:val="0"/>
        <w:spacing w:line="240" w:lineRule="auto"/>
        <w:jc w:val="both"/>
        <w:rPr>
          <w:rFonts w:cs="Arial"/>
          <w:color w:val="000000"/>
          <w:szCs w:val="20"/>
        </w:rPr>
      </w:pPr>
    </w:p>
    <w:p w14:paraId="403E5B5F" w14:textId="77777777" w:rsidR="002756EC" w:rsidRPr="0004492D" w:rsidRDefault="002756EC"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Od 7. do 13. decembra 2021 je policija prejela 41 prijav o kršitvah odloka, lastnih ugotovitev o kršitvah je bilo 23, izrekla je 50 opozoril ali ukazov po </w:t>
      </w:r>
      <w:proofErr w:type="spellStart"/>
      <w:r w:rsidRPr="0004492D">
        <w:rPr>
          <w:rFonts w:cs="Arial"/>
          <w:color w:val="000000"/>
          <w:szCs w:val="20"/>
        </w:rPr>
        <w:t>ZNPPol</w:t>
      </w:r>
      <w:proofErr w:type="spellEnd"/>
      <w:r w:rsidRPr="0004492D">
        <w:rPr>
          <w:rFonts w:cs="Arial"/>
          <w:color w:val="000000"/>
          <w:szCs w:val="20"/>
        </w:rPr>
        <w:t xml:space="preserve"> ali ZNB.</w:t>
      </w:r>
    </w:p>
    <w:p w14:paraId="33442A72" w14:textId="77777777" w:rsidR="002756EC" w:rsidRPr="0004492D" w:rsidRDefault="002756EC" w:rsidP="0004492D">
      <w:pPr>
        <w:autoSpaceDE w:val="0"/>
        <w:autoSpaceDN w:val="0"/>
        <w:adjustRightInd w:val="0"/>
        <w:spacing w:line="240" w:lineRule="auto"/>
        <w:jc w:val="both"/>
        <w:rPr>
          <w:rFonts w:cs="Arial"/>
          <w:color w:val="000000"/>
          <w:szCs w:val="20"/>
        </w:rPr>
      </w:pPr>
    </w:p>
    <w:p w14:paraId="591D3692" w14:textId="77777777" w:rsidR="002756EC" w:rsidRPr="0004492D" w:rsidRDefault="002756EC" w:rsidP="0004492D">
      <w:pPr>
        <w:autoSpaceDE w:val="0"/>
        <w:autoSpaceDN w:val="0"/>
        <w:adjustRightInd w:val="0"/>
        <w:spacing w:line="240" w:lineRule="auto"/>
        <w:jc w:val="both"/>
        <w:rPr>
          <w:rFonts w:cs="Arial"/>
          <w:color w:val="000000"/>
          <w:szCs w:val="20"/>
        </w:rPr>
      </w:pPr>
      <w:r w:rsidRPr="0004492D">
        <w:rPr>
          <w:rFonts w:cs="Arial"/>
          <w:color w:val="000000"/>
          <w:szCs w:val="20"/>
        </w:rPr>
        <w:t>Policija je v tem obdobju na meji vročila 132 izjav o napotitvi v karanteno na domu. V 12 primerih so osebe zavrnile podpis izjave in je policija njihove podatke posredovala Ministrstvu za zdravje za izdajo odločbe o karanteni na domu. Glede na državo prihoda je bilo največ napotitev v karanteno na domu izročenih za osebe, ki so pripotovale iz Bosne in Hercegovine (82), Hrvaške (32), Kosova (7), Srbije (4), Severne Makedonije (2) in Južne Afrike (2).</w:t>
      </w:r>
    </w:p>
    <w:p w14:paraId="50C3731A" w14:textId="77777777" w:rsidR="002756EC" w:rsidRPr="0004492D" w:rsidRDefault="002756EC" w:rsidP="0004492D">
      <w:pPr>
        <w:autoSpaceDE w:val="0"/>
        <w:autoSpaceDN w:val="0"/>
        <w:adjustRightInd w:val="0"/>
        <w:spacing w:line="240" w:lineRule="auto"/>
        <w:jc w:val="both"/>
        <w:rPr>
          <w:rFonts w:cs="Arial"/>
          <w:color w:val="000000"/>
          <w:szCs w:val="20"/>
        </w:rPr>
      </w:pPr>
    </w:p>
    <w:p w14:paraId="75239425" w14:textId="77777777" w:rsidR="002756EC" w:rsidRPr="0004492D" w:rsidRDefault="002756EC" w:rsidP="0004492D">
      <w:pPr>
        <w:autoSpaceDE w:val="0"/>
        <w:autoSpaceDN w:val="0"/>
        <w:adjustRightInd w:val="0"/>
        <w:spacing w:line="240" w:lineRule="auto"/>
        <w:jc w:val="both"/>
        <w:rPr>
          <w:rFonts w:cs="Arial"/>
          <w:color w:val="000000"/>
          <w:szCs w:val="20"/>
        </w:rPr>
      </w:pPr>
      <w:r w:rsidRPr="0004492D">
        <w:rPr>
          <w:rFonts w:cs="Arial"/>
          <w:color w:val="000000"/>
          <w:szCs w:val="20"/>
        </w:rPr>
        <w:t>Na mejnih prehodih in kontrolnih točkah je policija zavrnila 15 oseb, ki niso izpolnjevale pogojev za vstop ali tranzit prek Slovenije.</w:t>
      </w:r>
    </w:p>
    <w:p w14:paraId="70F73843" w14:textId="77777777" w:rsidR="002756EC" w:rsidRPr="0004492D" w:rsidRDefault="002756EC" w:rsidP="0004492D">
      <w:pPr>
        <w:autoSpaceDE w:val="0"/>
        <w:autoSpaceDN w:val="0"/>
        <w:adjustRightInd w:val="0"/>
        <w:spacing w:line="240" w:lineRule="auto"/>
        <w:jc w:val="both"/>
        <w:rPr>
          <w:rFonts w:cs="Arial"/>
          <w:color w:val="000000"/>
          <w:szCs w:val="20"/>
        </w:rPr>
      </w:pPr>
    </w:p>
    <w:p w14:paraId="57366709" w14:textId="77777777" w:rsidR="002756EC" w:rsidRPr="0004492D" w:rsidRDefault="002756EC" w:rsidP="0004492D">
      <w:pPr>
        <w:autoSpaceDE w:val="0"/>
        <w:autoSpaceDN w:val="0"/>
        <w:adjustRightInd w:val="0"/>
        <w:spacing w:line="240" w:lineRule="auto"/>
        <w:jc w:val="both"/>
        <w:rPr>
          <w:rFonts w:cs="Arial"/>
          <w:color w:val="000000"/>
          <w:szCs w:val="20"/>
        </w:rPr>
      </w:pPr>
      <w:r w:rsidRPr="0004492D">
        <w:rPr>
          <w:rFonts w:cs="Arial"/>
          <w:color w:val="000000"/>
          <w:szCs w:val="20"/>
        </w:rPr>
        <w:lastRenderedPageBreak/>
        <w:t>Na mejnih prehodih so policisti obravnavali tri primere izkazovanja s ponarejenimi potrdili o cepljenju, v notranjosti države pa pet primerov izkazovanja s ponarejenimi potrdili o cepljenju oziroma testiranju, kjer je podan sum storitve kaznivega dejanja ponarejanja listin. V notranjosti države so obravnavali dva primera kaznivega dejanja samovolje.</w:t>
      </w:r>
    </w:p>
    <w:p w14:paraId="5D1BB87B" w14:textId="77777777" w:rsidR="002756EC" w:rsidRPr="0004492D" w:rsidRDefault="002756EC" w:rsidP="0004492D">
      <w:pPr>
        <w:autoSpaceDE w:val="0"/>
        <w:autoSpaceDN w:val="0"/>
        <w:adjustRightInd w:val="0"/>
        <w:spacing w:line="240" w:lineRule="auto"/>
        <w:jc w:val="both"/>
        <w:rPr>
          <w:rFonts w:cs="Arial"/>
          <w:color w:val="000000"/>
          <w:szCs w:val="20"/>
        </w:rPr>
      </w:pPr>
    </w:p>
    <w:p w14:paraId="0B813C53" w14:textId="77777777" w:rsidR="002756EC" w:rsidRPr="0004492D" w:rsidRDefault="002756EC" w:rsidP="0004492D">
      <w:pPr>
        <w:autoSpaceDE w:val="0"/>
        <w:autoSpaceDN w:val="0"/>
        <w:adjustRightInd w:val="0"/>
        <w:spacing w:line="240" w:lineRule="auto"/>
        <w:jc w:val="both"/>
        <w:rPr>
          <w:rFonts w:cs="Arial"/>
          <w:color w:val="000000"/>
          <w:szCs w:val="20"/>
        </w:rPr>
      </w:pPr>
      <w:r w:rsidRPr="0004492D">
        <w:rPr>
          <w:rFonts w:cs="Arial"/>
          <w:color w:val="000000"/>
          <w:szCs w:val="20"/>
        </w:rPr>
        <w:t>V tem času je policija obravnavala 158 oseb, ki so nedovoljeno prestopile zunanjo mejo, in dva primera, v katerih so bili prijeti trije osumljenci - tihotapci ljudi.</w:t>
      </w:r>
    </w:p>
    <w:p w14:paraId="77F3F65E" w14:textId="77777777" w:rsidR="002756EC" w:rsidRPr="0004492D" w:rsidRDefault="002756EC" w:rsidP="0004492D">
      <w:pPr>
        <w:autoSpaceDE w:val="0"/>
        <w:autoSpaceDN w:val="0"/>
        <w:adjustRightInd w:val="0"/>
        <w:spacing w:line="240" w:lineRule="auto"/>
        <w:jc w:val="both"/>
        <w:rPr>
          <w:rFonts w:cs="Arial"/>
          <w:color w:val="000000"/>
          <w:szCs w:val="20"/>
        </w:rPr>
      </w:pPr>
    </w:p>
    <w:p w14:paraId="72244D9D" w14:textId="653F7985" w:rsidR="002756EC" w:rsidRPr="0004492D" w:rsidRDefault="002756EC"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notranje zadeve</w:t>
      </w:r>
    </w:p>
    <w:p w14:paraId="38C69A7E"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362193B0" w14:textId="7C385270" w:rsidR="00246179" w:rsidRPr="0004492D" w:rsidRDefault="00246179"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 xml:space="preserve">Poročilo o številu javnih uslužbencev, ki opravljajo delo na domu </w:t>
      </w:r>
    </w:p>
    <w:p w14:paraId="17AA7E40" w14:textId="77777777" w:rsidR="009610E6" w:rsidRPr="0004492D" w:rsidRDefault="009610E6" w:rsidP="0004492D">
      <w:pPr>
        <w:autoSpaceDE w:val="0"/>
        <w:autoSpaceDN w:val="0"/>
        <w:adjustRightInd w:val="0"/>
        <w:spacing w:line="240" w:lineRule="auto"/>
        <w:jc w:val="both"/>
        <w:rPr>
          <w:rFonts w:cs="Arial"/>
          <w:b/>
          <w:bCs/>
          <w:color w:val="000000"/>
          <w:szCs w:val="20"/>
        </w:rPr>
      </w:pPr>
    </w:p>
    <w:p w14:paraId="1A651133" w14:textId="077FEBFF" w:rsidR="009610E6" w:rsidRPr="0004492D" w:rsidRDefault="009610E6" w:rsidP="0004492D">
      <w:pPr>
        <w:autoSpaceDE w:val="0"/>
        <w:autoSpaceDN w:val="0"/>
        <w:adjustRightInd w:val="0"/>
        <w:spacing w:line="240" w:lineRule="auto"/>
        <w:jc w:val="both"/>
        <w:rPr>
          <w:rFonts w:cs="Arial"/>
          <w:color w:val="000000"/>
          <w:szCs w:val="20"/>
        </w:rPr>
      </w:pPr>
      <w:r w:rsidRPr="0004492D">
        <w:rPr>
          <w:rFonts w:cs="Arial"/>
          <w:color w:val="000000"/>
          <w:szCs w:val="20"/>
        </w:rPr>
        <w:t>Vlada Republike Slovenije je obravnavala Poročilo o številu javnih uslužbencev, ki opravljajo delo na domu, za obdobje od srede 8. do  14. decembra 2021.</w:t>
      </w:r>
    </w:p>
    <w:p w14:paraId="32519D22" w14:textId="77777777" w:rsidR="009610E6" w:rsidRPr="0004492D" w:rsidRDefault="009610E6" w:rsidP="0004492D">
      <w:pPr>
        <w:autoSpaceDE w:val="0"/>
        <w:autoSpaceDN w:val="0"/>
        <w:adjustRightInd w:val="0"/>
        <w:spacing w:line="240" w:lineRule="auto"/>
        <w:jc w:val="both"/>
        <w:rPr>
          <w:rFonts w:cs="Arial"/>
          <w:color w:val="000000"/>
          <w:szCs w:val="20"/>
        </w:rPr>
      </w:pPr>
    </w:p>
    <w:p w14:paraId="0005DF65" w14:textId="1CF696DF" w:rsidR="009610E6" w:rsidRPr="0004492D" w:rsidRDefault="009610E6" w:rsidP="0004492D">
      <w:pPr>
        <w:autoSpaceDE w:val="0"/>
        <w:autoSpaceDN w:val="0"/>
        <w:adjustRightInd w:val="0"/>
        <w:spacing w:line="240" w:lineRule="auto"/>
        <w:jc w:val="both"/>
        <w:rPr>
          <w:rFonts w:cs="Arial"/>
          <w:color w:val="000000"/>
          <w:szCs w:val="20"/>
        </w:rPr>
      </w:pPr>
      <w:r w:rsidRPr="0004492D">
        <w:rPr>
          <w:rFonts w:cs="Arial"/>
          <w:color w:val="000000"/>
          <w:szCs w:val="20"/>
        </w:rPr>
        <w:t>Skladno s sklepom Vlade RS z dne 5. 11. 2021, ki nalaga delo od doma povsod, kjer je glede na naravo in vrsto nalog to možno, so organi državne uprave posredovali podatke o številu javnih uslužbencev prisotnih na delovnem mestu, številu javnih uslužbencev, ki opravljajo delo na domu, številu javnih uslužbencev, ki so na terenu ali imajo službeno pot ter številu odsotnih z dela zaradi drugih razlogov, in sicer za obdobje od srede 8. do torka 14. decembra  2021.</w:t>
      </w:r>
    </w:p>
    <w:p w14:paraId="7C57E873" w14:textId="77777777" w:rsidR="009610E6" w:rsidRPr="0004492D" w:rsidRDefault="009610E6" w:rsidP="0004492D">
      <w:pPr>
        <w:autoSpaceDE w:val="0"/>
        <w:autoSpaceDN w:val="0"/>
        <w:adjustRightInd w:val="0"/>
        <w:spacing w:line="240" w:lineRule="auto"/>
        <w:jc w:val="both"/>
        <w:rPr>
          <w:rFonts w:cs="Arial"/>
          <w:color w:val="000000"/>
          <w:szCs w:val="20"/>
        </w:rPr>
      </w:pPr>
    </w:p>
    <w:p w14:paraId="537D7DE9" w14:textId="10A0BFD1" w:rsidR="009610E6" w:rsidRPr="0004492D" w:rsidRDefault="009610E6" w:rsidP="0004492D">
      <w:pPr>
        <w:autoSpaceDE w:val="0"/>
        <w:autoSpaceDN w:val="0"/>
        <w:adjustRightInd w:val="0"/>
        <w:spacing w:line="240" w:lineRule="auto"/>
        <w:jc w:val="both"/>
        <w:rPr>
          <w:rFonts w:cs="Arial"/>
          <w:color w:val="000000"/>
          <w:szCs w:val="20"/>
        </w:rPr>
      </w:pPr>
      <w:r w:rsidRPr="0004492D">
        <w:rPr>
          <w:rFonts w:cs="Arial"/>
          <w:color w:val="000000"/>
          <w:szCs w:val="20"/>
        </w:rPr>
        <w:t>Zbrani podatki kažejo, da je bilo v povprečju v organih državne uprave (skupaj) v tednu med 8. in 14. decembrom 2021 na delovnem mestu prisotnih 54 odstotkov zaposlenih, v ministrstvih (skupaj z organi v sestavi) pa je bilo v tem obdobju v povprečju na delovnem mestu prisotnih 52 odstotkov zaposlenih.</w:t>
      </w:r>
    </w:p>
    <w:p w14:paraId="10543E45" w14:textId="77777777" w:rsidR="009610E6" w:rsidRPr="0004492D" w:rsidRDefault="009610E6" w:rsidP="0004492D">
      <w:pPr>
        <w:autoSpaceDE w:val="0"/>
        <w:autoSpaceDN w:val="0"/>
        <w:adjustRightInd w:val="0"/>
        <w:spacing w:line="240" w:lineRule="auto"/>
        <w:jc w:val="both"/>
        <w:rPr>
          <w:rFonts w:cs="Arial"/>
          <w:color w:val="000000"/>
          <w:szCs w:val="20"/>
        </w:rPr>
      </w:pPr>
    </w:p>
    <w:p w14:paraId="302B96DE" w14:textId="0AE5A2C1" w:rsidR="009610E6" w:rsidRPr="0004492D" w:rsidRDefault="009610E6"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javno upravo</w:t>
      </w:r>
    </w:p>
    <w:p w14:paraId="282E7832" w14:textId="77777777" w:rsidR="002D2E48" w:rsidRPr="0004492D" w:rsidRDefault="002D2E48" w:rsidP="0004492D">
      <w:pPr>
        <w:autoSpaceDE w:val="0"/>
        <w:autoSpaceDN w:val="0"/>
        <w:adjustRightInd w:val="0"/>
        <w:spacing w:line="240" w:lineRule="auto"/>
        <w:jc w:val="both"/>
        <w:rPr>
          <w:rFonts w:cs="Arial"/>
          <w:b/>
          <w:bCs/>
          <w:color w:val="000000"/>
          <w:szCs w:val="20"/>
        </w:rPr>
      </w:pPr>
    </w:p>
    <w:p w14:paraId="4373C1FB" w14:textId="3F9E097A" w:rsidR="00F20B08" w:rsidRPr="0004492D" w:rsidRDefault="00F20B08"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potrdila podaljšanje veljavnosti ukrepov upravičenosti do dodatka za neposredno delo s pacienti obolelimi za COVID-19</w:t>
      </w:r>
    </w:p>
    <w:p w14:paraId="4AE59E5D" w14:textId="77777777" w:rsidR="00F20B08" w:rsidRPr="0004492D" w:rsidRDefault="00F20B08" w:rsidP="0004492D">
      <w:pPr>
        <w:autoSpaceDE w:val="0"/>
        <w:autoSpaceDN w:val="0"/>
        <w:adjustRightInd w:val="0"/>
        <w:spacing w:line="240" w:lineRule="auto"/>
        <w:jc w:val="both"/>
        <w:rPr>
          <w:rFonts w:cs="Arial"/>
          <w:b/>
          <w:bCs/>
          <w:color w:val="000000"/>
          <w:szCs w:val="20"/>
        </w:rPr>
      </w:pPr>
    </w:p>
    <w:p w14:paraId="65F92A01" w14:textId="77777777" w:rsidR="00F20B08" w:rsidRPr="0004492D" w:rsidRDefault="00F20B08" w:rsidP="0004492D">
      <w:pPr>
        <w:autoSpaceDE w:val="0"/>
        <w:autoSpaceDN w:val="0"/>
        <w:adjustRightInd w:val="0"/>
        <w:spacing w:line="240" w:lineRule="auto"/>
        <w:jc w:val="both"/>
        <w:rPr>
          <w:rFonts w:cs="Arial"/>
          <w:color w:val="000000"/>
          <w:szCs w:val="20"/>
        </w:rPr>
      </w:pPr>
      <w:r w:rsidRPr="0004492D">
        <w:rPr>
          <w:rFonts w:cs="Arial"/>
          <w:color w:val="000000"/>
          <w:szCs w:val="20"/>
        </w:rPr>
        <w:t>Vlada Republike Slovenije je potrdila podaljšanje veljavnosti ukrepov upravičenosti do dodatka za neposredno delo s pacienti oziroma uporabniki, obolelimi za COVID-19, do 30. junija 2022, katerega trenutna veljavnost se sicer izteče z 31. decembrom 2021.</w:t>
      </w:r>
    </w:p>
    <w:p w14:paraId="22CD4880" w14:textId="77777777" w:rsidR="00F20B08" w:rsidRPr="0004492D" w:rsidRDefault="00F20B08" w:rsidP="0004492D">
      <w:pPr>
        <w:autoSpaceDE w:val="0"/>
        <w:autoSpaceDN w:val="0"/>
        <w:adjustRightInd w:val="0"/>
        <w:spacing w:line="240" w:lineRule="auto"/>
        <w:jc w:val="both"/>
        <w:rPr>
          <w:rFonts w:cs="Arial"/>
          <w:color w:val="000000"/>
          <w:szCs w:val="20"/>
        </w:rPr>
      </w:pPr>
    </w:p>
    <w:p w14:paraId="38630BB3" w14:textId="77777777" w:rsidR="00F20B08" w:rsidRPr="0004492D" w:rsidRDefault="00F20B08"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 času, ko ni razglašena epidemija nalezljive bolezni COVID-19, je dodatek za delo s pacienti obolelimi za COVID-19 iz 33. člena Zakona o interventnih ukrepih za pomoč pri omilitvi posledic drugega vala epidemije COVID-19 finančna spodbuda zdravstvenim delavcem, ki opravljajo neposredno delo s temi pacienti, in sicer prejmejo dodatek v višini 30 odstotkov urne postavke osnovne plače zaposlenega. </w:t>
      </w:r>
    </w:p>
    <w:p w14:paraId="4AC4AA84" w14:textId="77777777" w:rsidR="00F20B08" w:rsidRPr="0004492D" w:rsidRDefault="00F20B08" w:rsidP="0004492D">
      <w:pPr>
        <w:autoSpaceDE w:val="0"/>
        <w:autoSpaceDN w:val="0"/>
        <w:adjustRightInd w:val="0"/>
        <w:spacing w:line="240" w:lineRule="auto"/>
        <w:jc w:val="both"/>
        <w:rPr>
          <w:rFonts w:cs="Arial"/>
          <w:color w:val="000000"/>
          <w:szCs w:val="20"/>
        </w:rPr>
      </w:pPr>
    </w:p>
    <w:p w14:paraId="75CE77A5" w14:textId="77777777" w:rsidR="00F20B08" w:rsidRPr="0004492D" w:rsidRDefault="00F20B08" w:rsidP="0004492D">
      <w:pPr>
        <w:autoSpaceDE w:val="0"/>
        <w:autoSpaceDN w:val="0"/>
        <w:adjustRightInd w:val="0"/>
        <w:spacing w:line="240" w:lineRule="auto"/>
        <w:jc w:val="both"/>
        <w:rPr>
          <w:rFonts w:cs="Arial"/>
          <w:color w:val="000000"/>
          <w:szCs w:val="20"/>
        </w:rPr>
      </w:pPr>
      <w:r w:rsidRPr="0004492D">
        <w:rPr>
          <w:rFonts w:cs="Arial"/>
          <w:color w:val="000000"/>
          <w:szCs w:val="20"/>
        </w:rPr>
        <w:t>Dodatek prejmejo le za delo na zakonsko opredeljenih posameznih deloviščih in v organizacijskih enotah, kjer se obravnavajo pacienti oziroma uporabniki, za katere obstaja sum na okužbo s COVID-19 (siva cona), in kjer se obravnavajo pacienti oziroma uporabniki, za katere je sum na okužbo s COVID-19 potrjen (rdeča cona).</w:t>
      </w:r>
    </w:p>
    <w:p w14:paraId="0CD0F226" w14:textId="77777777" w:rsidR="00F20B08" w:rsidRPr="0004492D" w:rsidRDefault="00F20B08" w:rsidP="0004492D">
      <w:pPr>
        <w:autoSpaceDE w:val="0"/>
        <w:autoSpaceDN w:val="0"/>
        <w:adjustRightInd w:val="0"/>
        <w:spacing w:line="240" w:lineRule="auto"/>
        <w:jc w:val="both"/>
        <w:rPr>
          <w:rFonts w:cs="Arial"/>
          <w:color w:val="000000"/>
          <w:szCs w:val="20"/>
        </w:rPr>
      </w:pPr>
    </w:p>
    <w:p w14:paraId="236A2134" w14:textId="46E6635C" w:rsidR="00246179" w:rsidRPr="0004492D" w:rsidRDefault="00F20B08"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zdravje</w:t>
      </w:r>
    </w:p>
    <w:p w14:paraId="39888DB9"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490F14DA" w14:textId="031B9983" w:rsidR="00F20B08" w:rsidRPr="0004492D" w:rsidRDefault="00F20B08"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potrdila podaljšanje veljavnosti določenih ukrepov iz Zakona o nujnih ukrepih na področju zdravstva</w:t>
      </w:r>
    </w:p>
    <w:p w14:paraId="629FDBD7" w14:textId="77777777" w:rsidR="00F20B08" w:rsidRPr="0004492D" w:rsidRDefault="00F20B08" w:rsidP="0004492D">
      <w:pPr>
        <w:autoSpaceDE w:val="0"/>
        <w:autoSpaceDN w:val="0"/>
        <w:adjustRightInd w:val="0"/>
        <w:spacing w:line="240" w:lineRule="auto"/>
        <w:jc w:val="both"/>
        <w:rPr>
          <w:rFonts w:cs="Arial"/>
          <w:b/>
          <w:bCs/>
          <w:color w:val="000000"/>
          <w:szCs w:val="20"/>
        </w:rPr>
      </w:pPr>
    </w:p>
    <w:p w14:paraId="29C1AF7B" w14:textId="77777777" w:rsidR="00F20B08" w:rsidRPr="0004492D" w:rsidRDefault="00F20B08" w:rsidP="0004492D">
      <w:pPr>
        <w:autoSpaceDE w:val="0"/>
        <w:autoSpaceDN w:val="0"/>
        <w:adjustRightInd w:val="0"/>
        <w:spacing w:line="240" w:lineRule="auto"/>
        <w:jc w:val="both"/>
        <w:rPr>
          <w:rFonts w:cs="Arial"/>
          <w:color w:val="000000"/>
          <w:szCs w:val="20"/>
        </w:rPr>
      </w:pPr>
      <w:r w:rsidRPr="0004492D">
        <w:rPr>
          <w:rFonts w:cs="Arial"/>
          <w:color w:val="000000"/>
          <w:szCs w:val="20"/>
        </w:rPr>
        <w:t>Vlada Republike Slovenije je sprejela podaljšanje veljavnosti, v nadaljevanju navedenih ukrepov iz Zakona o nujnih ukrepih na področju zdravstva do 30. junija 2022, katerih trenutna veljavnost se sicer izteče z 31. decembrom 2021.</w:t>
      </w:r>
    </w:p>
    <w:p w14:paraId="0675DC80" w14:textId="77777777" w:rsidR="00F20B08" w:rsidRPr="0004492D" w:rsidRDefault="00F20B08" w:rsidP="0004492D">
      <w:pPr>
        <w:autoSpaceDE w:val="0"/>
        <w:autoSpaceDN w:val="0"/>
        <w:adjustRightInd w:val="0"/>
        <w:spacing w:line="240" w:lineRule="auto"/>
        <w:jc w:val="both"/>
        <w:rPr>
          <w:rFonts w:cs="Arial"/>
          <w:color w:val="000000"/>
          <w:szCs w:val="20"/>
        </w:rPr>
      </w:pPr>
    </w:p>
    <w:p w14:paraId="7298D3AB" w14:textId="77777777" w:rsidR="00F20B08" w:rsidRPr="0004492D" w:rsidRDefault="00F20B08"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Vlada Republike Slovenije je 7. julija 2021 sprejela Zakon o nujnih ukrepih na področju zdravstva (ZNUPZ), ki v 14. členu določa, da se osebam, ki so prebolele okužbo z virusom SARS-CoV-2 in se po končani medicinski rehabilitaciji pri izvajalcih bolnišnične dejavnosti ali izvajalcih zdravstvene dejavnosti na terciarni ravni zaradi nepopolne samooskrbe ne morejo vrniti v domače </w:t>
      </w:r>
      <w:r w:rsidRPr="0004492D">
        <w:rPr>
          <w:rFonts w:cs="Arial"/>
          <w:color w:val="000000"/>
          <w:szCs w:val="20"/>
        </w:rPr>
        <w:lastRenderedPageBreak/>
        <w:t xml:space="preserve">okolje, omogoči podaljšana obravnava, ki je namenjena zagotavljanju storitev zdravstvene nege, fizioterapije in delovne terapije. </w:t>
      </w:r>
    </w:p>
    <w:p w14:paraId="32CC0A99" w14:textId="77777777" w:rsidR="00465838" w:rsidRPr="0004492D" w:rsidRDefault="00465838" w:rsidP="0004492D">
      <w:pPr>
        <w:autoSpaceDE w:val="0"/>
        <w:autoSpaceDN w:val="0"/>
        <w:adjustRightInd w:val="0"/>
        <w:spacing w:line="240" w:lineRule="auto"/>
        <w:jc w:val="both"/>
        <w:rPr>
          <w:rFonts w:cs="Arial"/>
          <w:color w:val="000000"/>
          <w:szCs w:val="20"/>
        </w:rPr>
      </w:pPr>
    </w:p>
    <w:p w14:paraId="6BFD37A9" w14:textId="18634147" w:rsidR="00F20B08" w:rsidRPr="0004492D" w:rsidRDefault="00F20B08"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 21. členu ZNUPZ določa, da se zagotovijo izvajanje mikrobioloških preiskav </w:t>
      </w:r>
      <w:proofErr w:type="spellStart"/>
      <w:r w:rsidRPr="0004492D">
        <w:rPr>
          <w:rFonts w:cs="Arial"/>
          <w:color w:val="000000"/>
          <w:szCs w:val="20"/>
        </w:rPr>
        <w:t>sekvenciranja</w:t>
      </w:r>
      <w:proofErr w:type="spellEnd"/>
      <w:r w:rsidRPr="0004492D">
        <w:rPr>
          <w:rFonts w:cs="Arial"/>
          <w:color w:val="000000"/>
          <w:szCs w:val="20"/>
        </w:rPr>
        <w:t xml:space="preserve"> genoma SARS-CoV-2 in spremljanje virusa SARS-CoV-2 v odpadnih vodah ter natančne karakterizacije variantnih virusov. Sredstva za </w:t>
      </w:r>
      <w:proofErr w:type="spellStart"/>
      <w:r w:rsidRPr="0004492D">
        <w:rPr>
          <w:rFonts w:cs="Arial"/>
          <w:color w:val="000000"/>
          <w:szCs w:val="20"/>
        </w:rPr>
        <w:t>sekvenciranje</w:t>
      </w:r>
      <w:proofErr w:type="spellEnd"/>
      <w:r w:rsidRPr="0004492D">
        <w:rPr>
          <w:rFonts w:cs="Arial"/>
          <w:color w:val="000000"/>
          <w:szCs w:val="20"/>
        </w:rPr>
        <w:t xml:space="preserve"> in spremljanje virusa v odpadnih vodah se zagotavljajo iz proračuna Republike Slovenije oziroma sredstev, pridobljenih iz proračuna Evropske unije.</w:t>
      </w:r>
    </w:p>
    <w:p w14:paraId="6C4D4800" w14:textId="77777777" w:rsidR="00F20B08" w:rsidRPr="0004492D" w:rsidRDefault="00F20B08" w:rsidP="0004492D">
      <w:pPr>
        <w:autoSpaceDE w:val="0"/>
        <w:autoSpaceDN w:val="0"/>
        <w:adjustRightInd w:val="0"/>
        <w:spacing w:line="240" w:lineRule="auto"/>
        <w:jc w:val="both"/>
        <w:rPr>
          <w:rFonts w:cs="Arial"/>
          <w:color w:val="000000"/>
          <w:szCs w:val="20"/>
        </w:rPr>
      </w:pPr>
    </w:p>
    <w:p w14:paraId="6BD020B5" w14:textId="77777777" w:rsidR="00F20B08" w:rsidRPr="0004492D" w:rsidRDefault="00F20B08"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 22. členu ZNUPZ določa, da se z metodo verižne reakcije s polimerazo, ki jo izvajajo javni zavodi, ki imajo medicinski laboratorij z dovoljenjem za področje klinične mikrobiologije, zagotovi izvajanje mikrobioloških preiskav glede virusa SARS-CoV-2. </w:t>
      </w:r>
    </w:p>
    <w:p w14:paraId="2A83B192" w14:textId="77777777" w:rsidR="00F20B08" w:rsidRPr="0004492D" w:rsidRDefault="00F20B08" w:rsidP="0004492D">
      <w:pPr>
        <w:autoSpaceDE w:val="0"/>
        <w:autoSpaceDN w:val="0"/>
        <w:adjustRightInd w:val="0"/>
        <w:spacing w:line="240" w:lineRule="auto"/>
        <w:jc w:val="both"/>
        <w:rPr>
          <w:rFonts w:cs="Arial"/>
          <w:color w:val="000000"/>
          <w:szCs w:val="20"/>
        </w:rPr>
      </w:pPr>
    </w:p>
    <w:p w14:paraId="46B1D723" w14:textId="19400495" w:rsidR="00246179" w:rsidRPr="0004492D" w:rsidRDefault="00F20B08"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zdravje</w:t>
      </w:r>
    </w:p>
    <w:p w14:paraId="2F9726E4" w14:textId="77777777" w:rsidR="00246179" w:rsidRPr="0004492D" w:rsidRDefault="00246179" w:rsidP="0004492D">
      <w:pPr>
        <w:autoSpaceDE w:val="0"/>
        <w:autoSpaceDN w:val="0"/>
        <w:adjustRightInd w:val="0"/>
        <w:spacing w:line="240" w:lineRule="auto"/>
        <w:jc w:val="both"/>
        <w:rPr>
          <w:rFonts w:cs="Arial"/>
          <w:color w:val="000000"/>
          <w:szCs w:val="20"/>
        </w:rPr>
      </w:pPr>
    </w:p>
    <w:p w14:paraId="47788186" w14:textId="63AD2A0D" w:rsidR="00E961C0" w:rsidRPr="0004492D" w:rsidRDefault="00E961C0"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potrdila podaljšanje veljavnosti ukrepa zagotavljanja izvajanja podaljšane obravnave</w:t>
      </w:r>
    </w:p>
    <w:p w14:paraId="750DDAA7" w14:textId="77777777" w:rsidR="00E961C0" w:rsidRPr="0004492D" w:rsidRDefault="00E961C0" w:rsidP="0004492D">
      <w:pPr>
        <w:autoSpaceDE w:val="0"/>
        <w:autoSpaceDN w:val="0"/>
        <w:adjustRightInd w:val="0"/>
        <w:spacing w:line="240" w:lineRule="auto"/>
        <w:jc w:val="both"/>
        <w:rPr>
          <w:rFonts w:cs="Arial"/>
          <w:color w:val="000000"/>
          <w:szCs w:val="20"/>
        </w:rPr>
      </w:pPr>
    </w:p>
    <w:p w14:paraId="2F8A24DE" w14:textId="77777777" w:rsidR="00E961C0" w:rsidRPr="0004492D" w:rsidRDefault="00E961C0" w:rsidP="0004492D">
      <w:pPr>
        <w:autoSpaceDE w:val="0"/>
        <w:autoSpaceDN w:val="0"/>
        <w:adjustRightInd w:val="0"/>
        <w:spacing w:line="240" w:lineRule="auto"/>
        <w:jc w:val="both"/>
        <w:rPr>
          <w:rFonts w:cs="Arial"/>
          <w:color w:val="000000"/>
          <w:szCs w:val="20"/>
        </w:rPr>
      </w:pPr>
      <w:r w:rsidRPr="0004492D">
        <w:rPr>
          <w:rFonts w:cs="Arial"/>
          <w:color w:val="000000"/>
          <w:szCs w:val="20"/>
        </w:rPr>
        <w:t>Vlada Republike Slovenije je sprejela podaljšanje veljavnosti ukrepa zagotavljanja izvajanja podaljšane obravnave do 30. junija 2022, katerega trenutna veljavnost se sicer izteče z 31. decembrom 2021.</w:t>
      </w:r>
    </w:p>
    <w:p w14:paraId="61B51736" w14:textId="77777777" w:rsidR="00E961C0" w:rsidRPr="0004492D" w:rsidRDefault="00E961C0" w:rsidP="0004492D">
      <w:pPr>
        <w:autoSpaceDE w:val="0"/>
        <w:autoSpaceDN w:val="0"/>
        <w:adjustRightInd w:val="0"/>
        <w:spacing w:line="240" w:lineRule="auto"/>
        <w:jc w:val="both"/>
        <w:rPr>
          <w:rFonts w:cs="Arial"/>
          <w:color w:val="000000"/>
          <w:szCs w:val="20"/>
        </w:rPr>
      </w:pPr>
    </w:p>
    <w:p w14:paraId="7B486627" w14:textId="77777777" w:rsidR="00E961C0" w:rsidRPr="0004492D" w:rsidRDefault="00E961C0" w:rsidP="0004492D">
      <w:pPr>
        <w:autoSpaceDE w:val="0"/>
        <w:autoSpaceDN w:val="0"/>
        <w:adjustRightInd w:val="0"/>
        <w:spacing w:line="240" w:lineRule="auto"/>
        <w:jc w:val="both"/>
        <w:rPr>
          <w:rFonts w:cs="Arial"/>
          <w:color w:val="000000"/>
          <w:szCs w:val="20"/>
        </w:rPr>
      </w:pPr>
      <w:r w:rsidRPr="0004492D">
        <w:rPr>
          <w:rFonts w:cs="Arial"/>
          <w:color w:val="000000"/>
          <w:szCs w:val="20"/>
        </w:rPr>
        <w:t>Zakon o dodatnih ukrepih za omilitev posledic COVID-19 (ZNUPZ) določa, da se osebam, ki so prebolele okužbo z virusom SARS-CoV-2 in se po končanem bolnišničnem zdravljenju zaradi nepopolne samooskrbe še ne morejo vrniti v domače okolje, zagotovi podaljšanje izvajanja obravnave, tj. storitev zdravstvene nege, fizioterapije in delovne terapije. Dodatne zmogljivosti se zagotovijo v objektih, ki izpolnjujejo pogoje za izvajanje zdravstvene dejavnosti z nastanitvijo.</w:t>
      </w:r>
    </w:p>
    <w:p w14:paraId="2383E9D2" w14:textId="77777777" w:rsidR="00E961C0" w:rsidRPr="0004492D" w:rsidRDefault="00E961C0" w:rsidP="0004492D">
      <w:pPr>
        <w:autoSpaceDE w:val="0"/>
        <w:autoSpaceDN w:val="0"/>
        <w:adjustRightInd w:val="0"/>
        <w:spacing w:line="240" w:lineRule="auto"/>
        <w:jc w:val="both"/>
        <w:rPr>
          <w:rFonts w:cs="Arial"/>
          <w:color w:val="000000"/>
          <w:szCs w:val="20"/>
        </w:rPr>
      </w:pPr>
    </w:p>
    <w:p w14:paraId="54BBD61D" w14:textId="5DC099D0" w:rsidR="00246179" w:rsidRPr="0004492D" w:rsidRDefault="00E961C0"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zdravje</w:t>
      </w:r>
    </w:p>
    <w:p w14:paraId="40D9B573" w14:textId="7B12E466" w:rsidR="0004492D" w:rsidRPr="0004492D" w:rsidRDefault="0004492D" w:rsidP="0004492D">
      <w:pPr>
        <w:autoSpaceDE w:val="0"/>
        <w:autoSpaceDN w:val="0"/>
        <w:adjustRightInd w:val="0"/>
        <w:spacing w:line="240" w:lineRule="auto"/>
        <w:jc w:val="both"/>
        <w:rPr>
          <w:rFonts w:cs="Arial"/>
          <w:color w:val="000000"/>
          <w:szCs w:val="20"/>
        </w:rPr>
      </w:pPr>
    </w:p>
    <w:p w14:paraId="588FD0F6" w14:textId="436AF543" w:rsidR="0004492D" w:rsidRPr="0004492D" w:rsidRDefault="0004492D" w:rsidP="00521B00">
      <w:pPr>
        <w:spacing w:line="240" w:lineRule="auto"/>
        <w:jc w:val="both"/>
        <w:rPr>
          <w:rFonts w:cs="Arial"/>
          <w:b/>
          <w:bCs/>
          <w:szCs w:val="20"/>
        </w:rPr>
      </w:pPr>
      <w:r w:rsidRPr="0004492D">
        <w:rPr>
          <w:rFonts w:cs="Arial"/>
          <w:b/>
          <w:bCs/>
          <w:szCs w:val="20"/>
        </w:rPr>
        <w:t>Vlada</w:t>
      </w:r>
      <w:r w:rsidR="00521B00">
        <w:rPr>
          <w:rFonts w:cs="Arial"/>
          <w:b/>
          <w:bCs/>
          <w:szCs w:val="20"/>
        </w:rPr>
        <w:t xml:space="preserve"> </w:t>
      </w:r>
      <w:r w:rsidRPr="0004492D">
        <w:rPr>
          <w:rFonts w:cs="Arial"/>
          <w:b/>
          <w:bCs/>
          <w:szCs w:val="20"/>
        </w:rPr>
        <w:t xml:space="preserve">sprejela </w:t>
      </w:r>
      <w:bookmarkStart w:id="0" w:name="_Hlk83803347"/>
      <w:r w:rsidRPr="0004492D">
        <w:rPr>
          <w:rFonts w:cs="Arial"/>
          <w:b/>
          <w:szCs w:val="20"/>
        </w:rPr>
        <w:t>Odlok o spremembah in dopolnitvah Odloka o začasnih ukrepih za preprečevanje in obvladovanje okužb z nalezljivo boleznijo COVID-19</w:t>
      </w:r>
      <w:bookmarkEnd w:id="0"/>
      <w:r w:rsidRPr="0004492D">
        <w:rPr>
          <w:rFonts w:cs="Arial"/>
          <w:b/>
          <w:szCs w:val="20"/>
        </w:rPr>
        <w:t xml:space="preserve">  </w:t>
      </w:r>
    </w:p>
    <w:p w14:paraId="205041BD" w14:textId="77777777" w:rsidR="0004492D" w:rsidRPr="0004492D" w:rsidRDefault="0004492D" w:rsidP="00521B00">
      <w:pPr>
        <w:spacing w:line="240" w:lineRule="auto"/>
        <w:jc w:val="both"/>
        <w:rPr>
          <w:rFonts w:cs="Arial"/>
          <w:noProof/>
          <w:szCs w:val="20"/>
        </w:rPr>
      </w:pPr>
    </w:p>
    <w:p w14:paraId="41F6B75E" w14:textId="77777777" w:rsidR="0004492D" w:rsidRPr="0004492D" w:rsidRDefault="0004492D" w:rsidP="0004492D">
      <w:pPr>
        <w:shd w:val="clear" w:color="auto" w:fill="FFFFFF"/>
        <w:spacing w:line="240" w:lineRule="auto"/>
        <w:jc w:val="both"/>
        <w:rPr>
          <w:rFonts w:cs="Arial"/>
          <w:bCs/>
          <w:szCs w:val="20"/>
        </w:rPr>
      </w:pPr>
      <w:r w:rsidRPr="0004492D">
        <w:rPr>
          <w:rFonts w:cs="Arial"/>
          <w:szCs w:val="20"/>
          <w:lang w:eastAsia="sl-SI"/>
        </w:rPr>
        <w:t xml:space="preserve">Vlada Republike Slovenije je izdala </w:t>
      </w:r>
      <w:bookmarkStart w:id="1" w:name="_Hlk87474192"/>
      <w:r w:rsidRPr="0004492D">
        <w:rPr>
          <w:rFonts w:cs="Arial"/>
          <w:szCs w:val="20"/>
          <w:lang w:eastAsia="sl-SI"/>
        </w:rPr>
        <w:t xml:space="preserve">Odlok o </w:t>
      </w:r>
      <w:r w:rsidRPr="0004492D">
        <w:rPr>
          <w:rFonts w:cs="Arial"/>
          <w:bCs/>
          <w:szCs w:val="20"/>
        </w:rPr>
        <w:t>spremembah in dopolnitvah Odloka o začasnih ukrepih za preprečevanje in obvladovanje okužb z nalezljivo boleznijo COVID-19</w:t>
      </w:r>
      <w:r w:rsidRPr="0004492D">
        <w:rPr>
          <w:rFonts w:cs="Arial"/>
          <w:szCs w:val="20"/>
          <w:lang w:eastAsia="sl-SI"/>
        </w:rPr>
        <w:t xml:space="preserve"> </w:t>
      </w:r>
      <w:bookmarkEnd w:id="1"/>
      <w:r w:rsidRPr="0004492D">
        <w:rPr>
          <w:rFonts w:cs="Arial"/>
          <w:szCs w:val="20"/>
          <w:lang w:eastAsia="sl-SI"/>
        </w:rPr>
        <w:t>ter ga objavi v Uradnem listu Republike Slovenije.</w:t>
      </w:r>
      <w:r w:rsidRPr="0004492D">
        <w:rPr>
          <w:rFonts w:cs="Arial"/>
          <w:szCs w:val="20"/>
        </w:rPr>
        <w:t xml:space="preserve"> Odlok začne veljati naslednji dan po objavi v Uradnem listu Republike Slovenije, uporabljati pa se začne 1. februarja 2022. </w:t>
      </w:r>
    </w:p>
    <w:p w14:paraId="30E56478" w14:textId="77777777" w:rsidR="0004492D" w:rsidRPr="0004492D" w:rsidRDefault="0004492D" w:rsidP="0004492D">
      <w:pPr>
        <w:spacing w:line="240" w:lineRule="auto"/>
        <w:rPr>
          <w:rFonts w:cs="Arial"/>
          <w:szCs w:val="20"/>
          <w:lang w:eastAsia="sl-SI"/>
        </w:rPr>
      </w:pPr>
    </w:p>
    <w:p w14:paraId="6B4C28D5" w14:textId="77777777" w:rsidR="0004492D" w:rsidRPr="0004492D" w:rsidRDefault="0004492D" w:rsidP="0004492D">
      <w:pPr>
        <w:spacing w:line="240" w:lineRule="auto"/>
        <w:jc w:val="both"/>
        <w:rPr>
          <w:rFonts w:cs="Arial"/>
          <w:szCs w:val="20"/>
        </w:rPr>
      </w:pPr>
      <w:r w:rsidRPr="0004492D">
        <w:rPr>
          <w:rFonts w:cs="Arial"/>
          <w:szCs w:val="20"/>
        </w:rPr>
        <w:t xml:space="preserve">Odlok ureja, da veljavnost dokazilu  o cepljenju osebe poteče po 270 dneh od prejema drugega odmerka cepiva, kar temelji na priporočilu Posvetovalne  skupine za cepljenje z dne 13. 12. 2021. Veljavnost dokazila se podaljša, če se oseba v obdobju 270 dni od osnovne sheme cepljenja cepi s </w:t>
      </w:r>
      <w:proofErr w:type="spellStart"/>
      <w:r w:rsidRPr="0004492D">
        <w:rPr>
          <w:rFonts w:cs="Arial"/>
          <w:szCs w:val="20"/>
        </w:rPr>
        <w:t>poživitvenim</w:t>
      </w:r>
      <w:proofErr w:type="spellEnd"/>
      <w:r w:rsidRPr="0004492D">
        <w:rPr>
          <w:rFonts w:cs="Arial"/>
          <w:szCs w:val="20"/>
        </w:rPr>
        <w:t xml:space="preserve"> odmerkom cepiva. Navedena ureditev velja le za osebe, ki so starejše od 18 let. </w:t>
      </w:r>
    </w:p>
    <w:p w14:paraId="63C75A07" w14:textId="77777777" w:rsidR="0004492D" w:rsidRPr="0004492D" w:rsidRDefault="0004492D" w:rsidP="0004492D">
      <w:pPr>
        <w:spacing w:line="240" w:lineRule="auto"/>
        <w:rPr>
          <w:rFonts w:cs="Arial"/>
          <w:szCs w:val="20"/>
          <w:lang w:eastAsia="sl-SI"/>
        </w:rPr>
      </w:pPr>
    </w:p>
    <w:p w14:paraId="71D5B90C" w14:textId="35AA8EC7" w:rsidR="0004492D" w:rsidRDefault="0004492D" w:rsidP="0004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r w:rsidRPr="0004492D">
        <w:rPr>
          <w:rFonts w:cs="Arial"/>
          <w:szCs w:val="20"/>
          <w:lang w:eastAsia="sl-SI"/>
        </w:rPr>
        <w:t xml:space="preserve">Evropski center za preprečevanje in obvladovanje bolezni (ECDC) je 15. 12. 2021 v dopolnjeni oceni tveganja glede COVID-19 izpostavil, da bodo po trenutno razpoložljivih dokazih </w:t>
      </w:r>
      <w:proofErr w:type="spellStart"/>
      <w:r w:rsidRPr="0004492D">
        <w:rPr>
          <w:rFonts w:cs="Arial"/>
          <w:szCs w:val="20"/>
          <w:lang w:eastAsia="sl-SI"/>
        </w:rPr>
        <w:t>poživitveni</w:t>
      </w:r>
      <w:proofErr w:type="spellEnd"/>
      <w:r w:rsidRPr="0004492D">
        <w:rPr>
          <w:rFonts w:cs="Arial"/>
          <w:szCs w:val="20"/>
          <w:lang w:eastAsia="sl-SI"/>
        </w:rPr>
        <w:t xml:space="preserve"> odmerki povečali zaščito pred hudimi izidi, ki jih povzroča zaskrbljujoča varianta Delta. Predhodne ocene pa kažejo tudi, da bi </w:t>
      </w:r>
      <w:proofErr w:type="spellStart"/>
      <w:r w:rsidRPr="0004492D">
        <w:rPr>
          <w:rFonts w:cs="Arial"/>
          <w:szCs w:val="20"/>
          <w:lang w:eastAsia="sl-SI"/>
        </w:rPr>
        <w:t>poživitveni</w:t>
      </w:r>
      <w:proofErr w:type="spellEnd"/>
      <w:r w:rsidRPr="0004492D">
        <w:rPr>
          <w:rFonts w:cs="Arial"/>
          <w:szCs w:val="20"/>
          <w:lang w:eastAsia="sl-SI"/>
        </w:rPr>
        <w:t xml:space="preserve"> odmerki lahko povečali zaščito pred zaskrbljujočo varianto Omikron, ki bo po njihovih projekcijah v začetku leta 2022 postala prevladujoča različica v državah Evropske unije. </w:t>
      </w:r>
    </w:p>
    <w:p w14:paraId="6B34408E" w14:textId="77777777" w:rsidR="00521B00" w:rsidRPr="0004492D" w:rsidRDefault="00521B00" w:rsidP="0004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p>
    <w:p w14:paraId="0B7C2BD7" w14:textId="77777777" w:rsidR="00521B00" w:rsidRPr="0004492D" w:rsidRDefault="00521B00" w:rsidP="00521B00">
      <w:pPr>
        <w:autoSpaceDE w:val="0"/>
        <w:autoSpaceDN w:val="0"/>
        <w:adjustRightInd w:val="0"/>
        <w:spacing w:line="240" w:lineRule="auto"/>
        <w:jc w:val="both"/>
        <w:rPr>
          <w:rFonts w:cs="Arial"/>
          <w:color w:val="000000"/>
          <w:szCs w:val="20"/>
        </w:rPr>
      </w:pPr>
      <w:r w:rsidRPr="0004492D">
        <w:rPr>
          <w:rFonts w:cs="Arial"/>
          <w:color w:val="000000"/>
          <w:szCs w:val="20"/>
        </w:rPr>
        <w:t>Vir: Ministrstvo za zdravje</w:t>
      </w:r>
    </w:p>
    <w:p w14:paraId="4511F5D8"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1DEF5FF0" w14:textId="77777777" w:rsidR="0004492D" w:rsidRPr="0004492D" w:rsidRDefault="0004492D" w:rsidP="0004492D">
      <w:pPr>
        <w:overflowPunct w:val="0"/>
        <w:autoSpaceDE w:val="0"/>
        <w:autoSpaceDN w:val="0"/>
        <w:adjustRightInd w:val="0"/>
        <w:spacing w:line="240" w:lineRule="auto"/>
        <w:textAlignment w:val="baseline"/>
        <w:rPr>
          <w:rFonts w:cs="Arial"/>
          <w:szCs w:val="20"/>
        </w:rPr>
      </w:pPr>
      <w:r w:rsidRPr="0004492D">
        <w:rPr>
          <w:rFonts w:cs="Arial"/>
          <w:b/>
          <w:iCs/>
          <w:szCs w:val="20"/>
        </w:rPr>
        <w:t xml:space="preserve">Vlada na današnji seji določila </w:t>
      </w:r>
      <w:r w:rsidRPr="0004492D">
        <w:rPr>
          <w:rFonts w:cs="Arial"/>
          <w:b/>
          <w:bCs/>
          <w:szCs w:val="20"/>
          <w:lang w:eastAsia="sl-SI"/>
        </w:rPr>
        <w:t>besedilo predloga Zakona o elektronskih komunikacijah</w:t>
      </w:r>
      <w:r w:rsidRPr="0004492D">
        <w:rPr>
          <w:rFonts w:cs="Arial"/>
          <w:szCs w:val="20"/>
          <w:lang w:eastAsia="sl-SI"/>
        </w:rPr>
        <w:t xml:space="preserve"> </w:t>
      </w:r>
    </w:p>
    <w:p w14:paraId="50D11CAB" w14:textId="77777777" w:rsidR="0004492D" w:rsidRPr="0004492D" w:rsidRDefault="0004492D" w:rsidP="0004492D">
      <w:pPr>
        <w:spacing w:line="240" w:lineRule="auto"/>
        <w:jc w:val="both"/>
        <w:rPr>
          <w:rFonts w:cs="Arial"/>
          <w:b/>
          <w:color w:val="000000"/>
          <w:szCs w:val="20"/>
        </w:rPr>
      </w:pPr>
    </w:p>
    <w:p w14:paraId="0145BACC" w14:textId="77777777" w:rsidR="0004492D" w:rsidRPr="0004492D" w:rsidRDefault="0004492D" w:rsidP="0004492D">
      <w:pPr>
        <w:overflowPunct w:val="0"/>
        <w:autoSpaceDE w:val="0"/>
        <w:autoSpaceDN w:val="0"/>
        <w:adjustRightInd w:val="0"/>
        <w:spacing w:line="240" w:lineRule="auto"/>
        <w:jc w:val="both"/>
        <w:textAlignment w:val="baseline"/>
        <w:rPr>
          <w:rFonts w:cs="Arial"/>
          <w:szCs w:val="20"/>
          <w:lang w:eastAsia="sl-SI"/>
        </w:rPr>
      </w:pPr>
      <w:bookmarkStart w:id="2" w:name="_Hlk90654881"/>
      <w:r w:rsidRPr="0004492D">
        <w:rPr>
          <w:rFonts w:cs="Arial"/>
          <w:szCs w:val="20"/>
          <w:lang w:eastAsia="sl-SI"/>
        </w:rPr>
        <w:t>Vlada Republike Slovenije je določila besedilo predloga Zakona o elektronskih komunikacijah in ga pošlje v obravnavo in sprejetje Državnemu zboru Republike Slovenije po rednem zakonodajnem postopku.</w:t>
      </w:r>
    </w:p>
    <w:bookmarkEnd w:id="2"/>
    <w:p w14:paraId="6B1BD316" w14:textId="77777777" w:rsidR="0004492D" w:rsidRPr="0004492D" w:rsidRDefault="0004492D" w:rsidP="0004492D">
      <w:pPr>
        <w:spacing w:line="240" w:lineRule="auto"/>
        <w:jc w:val="both"/>
        <w:rPr>
          <w:rFonts w:cs="Arial"/>
          <w:szCs w:val="20"/>
        </w:rPr>
      </w:pPr>
    </w:p>
    <w:p w14:paraId="257DEEED" w14:textId="77777777" w:rsidR="0004492D" w:rsidRPr="0004492D" w:rsidRDefault="0004492D" w:rsidP="0004492D">
      <w:pPr>
        <w:spacing w:line="240" w:lineRule="auto"/>
        <w:jc w:val="both"/>
        <w:rPr>
          <w:rFonts w:cs="Arial"/>
          <w:szCs w:val="20"/>
        </w:rPr>
      </w:pPr>
      <w:r w:rsidRPr="0004492D">
        <w:rPr>
          <w:rFonts w:cs="Arial"/>
          <w:szCs w:val="20"/>
        </w:rPr>
        <w:t xml:space="preserve">Konec decembra 2018 je bila sprejeta Direktiva (EU) 2018/1972 o Evropskem zakoniku o elektronskih komunikacijah (Direktiva 2018/1972/EU), ki spreminja obstoječ regulativni okvir </w:t>
      </w:r>
      <w:r w:rsidRPr="0004492D">
        <w:rPr>
          <w:rFonts w:cs="Arial"/>
          <w:szCs w:val="20"/>
        </w:rPr>
        <w:lastRenderedPageBreak/>
        <w:t>Evropske unije za področje elektronskih komunikacij, z rokom za prenos do 21. decembra 2020. Področje elektronskih komunikacij je v Republiki Sloveniji urejeno z Zakonom o elektronskih komunikacijah (ZEKom-1) iz leta 2012. Zaradi kompleksnosti in obsežnosti sprememb, ki jih prinaša spremenjen regulativni okvir, je predlagan sprejem novega sistemskega zakona o elektronskih komunikacijah in ne morebitne zakonske novele. Hkrati z uskladitvijo z določbami Direktive 2018/1972/EU se predlaga izboljšava obstoječe zakonske ureditve v delu, ko gre za nacionalne določbe ali pa je mogoče zagotoviti jasnejši in primernejši način prenosa določb predpisov EU. Ob tem se v poglavju o varnosti omrežij in storitev ter delovanju v stanjih ogroženosti hkrati zagotavlja tudi implementacija (zlasti strateških) ukrepov iz Nabora orodij EU za kibernetsko varnost 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tako imenovanim Sporočilom o varni uvedbi tehnologije 5G, pomen in stanje implementacije (ki se vzpodbuja) Nabora orodij EU upošteva tudi Skupno sporočilo o strategiji EU za kibernetsko varnost.</w:t>
      </w:r>
    </w:p>
    <w:p w14:paraId="6B43C9BE" w14:textId="77777777" w:rsidR="0004492D" w:rsidRPr="0004492D" w:rsidRDefault="0004492D" w:rsidP="0004492D">
      <w:pPr>
        <w:spacing w:line="240" w:lineRule="auto"/>
        <w:jc w:val="both"/>
        <w:rPr>
          <w:rFonts w:cs="Arial"/>
          <w:szCs w:val="20"/>
        </w:rPr>
      </w:pPr>
    </w:p>
    <w:p w14:paraId="229F8173" w14:textId="77777777" w:rsidR="0004492D" w:rsidRPr="0004492D" w:rsidRDefault="0004492D" w:rsidP="0004492D">
      <w:pPr>
        <w:spacing w:line="240" w:lineRule="auto"/>
        <w:jc w:val="both"/>
        <w:rPr>
          <w:rFonts w:cs="Arial"/>
          <w:szCs w:val="20"/>
        </w:rPr>
      </w:pPr>
      <w:bookmarkStart w:id="3" w:name="_Hlk90654897"/>
      <w:r w:rsidRPr="0004492D">
        <w:rPr>
          <w:rFonts w:cs="Arial"/>
          <w:szCs w:val="20"/>
        </w:rPr>
        <w:t xml:space="preserve">Cilj predlaganih rešitev je urediti učinkovitejšo uporabo </w:t>
      </w:r>
      <w:proofErr w:type="spellStart"/>
      <w:r w:rsidRPr="0004492D">
        <w:rPr>
          <w:rFonts w:cs="Arial"/>
          <w:szCs w:val="20"/>
        </w:rPr>
        <w:t>radiofrekvenčnega</w:t>
      </w:r>
      <w:proofErr w:type="spellEnd"/>
      <w:r w:rsidRPr="0004492D">
        <w:rPr>
          <w:rFonts w:cs="Arial"/>
          <w:szCs w:val="20"/>
        </w:rPr>
        <w:t xml:space="preserve"> spektra, spodbujanje investicij v visokozmogljiva in visokokakovostna omrežja, zagotavljanje varnosti omrežij in storitev vključno zaradi povečanih tveganj, ki jih prinaša tehnologija 5G pri zagotavljanju teh omrežij in storitev subjektom, ki z vidika države in družbe zagotavljajo tako imenovane kritične storitve, zaščito potrošnikov in izboljšan dostop do storitev ter varovanje življenj prek dostopa do številk za komunikacije v sili. V okviru univerzalne storitve se zagotavlja prenosno hitrost, ki omogoča uporabo širokega nabora storitev, kot so npr. e-Uprava, spletno bančništvo in </w:t>
      </w:r>
      <w:proofErr w:type="spellStart"/>
      <w:r w:rsidRPr="0004492D">
        <w:rPr>
          <w:rFonts w:cs="Arial"/>
          <w:szCs w:val="20"/>
        </w:rPr>
        <w:t>videoklici</w:t>
      </w:r>
      <w:proofErr w:type="spellEnd"/>
      <w:r w:rsidRPr="0004492D">
        <w:rPr>
          <w:rFonts w:cs="Arial"/>
          <w:szCs w:val="20"/>
        </w:rPr>
        <w:t>.</w:t>
      </w:r>
    </w:p>
    <w:bookmarkEnd w:id="3"/>
    <w:p w14:paraId="5C35E354" w14:textId="77777777" w:rsidR="0004492D" w:rsidRPr="0004492D" w:rsidRDefault="0004492D" w:rsidP="0004492D">
      <w:pPr>
        <w:spacing w:line="240" w:lineRule="auto"/>
        <w:jc w:val="both"/>
        <w:rPr>
          <w:rFonts w:cs="Arial"/>
          <w:szCs w:val="20"/>
        </w:rPr>
      </w:pPr>
    </w:p>
    <w:p w14:paraId="1A5F0375" w14:textId="77777777" w:rsidR="0004492D" w:rsidRPr="0004492D" w:rsidRDefault="0004492D" w:rsidP="0004492D">
      <w:pPr>
        <w:spacing w:line="240" w:lineRule="auto"/>
        <w:jc w:val="both"/>
        <w:rPr>
          <w:rFonts w:cs="Arial"/>
          <w:szCs w:val="20"/>
        </w:rPr>
      </w:pPr>
      <w:r w:rsidRPr="0004492D">
        <w:rPr>
          <w:rFonts w:cs="Arial"/>
          <w:szCs w:val="20"/>
        </w:rPr>
        <w:t>Dopolnjuje se tudi peti odstavek 192. člena predloga zakona, pri čemer se ureja situacija, ko naročnik ob prekinitvi naročniške pogodbe zaradi sprememb pogodbenih pogojev na strani izvajalca storitev prejeto terminalsko opremo vrne izvajalcu storitev. Upoštevano je dejstvo, da je bil medtem ustanovljen Urad Vlade Republike Slovenije za informacijsko varnost, ki je prevzel naloge Uprave Republike Slovenije za informacijsko varnost, ki je bil organ v sestavi Ministrstva za javno upravo.</w:t>
      </w:r>
    </w:p>
    <w:p w14:paraId="776110E7" w14:textId="4791546A" w:rsidR="0004492D" w:rsidRPr="0004492D" w:rsidRDefault="0004492D" w:rsidP="0004492D">
      <w:pPr>
        <w:autoSpaceDE w:val="0"/>
        <w:autoSpaceDN w:val="0"/>
        <w:adjustRightInd w:val="0"/>
        <w:spacing w:line="240" w:lineRule="auto"/>
        <w:jc w:val="both"/>
        <w:rPr>
          <w:rFonts w:cs="Arial"/>
          <w:b/>
          <w:bCs/>
          <w:color w:val="000000"/>
          <w:szCs w:val="20"/>
        </w:rPr>
      </w:pPr>
    </w:p>
    <w:p w14:paraId="2D60485E" w14:textId="761C1DEF" w:rsidR="0004492D" w:rsidRPr="0004492D" w:rsidRDefault="0004492D"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javno upravo</w:t>
      </w:r>
    </w:p>
    <w:p w14:paraId="5E8D0764" w14:textId="17A0E8C7" w:rsidR="0004492D" w:rsidRPr="0004492D" w:rsidRDefault="0004492D" w:rsidP="0004492D">
      <w:pPr>
        <w:autoSpaceDE w:val="0"/>
        <w:autoSpaceDN w:val="0"/>
        <w:adjustRightInd w:val="0"/>
        <w:spacing w:line="240" w:lineRule="auto"/>
        <w:jc w:val="both"/>
        <w:rPr>
          <w:rFonts w:cs="Arial"/>
          <w:color w:val="000000"/>
          <w:szCs w:val="20"/>
        </w:rPr>
      </w:pPr>
    </w:p>
    <w:p w14:paraId="316DEA0D" w14:textId="77777777" w:rsidR="0004492D" w:rsidRPr="0004492D" w:rsidRDefault="0004492D" w:rsidP="0004492D">
      <w:pPr>
        <w:spacing w:line="240" w:lineRule="auto"/>
        <w:jc w:val="both"/>
        <w:rPr>
          <w:rFonts w:cs="Arial"/>
          <w:b/>
          <w:szCs w:val="20"/>
        </w:rPr>
      </w:pPr>
      <w:r w:rsidRPr="0004492D">
        <w:rPr>
          <w:rFonts w:cs="Arial"/>
          <w:b/>
          <w:iCs/>
          <w:szCs w:val="20"/>
        </w:rPr>
        <w:t xml:space="preserve">Vlada sprejela </w:t>
      </w:r>
      <w:r w:rsidRPr="0004492D">
        <w:rPr>
          <w:rFonts w:cs="Arial"/>
          <w:b/>
          <w:noProof/>
          <w:szCs w:val="20"/>
        </w:rPr>
        <w:t>sklepe glede opravljanja nujnih nalog v organih državne uprave</w:t>
      </w:r>
    </w:p>
    <w:p w14:paraId="60B8D454" w14:textId="77777777" w:rsidR="0004492D" w:rsidRPr="0004492D" w:rsidRDefault="0004492D" w:rsidP="0004492D">
      <w:pPr>
        <w:spacing w:line="240" w:lineRule="auto"/>
        <w:jc w:val="both"/>
        <w:rPr>
          <w:rFonts w:cs="Arial"/>
          <w:b/>
          <w:szCs w:val="20"/>
        </w:rPr>
      </w:pPr>
    </w:p>
    <w:p w14:paraId="2DB69207" w14:textId="77777777" w:rsidR="0004492D" w:rsidRPr="0004492D" w:rsidRDefault="0004492D" w:rsidP="0004492D">
      <w:pPr>
        <w:spacing w:line="240" w:lineRule="auto"/>
        <w:jc w:val="both"/>
        <w:rPr>
          <w:rFonts w:eastAsia="Arial" w:cs="Arial"/>
          <w:color w:val="000000"/>
          <w:szCs w:val="20"/>
        </w:rPr>
      </w:pPr>
      <w:r w:rsidRPr="0004492D">
        <w:rPr>
          <w:rFonts w:eastAsia="Arial" w:cs="Arial"/>
          <w:color w:val="000000"/>
          <w:szCs w:val="20"/>
        </w:rPr>
        <w:t xml:space="preserve">Z namenom preprečevanja širjenja okužb z virusom COVID-19 ter glede na trenutno epidemiološko situacijo je Vlada RS sprejela odločitev, da se v času božičnih in novoletnih praznikov, ki deloma sovpadajo tudi s šolskimi počitnicami, to je od vključno </w:t>
      </w:r>
      <w:r w:rsidRPr="0004492D">
        <w:rPr>
          <w:rFonts w:cs="Arial"/>
          <w:szCs w:val="20"/>
        </w:rPr>
        <w:t xml:space="preserve">27. decembra 2021 do vključno 31. decembra 2021, </w:t>
      </w:r>
      <w:r w:rsidRPr="0004492D">
        <w:rPr>
          <w:rFonts w:eastAsia="Arial" w:cs="Arial"/>
          <w:color w:val="000000"/>
          <w:szCs w:val="20"/>
        </w:rPr>
        <w:t xml:space="preserve">dodatno omeji gibanje in zadrževanje javnih uslužbencev v uradnih prostorih organov državne uprave, torej v ministrstvih, organih v njihovi sestavi, vladnih službah in upravnih enotah. </w:t>
      </w:r>
    </w:p>
    <w:p w14:paraId="500CE584" w14:textId="77777777" w:rsidR="0004492D" w:rsidRPr="0004492D" w:rsidRDefault="0004492D" w:rsidP="0004492D">
      <w:pPr>
        <w:spacing w:line="240" w:lineRule="auto"/>
        <w:jc w:val="both"/>
        <w:rPr>
          <w:rFonts w:cs="Arial"/>
          <w:szCs w:val="20"/>
        </w:rPr>
      </w:pPr>
    </w:p>
    <w:p w14:paraId="19CDE407" w14:textId="77777777" w:rsidR="0004492D" w:rsidRPr="0004492D" w:rsidRDefault="0004492D" w:rsidP="0004492D">
      <w:pPr>
        <w:spacing w:line="240" w:lineRule="auto"/>
        <w:jc w:val="both"/>
        <w:rPr>
          <w:rFonts w:cs="Arial"/>
          <w:szCs w:val="20"/>
        </w:rPr>
      </w:pPr>
      <w:r w:rsidRPr="0004492D">
        <w:rPr>
          <w:rFonts w:cs="Arial"/>
          <w:szCs w:val="20"/>
        </w:rPr>
        <w:t xml:space="preserve">V tej zvezi je Vlada RS odločila, da organi državne uprave v času od </w:t>
      </w:r>
      <w:r w:rsidRPr="0004492D">
        <w:rPr>
          <w:rFonts w:cs="Arial"/>
          <w:szCs w:val="20"/>
        </w:rPr>
        <w:br/>
        <w:t xml:space="preserve">vključno 27. decembra 2021 do vključno 31. decembra 2021 opravljajo samo nujne naloge, hkrati pa naložila predstojnikom organov državne uprave, da določijo nujne naloge in javne uslužbence, ki bodo v obdobju iz prejšnje točke izvajali nujne naloge, pri čemer je treba zagotoviti, da javni uslužbenci nujne naloge izvajajo kot delo na domu. </w:t>
      </w:r>
    </w:p>
    <w:p w14:paraId="0AB1A9AD" w14:textId="77777777" w:rsidR="0004492D" w:rsidRPr="0004492D" w:rsidRDefault="0004492D" w:rsidP="0004492D">
      <w:pPr>
        <w:spacing w:line="240" w:lineRule="auto"/>
        <w:jc w:val="both"/>
        <w:rPr>
          <w:rFonts w:cs="Arial"/>
          <w:szCs w:val="20"/>
        </w:rPr>
      </w:pPr>
    </w:p>
    <w:p w14:paraId="5CC7101D" w14:textId="77777777" w:rsidR="0004492D" w:rsidRPr="0004492D" w:rsidRDefault="0004492D" w:rsidP="0004492D">
      <w:pPr>
        <w:spacing w:line="240" w:lineRule="auto"/>
        <w:jc w:val="both"/>
        <w:rPr>
          <w:rFonts w:cs="Arial"/>
          <w:szCs w:val="20"/>
        </w:rPr>
      </w:pPr>
      <w:r w:rsidRPr="0004492D">
        <w:rPr>
          <w:rFonts w:cs="Arial"/>
          <w:szCs w:val="20"/>
        </w:rPr>
        <w:t xml:space="preserve">Zgolj v izjemnih primerih, ko teh nalog ni možno izvajati zunaj delovnega mesta oziroma na domu, javni uslužbenec nujne naloge lahko izvaja na delovnem mestu. </w:t>
      </w:r>
    </w:p>
    <w:p w14:paraId="5BC20033" w14:textId="77777777" w:rsidR="0004492D" w:rsidRPr="0004492D" w:rsidRDefault="0004492D" w:rsidP="0004492D">
      <w:pPr>
        <w:spacing w:line="240" w:lineRule="auto"/>
        <w:jc w:val="both"/>
        <w:rPr>
          <w:rFonts w:cs="Arial"/>
          <w:szCs w:val="20"/>
        </w:rPr>
      </w:pPr>
    </w:p>
    <w:p w14:paraId="3C8E924C" w14:textId="77777777" w:rsidR="0004492D" w:rsidRPr="0004492D" w:rsidRDefault="0004492D" w:rsidP="0004492D">
      <w:pPr>
        <w:spacing w:line="240" w:lineRule="auto"/>
        <w:jc w:val="both"/>
        <w:rPr>
          <w:rFonts w:cs="Arial"/>
          <w:szCs w:val="20"/>
          <w:lang w:eastAsia="sl-SI"/>
        </w:rPr>
      </w:pPr>
      <w:r w:rsidRPr="0004492D">
        <w:rPr>
          <w:rFonts w:cs="Arial"/>
          <w:szCs w:val="20"/>
          <w:lang w:eastAsia="sl-SI"/>
        </w:rPr>
        <w:t>Kot nujne naloge se štejejo zlasti:</w:t>
      </w:r>
    </w:p>
    <w:p w14:paraId="448F4B6B" w14:textId="77777777" w:rsidR="0004492D" w:rsidRPr="0004492D" w:rsidRDefault="0004492D" w:rsidP="0004492D">
      <w:pPr>
        <w:pStyle w:val="Odstavekseznama"/>
        <w:numPr>
          <w:ilvl w:val="0"/>
          <w:numId w:val="43"/>
        </w:numPr>
        <w:shd w:val="clear" w:color="auto" w:fill="FFFFFF"/>
        <w:spacing w:line="240" w:lineRule="auto"/>
        <w:ind w:left="1276" w:hanging="556"/>
        <w:jc w:val="both"/>
        <w:rPr>
          <w:rFonts w:cs="Arial"/>
          <w:szCs w:val="20"/>
          <w:lang w:eastAsia="sl-SI"/>
        </w:rPr>
      </w:pPr>
      <w:r w:rsidRPr="0004492D">
        <w:rPr>
          <w:rFonts w:cs="Arial"/>
          <w:szCs w:val="20"/>
          <w:lang w:eastAsia="sl-SI"/>
        </w:rPr>
        <w:t>naloge, ki so vezane na tek procesnih rokov,</w:t>
      </w:r>
    </w:p>
    <w:p w14:paraId="484D3198" w14:textId="77777777" w:rsidR="0004492D" w:rsidRPr="0004492D" w:rsidRDefault="0004492D" w:rsidP="0004492D">
      <w:pPr>
        <w:pStyle w:val="Odstavekseznama"/>
        <w:numPr>
          <w:ilvl w:val="0"/>
          <w:numId w:val="43"/>
        </w:numPr>
        <w:shd w:val="clear" w:color="auto" w:fill="FFFFFF"/>
        <w:spacing w:line="240" w:lineRule="auto"/>
        <w:ind w:left="1276" w:hanging="556"/>
        <w:jc w:val="both"/>
        <w:rPr>
          <w:rFonts w:cs="Arial"/>
          <w:szCs w:val="20"/>
          <w:lang w:eastAsia="sl-SI"/>
        </w:rPr>
      </w:pPr>
      <w:r w:rsidRPr="0004492D">
        <w:rPr>
          <w:rFonts w:cs="Arial"/>
          <w:szCs w:val="20"/>
          <w:lang w:eastAsia="sl-SI"/>
        </w:rPr>
        <w:t>naloge, povezane z varstvom človekovih pravic in temeljnih svoboščin,</w:t>
      </w:r>
    </w:p>
    <w:p w14:paraId="5474795F" w14:textId="77777777" w:rsidR="0004492D" w:rsidRPr="0004492D" w:rsidRDefault="0004492D" w:rsidP="0004492D">
      <w:pPr>
        <w:pStyle w:val="Odstavekseznama"/>
        <w:numPr>
          <w:ilvl w:val="0"/>
          <w:numId w:val="43"/>
        </w:numPr>
        <w:shd w:val="clear" w:color="auto" w:fill="FFFFFF"/>
        <w:spacing w:line="240" w:lineRule="auto"/>
        <w:ind w:left="1276" w:hanging="556"/>
        <w:jc w:val="both"/>
        <w:rPr>
          <w:rFonts w:cs="Arial"/>
          <w:szCs w:val="20"/>
          <w:lang w:eastAsia="sl-SI"/>
        </w:rPr>
      </w:pPr>
      <w:r w:rsidRPr="0004492D">
        <w:rPr>
          <w:rFonts w:cs="Arial"/>
          <w:szCs w:val="20"/>
          <w:lang w:eastAsia="sl-SI"/>
        </w:rPr>
        <w:t>naloge v zvezi s preprečevanjem nevarnosti za življenje in zdravje ljudi, za okolje, za javni red in mir, za javno varnost, za premoženje večje vrednosti ali za nastanek hujše gospodarske škode,</w:t>
      </w:r>
    </w:p>
    <w:p w14:paraId="13611399" w14:textId="77777777" w:rsidR="0004492D" w:rsidRPr="0004492D" w:rsidRDefault="0004492D" w:rsidP="0004492D">
      <w:pPr>
        <w:pStyle w:val="Odstavekseznama"/>
        <w:numPr>
          <w:ilvl w:val="0"/>
          <w:numId w:val="43"/>
        </w:numPr>
        <w:shd w:val="clear" w:color="auto" w:fill="FFFFFF"/>
        <w:spacing w:line="240" w:lineRule="auto"/>
        <w:ind w:left="1276" w:hanging="556"/>
        <w:jc w:val="both"/>
        <w:rPr>
          <w:rFonts w:cs="Arial"/>
          <w:szCs w:val="20"/>
          <w:lang w:val="it-IT"/>
        </w:rPr>
      </w:pPr>
      <w:proofErr w:type="spellStart"/>
      <w:r w:rsidRPr="0004492D">
        <w:rPr>
          <w:rFonts w:cs="Arial"/>
          <w:szCs w:val="20"/>
          <w:lang w:val="it-IT" w:eastAsia="sl-SI"/>
        </w:rPr>
        <w:t>naloge</w:t>
      </w:r>
      <w:proofErr w:type="spellEnd"/>
      <w:r w:rsidRPr="0004492D">
        <w:rPr>
          <w:rFonts w:cs="Arial"/>
          <w:szCs w:val="20"/>
          <w:lang w:val="it-IT" w:eastAsia="sl-SI"/>
        </w:rPr>
        <w:t xml:space="preserve"> </w:t>
      </w:r>
      <w:proofErr w:type="spellStart"/>
      <w:r w:rsidRPr="0004492D">
        <w:rPr>
          <w:rFonts w:cs="Arial"/>
          <w:szCs w:val="20"/>
          <w:lang w:val="it-IT" w:eastAsia="sl-SI"/>
        </w:rPr>
        <w:t>nujnega</w:t>
      </w:r>
      <w:proofErr w:type="spellEnd"/>
      <w:r w:rsidRPr="0004492D">
        <w:rPr>
          <w:rFonts w:cs="Arial"/>
          <w:szCs w:val="20"/>
          <w:lang w:val="it-IT" w:eastAsia="sl-SI"/>
        </w:rPr>
        <w:t xml:space="preserve"> in </w:t>
      </w:r>
      <w:proofErr w:type="spellStart"/>
      <w:r w:rsidRPr="0004492D">
        <w:rPr>
          <w:rFonts w:cs="Arial"/>
          <w:szCs w:val="20"/>
          <w:lang w:val="it-IT" w:eastAsia="sl-SI"/>
        </w:rPr>
        <w:t>učinkovitega</w:t>
      </w:r>
      <w:proofErr w:type="spellEnd"/>
      <w:r w:rsidRPr="0004492D">
        <w:rPr>
          <w:rFonts w:cs="Arial"/>
          <w:szCs w:val="20"/>
          <w:lang w:val="it-IT" w:eastAsia="sl-SI"/>
        </w:rPr>
        <w:t xml:space="preserve"> </w:t>
      </w:r>
      <w:proofErr w:type="spellStart"/>
      <w:r w:rsidRPr="0004492D">
        <w:rPr>
          <w:rFonts w:cs="Arial"/>
          <w:szCs w:val="20"/>
          <w:lang w:val="it-IT" w:eastAsia="sl-SI"/>
        </w:rPr>
        <w:t>izvajanja</w:t>
      </w:r>
      <w:proofErr w:type="spellEnd"/>
      <w:r w:rsidRPr="0004492D">
        <w:rPr>
          <w:rFonts w:cs="Arial"/>
          <w:szCs w:val="20"/>
          <w:lang w:val="it-IT" w:eastAsia="sl-SI"/>
        </w:rPr>
        <w:t xml:space="preserve"> oblasti in </w:t>
      </w:r>
      <w:proofErr w:type="spellStart"/>
      <w:r w:rsidRPr="0004492D">
        <w:rPr>
          <w:rFonts w:cs="Arial"/>
          <w:szCs w:val="20"/>
          <w:lang w:val="it-IT" w:eastAsia="sl-SI"/>
        </w:rPr>
        <w:t>delovanja</w:t>
      </w:r>
      <w:proofErr w:type="spellEnd"/>
      <w:r w:rsidRPr="0004492D">
        <w:rPr>
          <w:rFonts w:cs="Arial"/>
          <w:szCs w:val="20"/>
          <w:lang w:val="it-IT" w:eastAsia="sl-SI"/>
        </w:rPr>
        <w:t xml:space="preserve"> </w:t>
      </w:r>
      <w:proofErr w:type="spellStart"/>
      <w:r w:rsidRPr="0004492D">
        <w:rPr>
          <w:rFonts w:cs="Arial"/>
          <w:szCs w:val="20"/>
          <w:lang w:val="it-IT" w:eastAsia="sl-SI"/>
        </w:rPr>
        <w:t>države</w:t>
      </w:r>
      <w:proofErr w:type="spellEnd"/>
      <w:r w:rsidRPr="0004492D">
        <w:rPr>
          <w:rFonts w:cs="Arial"/>
          <w:szCs w:val="20"/>
          <w:lang w:val="it-IT" w:eastAsia="sl-SI"/>
        </w:rPr>
        <w:t>.</w:t>
      </w:r>
      <w:r w:rsidRPr="0004492D">
        <w:rPr>
          <w:rFonts w:cs="Arial"/>
          <w:szCs w:val="20"/>
          <w:lang w:val="it-IT"/>
        </w:rPr>
        <w:t xml:space="preserve"> </w:t>
      </w:r>
    </w:p>
    <w:p w14:paraId="0E397F25" w14:textId="77777777" w:rsidR="0004492D" w:rsidRPr="0004492D" w:rsidRDefault="0004492D" w:rsidP="0004492D">
      <w:pPr>
        <w:spacing w:line="240" w:lineRule="auto"/>
        <w:ind w:hanging="720"/>
        <w:jc w:val="both"/>
        <w:rPr>
          <w:rFonts w:eastAsia="Calibri" w:cs="Arial"/>
          <w:szCs w:val="20"/>
          <w:lang w:val="it-IT"/>
        </w:rPr>
      </w:pPr>
    </w:p>
    <w:p w14:paraId="4ECF6883" w14:textId="77777777" w:rsidR="0004492D" w:rsidRPr="0004492D" w:rsidRDefault="0004492D" w:rsidP="0004492D">
      <w:pPr>
        <w:spacing w:line="240" w:lineRule="auto"/>
        <w:jc w:val="both"/>
        <w:rPr>
          <w:rFonts w:cs="Arial"/>
          <w:szCs w:val="20"/>
          <w:lang w:val="it-IT"/>
        </w:rPr>
      </w:pPr>
      <w:r w:rsidRPr="0004492D">
        <w:rPr>
          <w:rFonts w:cs="Arial"/>
          <w:szCs w:val="20"/>
          <w:lang w:val="it-IT"/>
        </w:rPr>
        <w:lastRenderedPageBreak/>
        <w:t xml:space="preserve">Vlada </w:t>
      </w:r>
      <w:proofErr w:type="spellStart"/>
      <w:r w:rsidRPr="0004492D">
        <w:rPr>
          <w:rFonts w:cs="Arial"/>
          <w:szCs w:val="20"/>
          <w:lang w:val="it-IT"/>
        </w:rPr>
        <w:t>Republike</w:t>
      </w:r>
      <w:proofErr w:type="spellEnd"/>
      <w:r w:rsidRPr="0004492D">
        <w:rPr>
          <w:rFonts w:cs="Arial"/>
          <w:szCs w:val="20"/>
          <w:lang w:val="it-IT"/>
        </w:rPr>
        <w:t xml:space="preserve"> </w:t>
      </w:r>
      <w:proofErr w:type="spellStart"/>
      <w:r w:rsidRPr="0004492D">
        <w:rPr>
          <w:rFonts w:cs="Arial"/>
          <w:szCs w:val="20"/>
          <w:lang w:val="it-IT"/>
        </w:rPr>
        <w:t>Slovenije</w:t>
      </w:r>
      <w:proofErr w:type="spellEnd"/>
      <w:r w:rsidRPr="0004492D">
        <w:rPr>
          <w:rFonts w:cs="Arial"/>
          <w:szCs w:val="20"/>
          <w:lang w:val="it-IT"/>
        </w:rPr>
        <w:t xml:space="preserve"> </w:t>
      </w:r>
      <w:proofErr w:type="spellStart"/>
      <w:r w:rsidRPr="0004492D">
        <w:rPr>
          <w:rFonts w:cs="Arial"/>
          <w:szCs w:val="20"/>
          <w:lang w:val="it-IT"/>
        </w:rPr>
        <w:t>priporoča</w:t>
      </w:r>
      <w:proofErr w:type="spellEnd"/>
      <w:r w:rsidRPr="0004492D">
        <w:rPr>
          <w:rFonts w:cs="Arial"/>
          <w:szCs w:val="20"/>
          <w:lang w:val="it-IT"/>
        </w:rPr>
        <w:t xml:space="preserve"> </w:t>
      </w:r>
      <w:proofErr w:type="spellStart"/>
      <w:r w:rsidRPr="0004492D">
        <w:rPr>
          <w:rFonts w:cs="Arial"/>
          <w:szCs w:val="20"/>
          <w:lang w:val="it-IT"/>
        </w:rPr>
        <w:t>predstojnikom</w:t>
      </w:r>
      <w:proofErr w:type="spellEnd"/>
      <w:r w:rsidRPr="0004492D">
        <w:rPr>
          <w:rFonts w:cs="Arial"/>
          <w:szCs w:val="20"/>
          <w:lang w:val="it-IT"/>
        </w:rPr>
        <w:t xml:space="preserve"> </w:t>
      </w:r>
      <w:proofErr w:type="spellStart"/>
      <w:r w:rsidRPr="0004492D">
        <w:rPr>
          <w:rFonts w:cs="Arial"/>
          <w:szCs w:val="20"/>
          <w:lang w:val="it-IT"/>
        </w:rPr>
        <w:t>organov</w:t>
      </w:r>
      <w:proofErr w:type="spellEnd"/>
      <w:r w:rsidRPr="0004492D">
        <w:rPr>
          <w:rFonts w:cs="Arial"/>
          <w:szCs w:val="20"/>
          <w:lang w:val="it-IT"/>
        </w:rPr>
        <w:t xml:space="preserve"> </w:t>
      </w:r>
      <w:proofErr w:type="spellStart"/>
      <w:r w:rsidRPr="0004492D">
        <w:rPr>
          <w:rFonts w:cs="Arial"/>
          <w:szCs w:val="20"/>
          <w:lang w:val="it-IT"/>
        </w:rPr>
        <w:t>državne</w:t>
      </w:r>
      <w:proofErr w:type="spellEnd"/>
      <w:r w:rsidRPr="0004492D">
        <w:rPr>
          <w:rFonts w:cs="Arial"/>
          <w:szCs w:val="20"/>
          <w:lang w:val="it-IT"/>
        </w:rPr>
        <w:t xml:space="preserve"> </w:t>
      </w:r>
      <w:proofErr w:type="spellStart"/>
      <w:r w:rsidRPr="0004492D">
        <w:rPr>
          <w:rFonts w:cs="Arial"/>
          <w:szCs w:val="20"/>
          <w:lang w:val="it-IT"/>
        </w:rPr>
        <w:t>uprave</w:t>
      </w:r>
      <w:proofErr w:type="spellEnd"/>
      <w:r w:rsidRPr="0004492D">
        <w:rPr>
          <w:rFonts w:cs="Arial"/>
          <w:szCs w:val="20"/>
          <w:lang w:val="it-IT"/>
        </w:rPr>
        <w:t xml:space="preserve">, da </w:t>
      </w:r>
      <w:proofErr w:type="spellStart"/>
      <w:r w:rsidRPr="0004492D">
        <w:rPr>
          <w:rFonts w:cs="Arial"/>
          <w:szCs w:val="20"/>
          <w:lang w:val="it-IT"/>
        </w:rPr>
        <w:t>predlagajo</w:t>
      </w:r>
      <w:proofErr w:type="spellEnd"/>
      <w:r w:rsidRPr="0004492D">
        <w:rPr>
          <w:rFonts w:cs="Arial"/>
          <w:szCs w:val="20"/>
          <w:lang w:val="it-IT"/>
        </w:rPr>
        <w:t xml:space="preserve"> </w:t>
      </w:r>
      <w:proofErr w:type="spellStart"/>
      <w:r w:rsidRPr="0004492D">
        <w:rPr>
          <w:rFonts w:cs="Arial"/>
          <w:szCs w:val="20"/>
          <w:lang w:val="it-IT"/>
        </w:rPr>
        <w:t>javnim</w:t>
      </w:r>
      <w:proofErr w:type="spellEnd"/>
      <w:r w:rsidRPr="0004492D">
        <w:rPr>
          <w:rFonts w:cs="Arial"/>
          <w:szCs w:val="20"/>
          <w:lang w:val="it-IT"/>
        </w:rPr>
        <w:t xml:space="preserve"> </w:t>
      </w:r>
      <w:proofErr w:type="spellStart"/>
      <w:r w:rsidRPr="0004492D">
        <w:rPr>
          <w:rFonts w:cs="Arial"/>
          <w:szCs w:val="20"/>
          <w:lang w:val="it-IT"/>
        </w:rPr>
        <w:t>uslužbencem</w:t>
      </w:r>
      <w:proofErr w:type="spellEnd"/>
      <w:r w:rsidRPr="0004492D">
        <w:rPr>
          <w:rFonts w:cs="Arial"/>
          <w:szCs w:val="20"/>
          <w:lang w:val="it-IT"/>
        </w:rPr>
        <w:t xml:space="preserve">, </w:t>
      </w:r>
      <w:proofErr w:type="spellStart"/>
      <w:r w:rsidRPr="0004492D">
        <w:rPr>
          <w:rFonts w:cs="Arial"/>
          <w:szCs w:val="20"/>
          <w:lang w:val="it-IT"/>
        </w:rPr>
        <w:t>ki</w:t>
      </w:r>
      <w:proofErr w:type="spellEnd"/>
      <w:r w:rsidRPr="0004492D">
        <w:rPr>
          <w:rFonts w:cs="Arial"/>
          <w:szCs w:val="20"/>
          <w:lang w:val="it-IT"/>
        </w:rPr>
        <w:t xml:space="preserve"> ne bodo </w:t>
      </w:r>
      <w:proofErr w:type="spellStart"/>
      <w:r w:rsidRPr="0004492D">
        <w:rPr>
          <w:rFonts w:cs="Arial"/>
          <w:szCs w:val="20"/>
          <w:lang w:val="it-IT"/>
        </w:rPr>
        <w:t>izvajali</w:t>
      </w:r>
      <w:proofErr w:type="spellEnd"/>
      <w:r w:rsidRPr="0004492D">
        <w:rPr>
          <w:rFonts w:cs="Arial"/>
          <w:szCs w:val="20"/>
          <w:lang w:val="it-IT"/>
        </w:rPr>
        <w:t xml:space="preserve"> </w:t>
      </w:r>
      <w:proofErr w:type="spellStart"/>
      <w:r w:rsidRPr="0004492D">
        <w:rPr>
          <w:rFonts w:cs="Arial"/>
          <w:szCs w:val="20"/>
          <w:lang w:val="it-IT"/>
        </w:rPr>
        <w:t>nujnih</w:t>
      </w:r>
      <w:proofErr w:type="spellEnd"/>
      <w:r w:rsidRPr="0004492D">
        <w:rPr>
          <w:rFonts w:cs="Arial"/>
          <w:szCs w:val="20"/>
          <w:lang w:val="it-IT"/>
        </w:rPr>
        <w:t xml:space="preserve"> </w:t>
      </w:r>
      <w:proofErr w:type="spellStart"/>
      <w:r w:rsidRPr="0004492D">
        <w:rPr>
          <w:rFonts w:cs="Arial"/>
          <w:szCs w:val="20"/>
          <w:lang w:val="it-IT"/>
        </w:rPr>
        <w:t>nalog</w:t>
      </w:r>
      <w:proofErr w:type="spellEnd"/>
      <w:r w:rsidRPr="0004492D">
        <w:rPr>
          <w:rFonts w:cs="Arial"/>
          <w:szCs w:val="20"/>
          <w:lang w:val="it-IT"/>
        </w:rPr>
        <w:t xml:space="preserve">, da v </w:t>
      </w:r>
      <w:proofErr w:type="spellStart"/>
      <w:r w:rsidRPr="0004492D">
        <w:rPr>
          <w:rFonts w:cs="Arial"/>
          <w:szCs w:val="20"/>
          <w:lang w:val="it-IT"/>
        </w:rPr>
        <w:t>obdobju</w:t>
      </w:r>
      <w:proofErr w:type="spellEnd"/>
      <w:r w:rsidRPr="0004492D">
        <w:rPr>
          <w:rFonts w:cs="Arial"/>
          <w:szCs w:val="20"/>
          <w:lang w:val="it-IT"/>
        </w:rPr>
        <w:t xml:space="preserve"> od </w:t>
      </w:r>
      <w:r w:rsidRPr="0004492D">
        <w:rPr>
          <w:rFonts w:cs="Arial"/>
          <w:szCs w:val="20"/>
          <w:lang w:val="it-IT"/>
        </w:rPr>
        <w:br/>
      </w:r>
      <w:proofErr w:type="spellStart"/>
      <w:r w:rsidRPr="0004492D">
        <w:rPr>
          <w:rFonts w:cs="Arial"/>
          <w:szCs w:val="20"/>
          <w:lang w:val="it-IT"/>
        </w:rPr>
        <w:t>vključno</w:t>
      </w:r>
      <w:proofErr w:type="spellEnd"/>
      <w:r w:rsidRPr="0004492D">
        <w:rPr>
          <w:rFonts w:cs="Arial"/>
          <w:szCs w:val="20"/>
          <w:lang w:val="it-IT"/>
        </w:rPr>
        <w:t xml:space="preserve"> 27. </w:t>
      </w:r>
      <w:proofErr w:type="spellStart"/>
      <w:r w:rsidRPr="0004492D">
        <w:rPr>
          <w:rFonts w:cs="Arial"/>
          <w:szCs w:val="20"/>
          <w:lang w:val="it-IT"/>
        </w:rPr>
        <w:t>decembra</w:t>
      </w:r>
      <w:proofErr w:type="spellEnd"/>
      <w:r w:rsidRPr="0004492D">
        <w:rPr>
          <w:rFonts w:cs="Arial"/>
          <w:szCs w:val="20"/>
          <w:lang w:val="it-IT"/>
        </w:rPr>
        <w:t xml:space="preserve"> 2021 do </w:t>
      </w:r>
      <w:proofErr w:type="spellStart"/>
      <w:r w:rsidRPr="0004492D">
        <w:rPr>
          <w:rFonts w:cs="Arial"/>
          <w:szCs w:val="20"/>
          <w:lang w:val="it-IT"/>
        </w:rPr>
        <w:t>vključno</w:t>
      </w:r>
      <w:proofErr w:type="spellEnd"/>
      <w:r w:rsidRPr="0004492D">
        <w:rPr>
          <w:rFonts w:cs="Arial"/>
          <w:szCs w:val="20"/>
          <w:lang w:val="it-IT"/>
        </w:rPr>
        <w:t xml:space="preserve"> 31. </w:t>
      </w:r>
      <w:proofErr w:type="spellStart"/>
      <w:proofErr w:type="gramStart"/>
      <w:r w:rsidRPr="0004492D">
        <w:rPr>
          <w:rFonts w:cs="Arial"/>
          <w:szCs w:val="20"/>
          <w:lang w:val="it-IT"/>
        </w:rPr>
        <w:t>decembra</w:t>
      </w:r>
      <w:proofErr w:type="spellEnd"/>
      <w:r w:rsidRPr="0004492D">
        <w:rPr>
          <w:rFonts w:cs="Arial"/>
          <w:szCs w:val="20"/>
          <w:lang w:val="it-IT"/>
        </w:rPr>
        <w:t xml:space="preserve">  2021</w:t>
      </w:r>
      <w:proofErr w:type="gramEnd"/>
      <w:r w:rsidRPr="0004492D">
        <w:rPr>
          <w:rFonts w:cs="Arial"/>
          <w:szCs w:val="20"/>
          <w:lang w:val="it-IT"/>
        </w:rPr>
        <w:t xml:space="preserve">, </w:t>
      </w:r>
      <w:proofErr w:type="spellStart"/>
      <w:r w:rsidRPr="0004492D">
        <w:rPr>
          <w:rFonts w:cs="Arial"/>
          <w:szCs w:val="20"/>
          <w:lang w:val="it-IT"/>
        </w:rPr>
        <w:t>izrabijo</w:t>
      </w:r>
      <w:proofErr w:type="spellEnd"/>
      <w:r w:rsidRPr="0004492D">
        <w:rPr>
          <w:rFonts w:cs="Arial"/>
          <w:szCs w:val="20"/>
          <w:lang w:val="it-IT"/>
        </w:rPr>
        <w:t xml:space="preserve"> </w:t>
      </w:r>
      <w:proofErr w:type="spellStart"/>
      <w:r w:rsidRPr="0004492D">
        <w:rPr>
          <w:rFonts w:cs="Arial"/>
          <w:szCs w:val="20"/>
          <w:lang w:val="it-IT"/>
        </w:rPr>
        <w:t>letni</w:t>
      </w:r>
      <w:proofErr w:type="spellEnd"/>
      <w:r w:rsidRPr="0004492D">
        <w:rPr>
          <w:rFonts w:cs="Arial"/>
          <w:szCs w:val="20"/>
          <w:lang w:val="it-IT"/>
        </w:rPr>
        <w:t xml:space="preserve"> </w:t>
      </w:r>
      <w:proofErr w:type="spellStart"/>
      <w:r w:rsidRPr="0004492D">
        <w:rPr>
          <w:rFonts w:cs="Arial"/>
          <w:szCs w:val="20"/>
          <w:lang w:val="it-IT"/>
        </w:rPr>
        <w:t>dopust</w:t>
      </w:r>
      <w:proofErr w:type="spellEnd"/>
      <w:r w:rsidRPr="0004492D">
        <w:rPr>
          <w:rFonts w:cs="Arial"/>
          <w:szCs w:val="20"/>
          <w:lang w:val="it-IT"/>
        </w:rPr>
        <w:t xml:space="preserve"> ali </w:t>
      </w:r>
      <w:proofErr w:type="spellStart"/>
      <w:r w:rsidRPr="0004492D">
        <w:rPr>
          <w:rFonts w:cs="Arial"/>
          <w:szCs w:val="20"/>
          <w:lang w:val="it-IT"/>
        </w:rPr>
        <w:t>drugo</w:t>
      </w:r>
      <w:proofErr w:type="spellEnd"/>
      <w:r w:rsidRPr="0004492D">
        <w:rPr>
          <w:rFonts w:cs="Arial"/>
          <w:szCs w:val="20"/>
          <w:lang w:val="it-IT"/>
        </w:rPr>
        <w:t xml:space="preserve"> </w:t>
      </w:r>
      <w:proofErr w:type="spellStart"/>
      <w:r w:rsidRPr="0004492D">
        <w:rPr>
          <w:rFonts w:cs="Arial"/>
          <w:szCs w:val="20"/>
          <w:lang w:val="it-IT"/>
        </w:rPr>
        <w:t>vrsto</w:t>
      </w:r>
      <w:proofErr w:type="spellEnd"/>
      <w:r w:rsidRPr="0004492D">
        <w:rPr>
          <w:rFonts w:cs="Arial"/>
          <w:szCs w:val="20"/>
          <w:lang w:val="it-IT"/>
        </w:rPr>
        <w:t xml:space="preserve"> </w:t>
      </w:r>
      <w:proofErr w:type="spellStart"/>
      <w:r w:rsidRPr="0004492D">
        <w:rPr>
          <w:rFonts w:cs="Arial"/>
          <w:szCs w:val="20"/>
          <w:lang w:val="it-IT"/>
        </w:rPr>
        <w:t>opravičene</w:t>
      </w:r>
      <w:proofErr w:type="spellEnd"/>
      <w:r w:rsidRPr="0004492D">
        <w:rPr>
          <w:rFonts w:cs="Arial"/>
          <w:szCs w:val="20"/>
          <w:lang w:val="it-IT"/>
        </w:rPr>
        <w:t xml:space="preserve"> </w:t>
      </w:r>
      <w:proofErr w:type="spellStart"/>
      <w:r w:rsidRPr="0004492D">
        <w:rPr>
          <w:rFonts w:cs="Arial"/>
          <w:szCs w:val="20"/>
          <w:lang w:val="it-IT"/>
        </w:rPr>
        <w:t>odsotnosti</w:t>
      </w:r>
      <w:proofErr w:type="spellEnd"/>
      <w:r w:rsidRPr="0004492D">
        <w:rPr>
          <w:rFonts w:cs="Arial"/>
          <w:szCs w:val="20"/>
          <w:lang w:val="it-IT"/>
        </w:rPr>
        <w:t xml:space="preserve">. </w:t>
      </w:r>
    </w:p>
    <w:p w14:paraId="05E93AAB" w14:textId="77777777" w:rsidR="0004492D" w:rsidRPr="0004492D" w:rsidRDefault="0004492D" w:rsidP="0004492D">
      <w:pPr>
        <w:spacing w:line="240" w:lineRule="auto"/>
        <w:jc w:val="both"/>
        <w:rPr>
          <w:rFonts w:cs="Arial"/>
          <w:szCs w:val="20"/>
          <w:lang w:val="it-IT"/>
        </w:rPr>
      </w:pPr>
    </w:p>
    <w:p w14:paraId="5F7C53C3" w14:textId="77777777" w:rsidR="0004492D" w:rsidRPr="0004492D" w:rsidRDefault="0004492D" w:rsidP="0004492D">
      <w:pPr>
        <w:spacing w:line="240" w:lineRule="auto"/>
        <w:jc w:val="both"/>
        <w:rPr>
          <w:rFonts w:cs="Arial"/>
          <w:szCs w:val="20"/>
          <w:lang w:val="it-IT"/>
        </w:rPr>
      </w:pPr>
      <w:proofErr w:type="spellStart"/>
      <w:r w:rsidRPr="0004492D">
        <w:rPr>
          <w:rFonts w:cs="Arial"/>
          <w:szCs w:val="20"/>
          <w:lang w:val="it-IT"/>
        </w:rPr>
        <w:t>Javne</w:t>
      </w:r>
      <w:proofErr w:type="spellEnd"/>
      <w:r w:rsidRPr="0004492D">
        <w:rPr>
          <w:rFonts w:cs="Arial"/>
          <w:szCs w:val="20"/>
          <w:lang w:val="it-IT"/>
        </w:rPr>
        <w:t xml:space="preserve"> </w:t>
      </w:r>
      <w:proofErr w:type="spellStart"/>
      <w:r w:rsidRPr="0004492D">
        <w:rPr>
          <w:rFonts w:cs="Arial"/>
          <w:szCs w:val="20"/>
          <w:lang w:val="it-IT"/>
        </w:rPr>
        <w:t>uslužbence</w:t>
      </w:r>
      <w:proofErr w:type="spellEnd"/>
      <w:r w:rsidRPr="0004492D">
        <w:rPr>
          <w:rFonts w:cs="Arial"/>
          <w:szCs w:val="20"/>
          <w:lang w:val="it-IT"/>
        </w:rPr>
        <w:t xml:space="preserve">, </w:t>
      </w:r>
      <w:proofErr w:type="spellStart"/>
      <w:r w:rsidRPr="0004492D">
        <w:rPr>
          <w:rFonts w:cs="Arial"/>
          <w:szCs w:val="20"/>
          <w:lang w:val="it-IT"/>
        </w:rPr>
        <w:t>ki</w:t>
      </w:r>
      <w:proofErr w:type="spellEnd"/>
      <w:r w:rsidRPr="0004492D">
        <w:rPr>
          <w:rFonts w:cs="Arial"/>
          <w:szCs w:val="20"/>
          <w:lang w:val="it-IT"/>
        </w:rPr>
        <w:t xml:space="preserve"> v </w:t>
      </w:r>
      <w:proofErr w:type="spellStart"/>
      <w:r w:rsidRPr="0004492D">
        <w:rPr>
          <w:rFonts w:cs="Arial"/>
          <w:szCs w:val="20"/>
          <w:lang w:val="it-IT"/>
        </w:rPr>
        <w:t>tem</w:t>
      </w:r>
      <w:proofErr w:type="spellEnd"/>
      <w:r w:rsidRPr="0004492D">
        <w:rPr>
          <w:rFonts w:cs="Arial"/>
          <w:szCs w:val="20"/>
          <w:lang w:val="it-IT"/>
        </w:rPr>
        <w:t xml:space="preserve"> </w:t>
      </w:r>
      <w:proofErr w:type="spellStart"/>
      <w:r w:rsidRPr="0004492D">
        <w:rPr>
          <w:rFonts w:cs="Arial"/>
          <w:szCs w:val="20"/>
          <w:lang w:val="it-IT"/>
        </w:rPr>
        <w:t>obdobju</w:t>
      </w:r>
      <w:proofErr w:type="spellEnd"/>
      <w:r w:rsidRPr="0004492D">
        <w:rPr>
          <w:rFonts w:cs="Arial"/>
          <w:szCs w:val="20"/>
          <w:lang w:val="it-IT"/>
        </w:rPr>
        <w:t xml:space="preserve"> ne bodo </w:t>
      </w:r>
      <w:proofErr w:type="spellStart"/>
      <w:r w:rsidRPr="0004492D">
        <w:rPr>
          <w:rFonts w:cs="Arial"/>
          <w:szCs w:val="20"/>
          <w:lang w:val="it-IT"/>
        </w:rPr>
        <w:t>izrabili</w:t>
      </w:r>
      <w:proofErr w:type="spellEnd"/>
      <w:r w:rsidRPr="0004492D">
        <w:rPr>
          <w:rFonts w:cs="Arial"/>
          <w:szCs w:val="20"/>
          <w:lang w:val="it-IT"/>
        </w:rPr>
        <w:t xml:space="preserve"> </w:t>
      </w:r>
      <w:proofErr w:type="spellStart"/>
      <w:r w:rsidRPr="0004492D">
        <w:rPr>
          <w:rFonts w:cs="Arial"/>
          <w:szCs w:val="20"/>
          <w:lang w:val="it-IT"/>
        </w:rPr>
        <w:t>letnega</w:t>
      </w:r>
      <w:proofErr w:type="spellEnd"/>
      <w:r w:rsidRPr="0004492D">
        <w:rPr>
          <w:rFonts w:cs="Arial"/>
          <w:szCs w:val="20"/>
          <w:lang w:val="it-IT"/>
        </w:rPr>
        <w:t xml:space="preserve"> </w:t>
      </w:r>
      <w:proofErr w:type="spellStart"/>
      <w:r w:rsidRPr="0004492D">
        <w:rPr>
          <w:rFonts w:cs="Arial"/>
          <w:szCs w:val="20"/>
          <w:lang w:val="it-IT"/>
        </w:rPr>
        <w:t>dopusta</w:t>
      </w:r>
      <w:proofErr w:type="spellEnd"/>
      <w:r w:rsidRPr="0004492D">
        <w:rPr>
          <w:rFonts w:cs="Arial"/>
          <w:szCs w:val="20"/>
          <w:lang w:val="it-IT"/>
        </w:rPr>
        <w:t xml:space="preserve"> ali </w:t>
      </w:r>
      <w:proofErr w:type="spellStart"/>
      <w:r w:rsidRPr="0004492D">
        <w:rPr>
          <w:rFonts w:cs="Arial"/>
          <w:szCs w:val="20"/>
          <w:lang w:val="it-IT"/>
        </w:rPr>
        <w:t>druge</w:t>
      </w:r>
      <w:proofErr w:type="spellEnd"/>
      <w:r w:rsidRPr="0004492D">
        <w:rPr>
          <w:rFonts w:cs="Arial"/>
          <w:szCs w:val="20"/>
          <w:lang w:val="it-IT"/>
        </w:rPr>
        <w:t xml:space="preserve"> </w:t>
      </w:r>
      <w:proofErr w:type="spellStart"/>
      <w:r w:rsidRPr="0004492D">
        <w:rPr>
          <w:rFonts w:cs="Arial"/>
          <w:szCs w:val="20"/>
          <w:lang w:val="it-IT"/>
        </w:rPr>
        <w:t>upravičene</w:t>
      </w:r>
      <w:proofErr w:type="spellEnd"/>
      <w:r w:rsidRPr="0004492D">
        <w:rPr>
          <w:rFonts w:cs="Arial"/>
          <w:szCs w:val="20"/>
          <w:lang w:val="it-IT"/>
        </w:rPr>
        <w:t xml:space="preserve"> </w:t>
      </w:r>
      <w:proofErr w:type="spellStart"/>
      <w:r w:rsidRPr="0004492D">
        <w:rPr>
          <w:rFonts w:cs="Arial"/>
          <w:szCs w:val="20"/>
          <w:lang w:val="it-IT"/>
        </w:rPr>
        <w:t>odsotnosti</w:t>
      </w:r>
      <w:proofErr w:type="spellEnd"/>
      <w:r w:rsidRPr="0004492D">
        <w:rPr>
          <w:rFonts w:cs="Arial"/>
          <w:szCs w:val="20"/>
          <w:lang w:val="it-IT"/>
        </w:rPr>
        <w:t xml:space="preserve">, se </w:t>
      </w:r>
      <w:proofErr w:type="spellStart"/>
      <w:r w:rsidRPr="0004492D">
        <w:rPr>
          <w:rFonts w:cs="Arial"/>
          <w:szCs w:val="20"/>
          <w:lang w:val="it-IT"/>
        </w:rPr>
        <w:t>napoti</w:t>
      </w:r>
      <w:proofErr w:type="spellEnd"/>
      <w:r w:rsidRPr="0004492D">
        <w:rPr>
          <w:rFonts w:cs="Arial"/>
          <w:szCs w:val="20"/>
          <w:lang w:val="it-IT"/>
        </w:rPr>
        <w:t xml:space="preserve"> </w:t>
      </w:r>
      <w:proofErr w:type="spellStart"/>
      <w:r w:rsidRPr="0004492D">
        <w:rPr>
          <w:rFonts w:cs="Arial"/>
          <w:szCs w:val="20"/>
          <w:lang w:val="it-IT"/>
        </w:rPr>
        <w:t>na</w:t>
      </w:r>
      <w:proofErr w:type="spellEnd"/>
      <w:r w:rsidRPr="0004492D">
        <w:rPr>
          <w:rFonts w:cs="Arial"/>
          <w:szCs w:val="20"/>
          <w:lang w:val="it-IT"/>
        </w:rPr>
        <w:t xml:space="preserve"> </w:t>
      </w:r>
      <w:proofErr w:type="spellStart"/>
      <w:r w:rsidRPr="0004492D">
        <w:rPr>
          <w:rFonts w:cs="Arial"/>
          <w:szCs w:val="20"/>
          <w:lang w:val="it-IT"/>
        </w:rPr>
        <w:t>čakanje</w:t>
      </w:r>
      <w:proofErr w:type="spellEnd"/>
      <w:r w:rsidRPr="0004492D">
        <w:rPr>
          <w:rFonts w:cs="Arial"/>
          <w:szCs w:val="20"/>
          <w:lang w:val="it-IT"/>
        </w:rPr>
        <w:t xml:space="preserve"> </w:t>
      </w:r>
      <w:proofErr w:type="spellStart"/>
      <w:r w:rsidRPr="0004492D">
        <w:rPr>
          <w:rFonts w:cs="Arial"/>
          <w:szCs w:val="20"/>
          <w:lang w:val="it-IT"/>
        </w:rPr>
        <w:t>na</w:t>
      </w:r>
      <w:proofErr w:type="spellEnd"/>
      <w:r w:rsidRPr="0004492D">
        <w:rPr>
          <w:rFonts w:cs="Arial"/>
          <w:szCs w:val="20"/>
          <w:lang w:val="it-IT"/>
        </w:rPr>
        <w:t xml:space="preserve"> </w:t>
      </w:r>
      <w:proofErr w:type="spellStart"/>
      <w:r w:rsidRPr="0004492D">
        <w:rPr>
          <w:rFonts w:cs="Arial"/>
          <w:szCs w:val="20"/>
          <w:lang w:val="it-IT"/>
        </w:rPr>
        <w:t>delo</w:t>
      </w:r>
      <w:proofErr w:type="spellEnd"/>
      <w:r w:rsidRPr="0004492D">
        <w:rPr>
          <w:rFonts w:cs="Arial"/>
          <w:szCs w:val="20"/>
          <w:lang w:val="it-IT"/>
        </w:rPr>
        <w:t xml:space="preserve"> doma s </w:t>
      </w:r>
      <w:proofErr w:type="spellStart"/>
      <w:r w:rsidRPr="0004492D">
        <w:rPr>
          <w:rFonts w:cs="Arial"/>
          <w:szCs w:val="20"/>
          <w:lang w:val="it-IT"/>
        </w:rPr>
        <w:t>pravico</w:t>
      </w:r>
      <w:proofErr w:type="spellEnd"/>
      <w:r w:rsidRPr="0004492D">
        <w:rPr>
          <w:rFonts w:cs="Arial"/>
          <w:szCs w:val="20"/>
          <w:lang w:val="it-IT"/>
        </w:rPr>
        <w:t xml:space="preserve"> do </w:t>
      </w:r>
      <w:proofErr w:type="spellStart"/>
      <w:r w:rsidRPr="0004492D">
        <w:rPr>
          <w:rFonts w:cs="Arial"/>
          <w:szCs w:val="20"/>
          <w:lang w:val="it-IT"/>
        </w:rPr>
        <w:t>nadomestila</w:t>
      </w:r>
      <w:proofErr w:type="spellEnd"/>
      <w:r w:rsidRPr="0004492D">
        <w:rPr>
          <w:rFonts w:cs="Arial"/>
          <w:szCs w:val="20"/>
          <w:lang w:val="it-IT"/>
        </w:rPr>
        <w:t xml:space="preserve"> </w:t>
      </w:r>
      <w:proofErr w:type="spellStart"/>
      <w:r w:rsidRPr="0004492D">
        <w:rPr>
          <w:rFonts w:cs="Arial"/>
          <w:szCs w:val="20"/>
          <w:lang w:val="it-IT"/>
        </w:rPr>
        <w:t>plače</w:t>
      </w:r>
      <w:proofErr w:type="spellEnd"/>
      <w:r w:rsidRPr="0004492D">
        <w:rPr>
          <w:rFonts w:cs="Arial"/>
          <w:szCs w:val="20"/>
          <w:lang w:val="it-IT"/>
        </w:rPr>
        <w:t xml:space="preserve">, </w:t>
      </w:r>
      <w:proofErr w:type="spellStart"/>
      <w:r w:rsidRPr="0004492D">
        <w:rPr>
          <w:rFonts w:cs="Arial"/>
          <w:szCs w:val="20"/>
          <w:shd w:val="clear" w:color="auto" w:fill="FFFFFF"/>
          <w:lang w:val="it-IT"/>
        </w:rPr>
        <w:t>kot</w:t>
      </w:r>
      <w:proofErr w:type="spellEnd"/>
      <w:r w:rsidRPr="0004492D">
        <w:rPr>
          <w:rFonts w:cs="Arial"/>
          <w:szCs w:val="20"/>
          <w:shd w:val="clear" w:color="auto" w:fill="FFFFFF"/>
          <w:lang w:val="it-IT"/>
        </w:rPr>
        <w:t xml:space="preserve"> </w:t>
      </w:r>
      <w:proofErr w:type="spellStart"/>
      <w:r w:rsidRPr="0004492D">
        <w:rPr>
          <w:rFonts w:cs="Arial"/>
          <w:szCs w:val="20"/>
          <w:shd w:val="clear" w:color="auto" w:fill="FFFFFF"/>
          <w:lang w:val="it-IT"/>
        </w:rPr>
        <w:t>jo</w:t>
      </w:r>
      <w:proofErr w:type="spellEnd"/>
      <w:r w:rsidRPr="0004492D">
        <w:rPr>
          <w:rFonts w:cs="Arial"/>
          <w:szCs w:val="20"/>
          <w:shd w:val="clear" w:color="auto" w:fill="FFFFFF"/>
          <w:lang w:val="it-IT"/>
        </w:rPr>
        <w:t xml:space="preserve"> </w:t>
      </w:r>
      <w:proofErr w:type="spellStart"/>
      <w:r w:rsidRPr="0004492D">
        <w:rPr>
          <w:rFonts w:cs="Arial"/>
          <w:szCs w:val="20"/>
          <w:shd w:val="clear" w:color="auto" w:fill="FFFFFF"/>
          <w:lang w:val="it-IT"/>
        </w:rPr>
        <w:t>določa</w:t>
      </w:r>
      <w:proofErr w:type="spellEnd"/>
      <w:r w:rsidRPr="0004492D">
        <w:rPr>
          <w:rFonts w:cs="Arial"/>
          <w:szCs w:val="20"/>
          <w:shd w:val="clear" w:color="auto" w:fill="FFFFFF"/>
          <w:lang w:val="it-IT"/>
        </w:rPr>
        <w:t xml:space="preserve"> </w:t>
      </w:r>
      <w:proofErr w:type="spellStart"/>
      <w:r w:rsidRPr="0004492D">
        <w:rPr>
          <w:rFonts w:cs="Arial"/>
          <w:szCs w:val="20"/>
          <w:shd w:val="clear" w:color="auto" w:fill="FFFFFF"/>
          <w:lang w:val="it-IT"/>
        </w:rPr>
        <w:t>zakon</w:t>
      </w:r>
      <w:proofErr w:type="spellEnd"/>
      <w:r w:rsidRPr="0004492D">
        <w:rPr>
          <w:rFonts w:cs="Arial"/>
          <w:szCs w:val="20"/>
          <w:shd w:val="clear" w:color="auto" w:fill="FFFFFF"/>
          <w:lang w:val="it-IT"/>
        </w:rPr>
        <w:t>.</w:t>
      </w:r>
    </w:p>
    <w:p w14:paraId="3FA64F09" w14:textId="77777777" w:rsidR="0004492D" w:rsidRPr="0004492D" w:rsidRDefault="0004492D" w:rsidP="0004492D">
      <w:pPr>
        <w:spacing w:line="240" w:lineRule="auto"/>
        <w:jc w:val="both"/>
        <w:rPr>
          <w:rFonts w:cs="Arial"/>
          <w:b/>
          <w:szCs w:val="20"/>
        </w:rPr>
      </w:pPr>
    </w:p>
    <w:p w14:paraId="582D21B7" w14:textId="77777777" w:rsidR="0004492D" w:rsidRPr="0004492D" w:rsidRDefault="0004492D"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javno upravo</w:t>
      </w:r>
    </w:p>
    <w:p w14:paraId="03D22F51" w14:textId="77777777" w:rsidR="0004492D" w:rsidRPr="0004492D" w:rsidRDefault="0004492D" w:rsidP="0004492D">
      <w:pPr>
        <w:autoSpaceDE w:val="0"/>
        <w:autoSpaceDN w:val="0"/>
        <w:adjustRightInd w:val="0"/>
        <w:spacing w:line="240" w:lineRule="auto"/>
        <w:jc w:val="both"/>
        <w:rPr>
          <w:rFonts w:cs="Arial"/>
          <w:color w:val="000000"/>
          <w:szCs w:val="20"/>
        </w:rPr>
      </w:pPr>
    </w:p>
    <w:p w14:paraId="5B8D9715" w14:textId="4E1D1F9E" w:rsidR="00246179" w:rsidRPr="0004492D" w:rsidRDefault="00246179"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Predlogi Komisije Vlade Republike Slovenije za administrativne zadeve in imenovanja</w:t>
      </w:r>
    </w:p>
    <w:p w14:paraId="61E9F1EB" w14:textId="77777777" w:rsidR="00246179" w:rsidRPr="0004492D" w:rsidRDefault="00246179"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ab/>
      </w:r>
    </w:p>
    <w:p w14:paraId="61954AC3" w14:textId="4981A3BE" w:rsidR="00C53D02" w:rsidRPr="0004492D" w:rsidRDefault="00C53D02"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Vlada imenovala generalnega direktorja Direktorata za letalski in pomorski promet na Ministrstvu za infrastrukturo</w:t>
      </w:r>
    </w:p>
    <w:p w14:paraId="37620E4F" w14:textId="77777777" w:rsidR="00C53D02" w:rsidRPr="0004492D" w:rsidRDefault="00C53D02" w:rsidP="0004492D">
      <w:pPr>
        <w:autoSpaceDE w:val="0"/>
        <w:autoSpaceDN w:val="0"/>
        <w:adjustRightInd w:val="0"/>
        <w:spacing w:line="240" w:lineRule="auto"/>
        <w:jc w:val="both"/>
        <w:rPr>
          <w:rFonts w:cs="Arial"/>
          <w:b/>
          <w:bCs/>
          <w:color w:val="000000"/>
          <w:szCs w:val="20"/>
        </w:rPr>
      </w:pPr>
    </w:p>
    <w:p w14:paraId="47CBAB0A" w14:textId="77777777" w:rsidR="00C53D02" w:rsidRPr="0004492D" w:rsidRDefault="00C53D02" w:rsidP="0004492D">
      <w:pPr>
        <w:autoSpaceDE w:val="0"/>
        <w:autoSpaceDN w:val="0"/>
        <w:adjustRightInd w:val="0"/>
        <w:spacing w:line="240" w:lineRule="auto"/>
        <w:jc w:val="both"/>
        <w:rPr>
          <w:rFonts w:cs="Arial"/>
          <w:color w:val="000000"/>
          <w:szCs w:val="20"/>
        </w:rPr>
      </w:pPr>
      <w:r w:rsidRPr="0004492D">
        <w:rPr>
          <w:rFonts w:cs="Arial"/>
          <w:color w:val="000000"/>
          <w:szCs w:val="20"/>
        </w:rPr>
        <w:t>Vlada je za generalnega direktorja Direktorata za letalski in pomorski promet na Ministrstvu za infrastrukturo imenovala Srečka Janšo. Direktor je imenovan za dobo petih (5) let, in sicer od 19. 12. 2021 do 18. 12. 2026, z možnostjo ponovnega imenovanja.</w:t>
      </w:r>
    </w:p>
    <w:p w14:paraId="6B6D7D44" w14:textId="77777777" w:rsidR="00C53D02" w:rsidRPr="0004492D" w:rsidRDefault="00C53D02" w:rsidP="0004492D">
      <w:pPr>
        <w:autoSpaceDE w:val="0"/>
        <w:autoSpaceDN w:val="0"/>
        <w:adjustRightInd w:val="0"/>
        <w:spacing w:line="240" w:lineRule="auto"/>
        <w:jc w:val="both"/>
        <w:rPr>
          <w:rFonts w:cs="Arial"/>
          <w:color w:val="000000"/>
          <w:szCs w:val="20"/>
        </w:rPr>
      </w:pPr>
    </w:p>
    <w:p w14:paraId="626B835A" w14:textId="77777777" w:rsidR="00C53D02" w:rsidRPr="0004492D" w:rsidRDefault="00C53D02"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infrastrukturo</w:t>
      </w:r>
    </w:p>
    <w:p w14:paraId="0CCD452A"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19953A46" w14:textId="45BABFE8" w:rsidR="00DA2525" w:rsidRPr="0004492D" w:rsidRDefault="00DA2525"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Odstop člana in prenehanje mandata člana nadzornega sveta družbe Slovenski državni gozdovi, d. o. o.</w:t>
      </w:r>
    </w:p>
    <w:p w14:paraId="0CE95664" w14:textId="77777777" w:rsidR="00DA2525" w:rsidRPr="0004492D" w:rsidRDefault="00DA2525" w:rsidP="0004492D">
      <w:pPr>
        <w:autoSpaceDE w:val="0"/>
        <w:autoSpaceDN w:val="0"/>
        <w:adjustRightInd w:val="0"/>
        <w:spacing w:line="240" w:lineRule="auto"/>
        <w:jc w:val="both"/>
        <w:rPr>
          <w:rFonts w:cs="Arial"/>
          <w:b/>
          <w:bCs/>
          <w:color w:val="000000"/>
          <w:szCs w:val="20"/>
        </w:rPr>
      </w:pPr>
    </w:p>
    <w:p w14:paraId="6EA3EE53" w14:textId="77777777" w:rsidR="00DA2525" w:rsidRPr="0004492D" w:rsidRDefault="00DA2525" w:rsidP="0004492D">
      <w:pPr>
        <w:autoSpaceDE w:val="0"/>
        <w:autoSpaceDN w:val="0"/>
        <w:adjustRightInd w:val="0"/>
        <w:spacing w:line="240" w:lineRule="auto"/>
        <w:jc w:val="both"/>
        <w:rPr>
          <w:rFonts w:cs="Arial"/>
          <w:color w:val="000000"/>
          <w:szCs w:val="20"/>
        </w:rPr>
      </w:pPr>
      <w:r w:rsidRPr="0004492D">
        <w:rPr>
          <w:rFonts w:cs="Arial"/>
          <w:color w:val="000000"/>
          <w:szCs w:val="20"/>
        </w:rPr>
        <w:t>Vlada v vlogi skupščine družbe Slovenski državni gozdovi, d. o. o., se je seznanila z odstopom mag. Andreja Rihterja s funkcije člana nadzornega sveta družbe Slovenski državni gozdovi, d. o. o.. Vlada soglaša, da odstopljenemu članu nadzornega sveta iz prejšnje točke preneha mandat z 8. 11. 2021. Poslovodstvo družbe Slovenski državni gozdovi, d. o. o., poskrbi za vpis tega sklepa v knjigo sklepov družbe.</w:t>
      </w:r>
    </w:p>
    <w:p w14:paraId="21FAE89B" w14:textId="77777777" w:rsidR="00DA2525" w:rsidRPr="0004492D" w:rsidRDefault="00DA2525" w:rsidP="0004492D">
      <w:pPr>
        <w:autoSpaceDE w:val="0"/>
        <w:autoSpaceDN w:val="0"/>
        <w:adjustRightInd w:val="0"/>
        <w:spacing w:line="240" w:lineRule="auto"/>
        <w:jc w:val="both"/>
        <w:rPr>
          <w:rFonts w:cs="Arial"/>
          <w:color w:val="000000"/>
          <w:szCs w:val="20"/>
        </w:rPr>
      </w:pPr>
    </w:p>
    <w:p w14:paraId="31BA3EED" w14:textId="77777777" w:rsidR="00DA2525" w:rsidRPr="0004492D" w:rsidRDefault="00DA2525" w:rsidP="0004492D">
      <w:pPr>
        <w:autoSpaceDE w:val="0"/>
        <w:autoSpaceDN w:val="0"/>
        <w:adjustRightInd w:val="0"/>
        <w:spacing w:line="240" w:lineRule="auto"/>
        <w:jc w:val="both"/>
        <w:rPr>
          <w:rFonts w:cs="Arial"/>
          <w:color w:val="000000"/>
          <w:szCs w:val="20"/>
        </w:rPr>
      </w:pPr>
      <w:r w:rsidRPr="0004492D">
        <w:rPr>
          <w:rFonts w:cs="Arial"/>
          <w:color w:val="000000"/>
          <w:szCs w:val="20"/>
        </w:rPr>
        <w:t>Dosedanjega člana nadzornega sveta družbe Slovenski državni gozdovi, d. o. o., mag. Andreja Rihterja je skupščina družbe Slovenski državni gozdovi, d. o. o., na predlog ministra za gospodarski razvoj in tehnologijo imenovala s sklepom 18. 7. 2019 za mandatno dobo štiri leta.</w:t>
      </w:r>
    </w:p>
    <w:p w14:paraId="510CE1EA" w14:textId="77777777" w:rsidR="00DA2525" w:rsidRPr="0004492D" w:rsidRDefault="00DA2525" w:rsidP="0004492D">
      <w:pPr>
        <w:autoSpaceDE w:val="0"/>
        <w:autoSpaceDN w:val="0"/>
        <w:adjustRightInd w:val="0"/>
        <w:spacing w:line="240" w:lineRule="auto"/>
        <w:jc w:val="both"/>
        <w:rPr>
          <w:rFonts w:cs="Arial"/>
          <w:color w:val="000000"/>
          <w:szCs w:val="20"/>
        </w:rPr>
      </w:pPr>
    </w:p>
    <w:p w14:paraId="7643A359" w14:textId="77777777" w:rsidR="00DA2525" w:rsidRPr="0004492D" w:rsidRDefault="00DA2525"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Mag. Andrej Rihter je v odstopni izjavi z mesta funkcije predsednika in člana nadzornega sveta družbe Slovenski državni gozdovi, d. o. o., ki jo je podal poslovodstvu družbe 5. 11. 2021, predlagal prenehanje njegovega članstva v nadzornem svetu z 8. 11. 2021. </w:t>
      </w:r>
    </w:p>
    <w:p w14:paraId="1BDE8944" w14:textId="77777777" w:rsidR="00DA2525" w:rsidRPr="0004492D" w:rsidRDefault="00DA2525" w:rsidP="0004492D">
      <w:pPr>
        <w:autoSpaceDE w:val="0"/>
        <w:autoSpaceDN w:val="0"/>
        <w:adjustRightInd w:val="0"/>
        <w:spacing w:line="240" w:lineRule="auto"/>
        <w:jc w:val="both"/>
        <w:rPr>
          <w:rFonts w:cs="Arial"/>
          <w:color w:val="000000"/>
          <w:szCs w:val="20"/>
        </w:rPr>
      </w:pPr>
    </w:p>
    <w:p w14:paraId="39E323D1" w14:textId="4344B9F7" w:rsidR="00246179" w:rsidRPr="0004492D" w:rsidRDefault="00DA2525"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kmetijstvo, gozdarstvo in prehrano</w:t>
      </w:r>
    </w:p>
    <w:p w14:paraId="59E1CE4F" w14:textId="77777777" w:rsidR="00246179" w:rsidRPr="0004492D" w:rsidRDefault="00246179" w:rsidP="0004492D">
      <w:pPr>
        <w:autoSpaceDE w:val="0"/>
        <w:autoSpaceDN w:val="0"/>
        <w:adjustRightInd w:val="0"/>
        <w:spacing w:line="240" w:lineRule="auto"/>
        <w:jc w:val="both"/>
        <w:rPr>
          <w:rFonts w:cs="Arial"/>
          <w:color w:val="000000"/>
          <w:szCs w:val="20"/>
        </w:rPr>
      </w:pPr>
    </w:p>
    <w:p w14:paraId="2E6B2AFD" w14:textId="5B0D1B73" w:rsidR="00B7465F" w:rsidRPr="0004492D" w:rsidRDefault="00B7465F"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Imenovanje predstavnika MOP v svet Inštituta za vode Republike Slovenije</w:t>
      </w:r>
    </w:p>
    <w:p w14:paraId="605CE7DA" w14:textId="77777777" w:rsidR="00B7465F" w:rsidRPr="0004492D" w:rsidRDefault="00B7465F" w:rsidP="0004492D">
      <w:pPr>
        <w:autoSpaceDE w:val="0"/>
        <w:autoSpaceDN w:val="0"/>
        <w:adjustRightInd w:val="0"/>
        <w:spacing w:line="240" w:lineRule="auto"/>
        <w:jc w:val="both"/>
        <w:rPr>
          <w:rFonts w:cs="Arial"/>
          <w:b/>
          <w:bCs/>
          <w:color w:val="000000"/>
          <w:szCs w:val="20"/>
        </w:rPr>
      </w:pPr>
    </w:p>
    <w:p w14:paraId="67377C05" w14:textId="77777777" w:rsidR="00B7465F" w:rsidRPr="0004492D" w:rsidRDefault="00B7465F"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Vlada je v svet javnega zavoda Inštituta za vode Republike Slovenije kot predstavnika Ministrstva za okolje in prostor (MOP) imenovala mag. Joška Kneza, in sicer do 14. 5. 2024. Vlada je namreč  s tega mesta razrešila Iztoka Slatinška, ki je podal odstopno izjavo. </w:t>
      </w:r>
    </w:p>
    <w:p w14:paraId="569DC640" w14:textId="77777777" w:rsidR="00B7465F" w:rsidRPr="0004492D" w:rsidRDefault="00B7465F" w:rsidP="0004492D">
      <w:pPr>
        <w:autoSpaceDE w:val="0"/>
        <w:autoSpaceDN w:val="0"/>
        <w:adjustRightInd w:val="0"/>
        <w:spacing w:line="240" w:lineRule="auto"/>
        <w:jc w:val="both"/>
        <w:rPr>
          <w:rFonts w:cs="Arial"/>
          <w:color w:val="000000"/>
          <w:szCs w:val="20"/>
        </w:rPr>
      </w:pPr>
    </w:p>
    <w:p w14:paraId="23EA4213" w14:textId="7DCB5771" w:rsidR="00246179" w:rsidRPr="0004492D" w:rsidRDefault="00B7465F"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okolje in prostor</w:t>
      </w:r>
    </w:p>
    <w:p w14:paraId="6CF5A0FA"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28BDBB59" w14:textId="7C4CE77E" w:rsidR="00246179" w:rsidRPr="0004492D" w:rsidRDefault="008409EC"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S</w:t>
      </w:r>
      <w:r w:rsidR="00246179" w:rsidRPr="0004492D">
        <w:rPr>
          <w:rFonts w:cs="Arial"/>
          <w:b/>
          <w:bCs/>
          <w:color w:val="000000"/>
          <w:szCs w:val="20"/>
        </w:rPr>
        <w:t>prememb</w:t>
      </w:r>
      <w:r w:rsidRPr="0004492D">
        <w:rPr>
          <w:rFonts w:cs="Arial"/>
          <w:b/>
          <w:bCs/>
          <w:color w:val="000000"/>
          <w:szCs w:val="20"/>
        </w:rPr>
        <w:t xml:space="preserve">a </w:t>
      </w:r>
      <w:r w:rsidR="00246179" w:rsidRPr="0004492D">
        <w:rPr>
          <w:rFonts w:cs="Arial"/>
          <w:b/>
          <w:bCs/>
          <w:color w:val="000000"/>
          <w:szCs w:val="20"/>
        </w:rPr>
        <w:t>Sklepa o ustanovitvi Delovne skupine vlade za pripravo Načrta ukrepov Vlade Republike Slovenije o izvrševanju predpisov na področju uresničevanja pravic italijanske in madžarske narodne skupnosti v Republiki Sloveniji in za spremljanje njegovega izvajanja</w:t>
      </w:r>
    </w:p>
    <w:p w14:paraId="5F797B22" w14:textId="5275AC94" w:rsidR="008409EC" w:rsidRPr="0004492D" w:rsidRDefault="008409EC" w:rsidP="0004492D">
      <w:pPr>
        <w:autoSpaceDE w:val="0"/>
        <w:autoSpaceDN w:val="0"/>
        <w:adjustRightInd w:val="0"/>
        <w:spacing w:line="240" w:lineRule="auto"/>
        <w:jc w:val="both"/>
        <w:rPr>
          <w:rFonts w:cs="Arial"/>
          <w:b/>
          <w:bCs/>
          <w:color w:val="000000"/>
          <w:szCs w:val="20"/>
        </w:rPr>
      </w:pPr>
    </w:p>
    <w:p w14:paraId="5540613B" w14:textId="77777777" w:rsidR="008409EC" w:rsidRPr="0004492D" w:rsidRDefault="008409EC"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Vlada je na današnji seji sprejela sklep, da se v Delovni skupini vlade za pripravo Načrta ukrepov Vlade Republike Slovenije o izvrševanju predpisov na področju uresničevanja pravic italijanske in madžarske narodne skupnosti v Republiki Sloveniji in za spremljanje njegovega izvajanja z mesta članice razreši Tatjano Eberlinc </w:t>
      </w:r>
      <w:proofErr w:type="spellStart"/>
      <w:r w:rsidRPr="0004492D">
        <w:rPr>
          <w:rFonts w:cs="Arial"/>
          <w:color w:val="000000"/>
          <w:szCs w:val="20"/>
        </w:rPr>
        <w:t>Jurkas</w:t>
      </w:r>
      <w:proofErr w:type="spellEnd"/>
      <w:r w:rsidRPr="0004492D">
        <w:rPr>
          <w:rFonts w:cs="Arial"/>
          <w:color w:val="000000"/>
          <w:szCs w:val="20"/>
        </w:rPr>
        <w:t>, in namesto nje za članico imenuje Anjo Blažič.</w:t>
      </w:r>
    </w:p>
    <w:p w14:paraId="21DF06DA" w14:textId="77777777" w:rsidR="008409EC" w:rsidRPr="0004492D" w:rsidRDefault="008409EC" w:rsidP="0004492D">
      <w:pPr>
        <w:autoSpaceDE w:val="0"/>
        <w:autoSpaceDN w:val="0"/>
        <w:adjustRightInd w:val="0"/>
        <w:spacing w:line="240" w:lineRule="auto"/>
        <w:jc w:val="both"/>
        <w:rPr>
          <w:rFonts w:cs="Arial"/>
          <w:color w:val="000000"/>
          <w:szCs w:val="20"/>
        </w:rPr>
      </w:pPr>
    </w:p>
    <w:p w14:paraId="04169AB0" w14:textId="77777777" w:rsidR="008409EC" w:rsidRPr="0004492D" w:rsidRDefault="008409EC" w:rsidP="0004492D">
      <w:pPr>
        <w:autoSpaceDE w:val="0"/>
        <w:autoSpaceDN w:val="0"/>
        <w:adjustRightInd w:val="0"/>
        <w:spacing w:line="240" w:lineRule="auto"/>
        <w:jc w:val="both"/>
        <w:rPr>
          <w:rFonts w:cs="Arial"/>
          <w:color w:val="000000"/>
          <w:szCs w:val="20"/>
        </w:rPr>
      </w:pPr>
      <w:r w:rsidRPr="0004492D">
        <w:rPr>
          <w:rFonts w:cs="Arial"/>
          <w:color w:val="000000"/>
          <w:szCs w:val="20"/>
        </w:rPr>
        <w:t>Razrešitev in imenovanje je izvedeno na podlagi predloga Ministrstva za pravosodje.</w:t>
      </w:r>
    </w:p>
    <w:p w14:paraId="7238FBF8" w14:textId="77777777" w:rsidR="008409EC" w:rsidRPr="0004492D" w:rsidRDefault="008409EC" w:rsidP="0004492D">
      <w:pPr>
        <w:autoSpaceDE w:val="0"/>
        <w:autoSpaceDN w:val="0"/>
        <w:adjustRightInd w:val="0"/>
        <w:spacing w:line="240" w:lineRule="auto"/>
        <w:jc w:val="both"/>
        <w:rPr>
          <w:rFonts w:cs="Arial"/>
          <w:color w:val="000000"/>
          <w:szCs w:val="20"/>
        </w:rPr>
      </w:pPr>
    </w:p>
    <w:p w14:paraId="076A92D2" w14:textId="0F27557A" w:rsidR="008409EC" w:rsidRPr="0004492D" w:rsidRDefault="008409EC" w:rsidP="0004492D">
      <w:pPr>
        <w:autoSpaceDE w:val="0"/>
        <w:autoSpaceDN w:val="0"/>
        <w:adjustRightInd w:val="0"/>
        <w:spacing w:line="240" w:lineRule="auto"/>
        <w:jc w:val="both"/>
        <w:rPr>
          <w:rFonts w:cs="Arial"/>
          <w:color w:val="000000"/>
          <w:szCs w:val="20"/>
        </w:rPr>
      </w:pPr>
      <w:r w:rsidRPr="0004492D">
        <w:rPr>
          <w:rFonts w:cs="Arial"/>
          <w:color w:val="000000"/>
          <w:szCs w:val="20"/>
        </w:rPr>
        <w:t>Vir: Urad za narodnosti</w:t>
      </w:r>
    </w:p>
    <w:p w14:paraId="11C91CC7" w14:textId="77777777" w:rsidR="00246179" w:rsidRPr="0004492D" w:rsidRDefault="00246179" w:rsidP="0004492D">
      <w:pPr>
        <w:autoSpaceDE w:val="0"/>
        <w:autoSpaceDN w:val="0"/>
        <w:adjustRightInd w:val="0"/>
        <w:spacing w:line="240" w:lineRule="auto"/>
        <w:jc w:val="both"/>
        <w:rPr>
          <w:rFonts w:cs="Arial"/>
          <w:color w:val="000000"/>
          <w:szCs w:val="20"/>
        </w:rPr>
      </w:pPr>
    </w:p>
    <w:p w14:paraId="54681B8C" w14:textId="6E8D9C13" w:rsidR="00962E97" w:rsidRPr="0004492D" w:rsidRDefault="00962E97" w:rsidP="0004492D">
      <w:pPr>
        <w:autoSpaceDE w:val="0"/>
        <w:autoSpaceDN w:val="0"/>
        <w:adjustRightInd w:val="0"/>
        <w:spacing w:line="240" w:lineRule="auto"/>
        <w:jc w:val="both"/>
        <w:rPr>
          <w:rFonts w:cs="Arial"/>
          <w:b/>
          <w:bCs/>
          <w:color w:val="000000"/>
          <w:szCs w:val="20"/>
        </w:rPr>
      </w:pPr>
      <w:r w:rsidRPr="0004492D">
        <w:rPr>
          <w:rFonts w:cs="Arial"/>
          <w:b/>
          <w:bCs/>
          <w:color w:val="000000"/>
          <w:szCs w:val="20"/>
        </w:rPr>
        <w:t>Ureditev instituta izmenskega dela v Policiji</w:t>
      </w:r>
    </w:p>
    <w:p w14:paraId="38F5B42F" w14:textId="77777777" w:rsidR="00962E97" w:rsidRPr="0004492D" w:rsidRDefault="00962E97" w:rsidP="0004492D">
      <w:pPr>
        <w:autoSpaceDE w:val="0"/>
        <w:autoSpaceDN w:val="0"/>
        <w:adjustRightInd w:val="0"/>
        <w:spacing w:line="240" w:lineRule="auto"/>
        <w:jc w:val="both"/>
        <w:rPr>
          <w:rFonts w:cs="Arial"/>
          <w:color w:val="000000"/>
          <w:szCs w:val="20"/>
        </w:rPr>
      </w:pPr>
    </w:p>
    <w:p w14:paraId="450E3F3F" w14:textId="77777777" w:rsidR="00962E97" w:rsidRPr="0004492D" w:rsidRDefault="00962E97" w:rsidP="0004492D">
      <w:pPr>
        <w:autoSpaceDE w:val="0"/>
        <w:autoSpaceDN w:val="0"/>
        <w:adjustRightInd w:val="0"/>
        <w:spacing w:line="240" w:lineRule="auto"/>
        <w:jc w:val="both"/>
        <w:rPr>
          <w:rFonts w:cs="Arial"/>
          <w:color w:val="000000"/>
          <w:szCs w:val="20"/>
        </w:rPr>
      </w:pPr>
      <w:r w:rsidRPr="0004492D">
        <w:rPr>
          <w:rFonts w:cs="Arial"/>
          <w:color w:val="000000"/>
          <w:szCs w:val="20"/>
        </w:rPr>
        <w:t>Vlada Republike Slovenije se je seznanila s predlogom ureditve instituta izmenskega dela v Ministrstvu za notranje zadeve, Policiji.</w:t>
      </w:r>
    </w:p>
    <w:p w14:paraId="4E9D3B5D" w14:textId="77777777" w:rsidR="00962E97" w:rsidRPr="0004492D" w:rsidRDefault="00962E97" w:rsidP="0004492D">
      <w:pPr>
        <w:autoSpaceDE w:val="0"/>
        <w:autoSpaceDN w:val="0"/>
        <w:adjustRightInd w:val="0"/>
        <w:spacing w:line="240" w:lineRule="auto"/>
        <w:jc w:val="both"/>
        <w:rPr>
          <w:rFonts w:cs="Arial"/>
          <w:color w:val="000000"/>
          <w:szCs w:val="20"/>
        </w:rPr>
      </w:pPr>
    </w:p>
    <w:p w14:paraId="00FB32B6" w14:textId="77777777" w:rsidR="00962E97" w:rsidRPr="0004492D" w:rsidRDefault="00962E97" w:rsidP="0004492D">
      <w:pPr>
        <w:autoSpaceDE w:val="0"/>
        <w:autoSpaceDN w:val="0"/>
        <w:adjustRightInd w:val="0"/>
        <w:spacing w:line="240" w:lineRule="auto"/>
        <w:jc w:val="both"/>
        <w:rPr>
          <w:rFonts w:cs="Arial"/>
          <w:color w:val="000000"/>
          <w:szCs w:val="20"/>
        </w:rPr>
      </w:pPr>
      <w:r w:rsidRPr="0004492D">
        <w:rPr>
          <w:rFonts w:cs="Arial"/>
          <w:color w:val="000000"/>
          <w:szCs w:val="20"/>
        </w:rPr>
        <w:t>Računsko sodišče Republike Slovenije je v revizijskem poročilu Predlog zaključnega računa proračuna Republike Slovenije za leto 2020 ugotovilo, da je Ministrstvo za notranje zadeve, Policija, šestim javnim uslužbencem nepravilno obračunala in izplačala dodatek za delo ponoči, in sicer kot posledica nedefinirane nočne delovne izmene. V zahtevi za predložitev odzivnega poročila je računsko sodišče Ministrstvu za notranje zadeve, Policiji, naložilo, da mora pripraviti predlog ureditve instituta nočne delovne izmene in ga posredovati vladi v obravnavo.</w:t>
      </w:r>
    </w:p>
    <w:p w14:paraId="3FD50E04" w14:textId="77777777" w:rsidR="00962E97" w:rsidRPr="0004492D" w:rsidRDefault="00962E97" w:rsidP="0004492D">
      <w:pPr>
        <w:autoSpaceDE w:val="0"/>
        <w:autoSpaceDN w:val="0"/>
        <w:adjustRightInd w:val="0"/>
        <w:spacing w:line="240" w:lineRule="auto"/>
        <w:jc w:val="both"/>
        <w:rPr>
          <w:rFonts w:cs="Arial"/>
          <w:color w:val="000000"/>
          <w:szCs w:val="20"/>
        </w:rPr>
      </w:pPr>
    </w:p>
    <w:p w14:paraId="6B877523" w14:textId="77777777" w:rsidR="00962E97" w:rsidRPr="0004492D" w:rsidRDefault="00962E97" w:rsidP="0004492D">
      <w:pPr>
        <w:autoSpaceDE w:val="0"/>
        <w:autoSpaceDN w:val="0"/>
        <w:adjustRightInd w:val="0"/>
        <w:spacing w:line="240" w:lineRule="auto"/>
        <w:jc w:val="both"/>
        <w:rPr>
          <w:rFonts w:cs="Arial"/>
          <w:color w:val="000000"/>
          <w:szCs w:val="20"/>
        </w:rPr>
      </w:pPr>
      <w:r w:rsidRPr="0004492D">
        <w:rPr>
          <w:rFonts w:cs="Arial"/>
          <w:color w:val="000000"/>
          <w:szCs w:val="20"/>
        </w:rPr>
        <w:t>Zaradi izvedbe popravljalnega ukrepa in neobstoječe oziroma neustrezne določitve izmen je bil pripravljen celovit osnutek ureditve instituta izmenskega dela, ki določa dnevno, popoldansko in nočno izmeno, redno delo v popoldanskem delovnem času ter posebnosti v primeru 12-urne (ali dlje trajajoče) izmene. Institut izmenskega dela bo urejen v aktu o notranji organizaciji in sistemizaciji delovnih mest.</w:t>
      </w:r>
    </w:p>
    <w:p w14:paraId="46A5A22C" w14:textId="77777777" w:rsidR="00962E97" w:rsidRPr="0004492D" w:rsidRDefault="00962E97" w:rsidP="0004492D">
      <w:pPr>
        <w:autoSpaceDE w:val="0"/>
        <w:autoSpaceDN w:val="0"/>
        <w:adjustRightInd w:val="0"/>
        <w:spacing w:line="240" w:lineRule="auto"/>
        <w:jc w:val="both"/>
        <w:rPr>
          <w:rFonts w:cs="Arial"/>
          <w:color w:val="000000"/>
          <w:szCs w:val="20"/>
        </w:rPr>
      </w:pPr>
    </w:p>
    <w:p w14:paraId="6B61B0CB" w14:textId="5B4B3F89" w:rsidR="00246179" w:rsidRPr="0004492D" w:rsidRDefault="00962E97" w:rsidP="0004492D">
      <w:pPr>
        <w:autoSpaceDE w:val="0"/>
        <w:autoSpaceDN w:val="0"/>
        <w:adjustRightInd w:val="0"/>
        <w:spacing w:line="240" w:lineRule="auto"/>
        <w:jc w:val="both"/>
        <w:rPr>
          <w:rFonts w:cs="Arial"/>
          <w:color w:val="000000"/>
          <w:szCs w:val="20"/>
        </w:rPr>
      </w:pPr>
      <w:r w:rsidRPr="0004492D">
        <w:rPr>
          <w:rFonts w:cs="Arial"/>
          <w:color w:val="000000"/>
          <w:szCs w:val="20"/>
        </w:rPr>
        <w:t>Vir: Ministrstvo za notranje zadeve</w:t>
      </w:r>
    </w:p>
    <w:p w14:paraId="1DC845EC" w14:textId="77777777" w:rsidR="00246179" w:rsidRPr="0004492D" w:rsidRDefault="00246179" w:rsidP="0004492D">
      <w:pPr>
        <w:autoSpaceDE w:val="0"/>
        <w:autoSpaceDN w:val="0"/>
        <w:adjustRightInd w:val="0"/>
        <w:spacing w:line="240" w:lineRule="auto"/>
        <w:jc w:val="both"/>
        <w:rPr>
          <w:rFonts w:cs="Arial"/>
          <w:color w:val="000000"/>
          <w:szCs w:val="20"/>
        </w:rPr>
      </w:pPr>
    </w:p>
    <w:p w14:paraId="272F310C" w14:textId="77777777" w:rsidR="00246179" w:rsidRPr="0004492D" w:rsidRDefault="00246179" w:rsidP="0004492D">
      <w:pPr>
        <w:autoSpaceDE w:val="0"/>
        <w:autoSpaceDN w:val="0"/>
        <w:adjustRightInd w:val="0"/>
        <w:spacing w:line="240" w:lineRule="auto"/>
        <w:jc w:val="both"/>
        <w:rPr>
          <w:rFonts w:cs="Arial"/>
          <w:color w:val="000000"/>
          <w:szCs w:val="20"/>
        </w:rPr>
      </w:pPr>
    </w:p>
    <w:p w14:paraId="587969AE" w14:textId="77777777" w:rsidR="00246179" w:rsidRPr="0004492D" w:rsidRDefault="00246179" w:rsidP="0004492D">
      <w:pPr>
        <w:autoSpaceDE w:val="0"/>
        <w:autoSpaceDN w:val="0"/>
        <w:adjustRightInd w:val="0"/>
        <w:spacing w:line="240" w:lineRule="auto"/>
        <w:jc w:val="both"/>
        <w:rPr>
          <w:rFonts w:cs="Arial"/>
          <w:color w:val="000000"/>
          <w:szCs w:val="20"/>
        </w:rPr>
      </w:pPr>
      <w:r w:rsidRPr="0004492D">
        <w:rPr>
          <w:rFonts w:cs="Arial"/>
          <w:color w:val="000000"/>
          <w:szCs w:val="20"/>
        </w:rPr>
        <w:t xml:space="preserve"> </w:t>
      </w:r>
    </w:p>
    <w:p w14:paraId="44D82DA0" w14:textId="77777777" w:rsidR="00246179" w:rsidRPr="0004492D" w:rsidRDefault="00246179" w:rsidP="0004492D">
      <w:pPr>
        <w:autoSpaceDE w:val="0"/>
        <w:autoSpaceDN w:val="0"/>
        <w:adjustRightInd w:val="0"/>
        <w:spacing w:line="240" w:lineRule="auto"/>
        <w:jc w:val="both"/>
        <w:rPr>
          <w:rFonts w:cs="Arial"/>
          <w:b/>
          <w:bCs/>
          <w:color w:val="000000"/>
          <w:szCs w:val="20"/>
        </w:rPr>
      </w:pPr>
    </w:p>
    <w:p w14:paraId="1323FB78" w14:textId="77777777" w:rsidR="000735E5" w:rsidRPr="0004492D" w:rsidRDefault="000735E5" w:rsidP="0004492D">
      <w:pPr>
        <w:autoSpaceDE w:val="0"/>
        <w:autoSpaceDN w:val="0"/>
        <w:adjustRightInd w:val="0"/>
        <w:spacing w:line="240" w:lineRule="auto"/>
        <w:jc w:val="both"/>
        <w:rPr>
          <w:rFonts w:cs="Arial"/>
          <w:b/>
          <w:bCs/>
          <w:color w:val="000000"/>
          <w:szCs w:val="20"/>
        </w:rPr>
      </w:pPr>
    </w:p>
    <w:sectPr w:rsidR="000735E5" w:rsidRPr="0004492D"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5FF"/>
    <w:multiLevelType w:val="hybridMultilevel"/>
    <w:tmpl w:val="157C80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A0879"/>
    <w:multiLevelType w:val="hybridMultilevel"/>
    <w:tmpl w:val="1700D5C4"/>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6F76E5"/>
    <w:multiLevelType w:val="hybridMultilevel"/>
    <w:tmpl w:val="223E0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233C8C"/>
    <w:multiLevelType w:val="hybridMultilevel"/>
    <w:tmpl w:val="0B5076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F05523"/>
    <w:multiLevelType w:val="hybridMultilevel"/>
    <w:tmpl w:val="F1C8290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504D02"/>
    <w:multiLevelType w:val="hybridMultilevel"/>
    <w:tmpl w:val="017656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5D32B5"/>
    <w:multiLevelType w:val="hybridMultilevel"/>
    <w:tmpl w:val="FB24506A"/>
    <w:lvl w:ilvl="0" w:tplc="04240001">
      <w:start w:val="1"/>
      <w:numFmt w:val="bullet"/>
      <w:lvlText w:val=""/>
      <w:lvlJc w:val="left"/>
      <w:pPr>
        <w:ind w:left="1079" w:hanging="360"/>
      </w:pPr>
      <w:rPr>
        <w:rFonts w:ascii="Symbol" w:hAnsi="Symbo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8" w15:restartNumberingAfterBreak="0">
    <w:nsid w:val="18214DA4"/>
    <w:multiLevelType w:val="hybridMultilevel"/>
    <w:tmpl w:val="91E0A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513CF6"/>
    <w:multiLevelType w:val="hybridMultilevel"/>
    <w:tmpl w:val="5D7269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F4003C"/>
    <w:multiLevelType w:val="hybridMultilevel"/>
    <w:tmpl w:val="04B28768"/>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787659"/>
    <w:multiLevelType w:val="hybridMultilevel"/>
    <w:tmpl w:val="C5028DB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2" w15:restartNumberingAfterBreak="0">
    <w:nsid w:val="22AC68B3"/>
    <w:multiLevelType w:val="hybridMultilevel"/>
    <w:tmpl w:val="B0CC02D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BD4BC9"/>
    <w:multiLevelType w:val="hybridMultilevel"/>
    <w:tmpl w:val="C8306C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0E4F6F"/>
    <w:multiLevelType w:val="hybridMultilevel"/>
    <w:tmpl w:val="5BCE8B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2D7FEC"/>
    <w:multiLevelType w:val="hybridMultilevel"/>
    <w:tmpl w:val="A1EED2B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3C786A"/>
    <w:multiLevelType w:val="hybridMultilevel"/>
    <w:tmpl w:val="F880E9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7D26A7"/>
    <w:multiLevelType w:val="hybridMultilevel"/>
    <w:tmpl w:val="1312E8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C7272F"/>
    <w:multiLevelType w:val="hybridMultilevel"/>
    <w:tmpl w:val="42007FEC"/>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B92059C"/>
    <w:multiLevelType w:val="hybridMultilevel"/>
    <w:tmpl w:val="0DEA3B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047D7A"/>
    <w:multiLevelType w:val="multilevel"/>
    <w:tmpl w:val="0FBE4350"/>
    <w:lvl w:ilvl="0">
      <w:start w:val="1"/>
      <w:numFmt w:val="decimal"/>
      <w:lvlText w:val="%1."/>
      <w:lvlJc w:val="left"/>
      <w:pPr>
        <w:ind w:left="720" w:hanging="360"/>
      </w:pPr>
    </w:lvl>
    <w:lvl w:ilvl="1">
      <w:start w:val="1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870081"/>
    <w:multiLevelType w:val="hybridMultilevel"/>
    <w:tmpl w:val="54CC88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680A16"/>
    <w:multiLevelType w:val="hybridMultilevel"/>
    <w:tmpl w:val="A7DC1CB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1B00E33"/>
    <w:multiLevelType w:val="hybridMultilevel"/>
    <w:tmpl w:val="8326E30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7" w15:restartNumberingAfterBreak="0">
    <w:nsid w:val="54737A77"/>
    <w:multiLevelType w:val="hybridMultilevel"/>
    <w:tmpl w:val="B04257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E17C53"/>
    <w:multiLevelType w:val="hybridMultilevel"/>
    <w:tmpl w:val="A56A7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25658A"/>
    <w:multiLevelType w:val="hybridMultilevel"/>
    <w:tmpl w:val="93B4D98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724E6B"/>
    <w:multiLevelType w:val="hybridMultilevel"/>
    <w:tmpl w:val="004E2EC6"/>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1B7005"/>
    <w:multiLevelType w:val="hybridMultilevel"/>
    <w:tmpl w:val="985A36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63445B"/>
    <w:multiLevelType w:val="hybridMultilevel"/>
    <w:tmpl w:val="58F424B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CC247D"/>
    <w:multiLevelType w:val="hybridMultilevel"/>
    <w:tmpl w:val="FE8A973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C54CBF"/>
    <w:multiLevelType w:val="hybridMultilevel"/>
    <w:tmpl w:val="EBCEBFE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68391785"/>
    <w:multiLevelType w:val="hybridMultilevel"/>
    <w:tmpl w:val="9CDC4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8C2AF4"/>
    <w:multiLevelType w:val="hybridMultilevel"/>
    <w:tmpl w:val="E37222D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2CC51FA"/>
    <w:multiLevelType w:val="hybridMultilevel"/>
    <w:tmpl w:val="65DACAF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90311C"/>
    <w:multiLevelType w:val="hybridMultilevel"/>
    <w:tmpl w:val="78C0D28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5CD11B8"/>
    <w:multiLevelType w:val="hybridMultilevel"/>
    <w:tmpl w:val="028899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154382"/>
    <w:multiLevelType w:val="hybridMultilevel"/>
    <w:tmpl w:val="52AE715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AB83F71"/>
    <w:multiLevelType w:val="hybridMultilevel"/>
    <w:tmpl w:val="2A322222"/>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DAC0917"/>
    <w:multiLevelType w:val="hybridMultilevel"/>
    <w:tmpl w:val="2CE4737E"/>
    <w:lvl w:ilvl="0" w:tplc="285007D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9"/>
  </w:num>
  <w:num w:numId="2">
    <w:abstractNumId w:val="2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1"/>
  </w:num>
  <w:num w:numId="6">
    <w:abstractNumId w:val="1"/>
  </w:num>
  <w:num w:numId="7">
    <w:abstractNumId w:val="14"/>
  </w:num>
  <w:num w:numId="8">
    <w:abstractNumId w:val="41"/>
  </w:num>
  <w:num w:numId="9">
    <w:abstractNumId w:val="24"/>
  </w:num>
  <w:num w:numId="10">
    <w:abstractNumId w:val="11"/>
  </w:num>
  <w:num w:numId="11">
    <w:abstractNumId w:val="10"/>
  </w:num>
  <w:num w:numId="12">
    <w:abstractNumId w:val="26"/>
  </w:num>
  <w:num w:numId="13">
    <w:abstractNumId w:val="9"/>
  </w:num>
  <w:num w:numId="14">
    <w:abstractNumId w:val="6"/>
  </w:num>
  <w:num w:numId="15">
    <w:abstractNumId w:val="13"/>
  </w:num>
  <w:num w:numId="16">
    <w:abstractNumId w:val="39"/>
  </w:num>
  <w:num w:numId="17">
    <w:abstractNumId w:val="20"/>
  </w:num>
  <w:num w:numId="18">
    <w:abstractNumId w:val="0"/>
  </w:num>
  <w:num w:numId="19">
    <w:abstractNumId w:val="35"/>
  </w:num>
  <w:num w:numId="20">
    <w:abstractNumId w:val="27"/>
  </w:num>
  <w:num w:numId="21">
    <w:abstractNumId w:val="16"/>
  </w:num>
  <w:num w:numId="22">
    <w:abstractNumId w:val="18"/>
  </w:num>
  <w:num w:numId="23">
    <w:abstractNumId w:val="2"/>
  </w:num>
  <w:num w:numId="24">
    <w:abstractNumId w:val="29"/>
  </w:num>
  <w:num w:numId="25">
    <w:abstractNumId w:val="4"/>
  </w:num>
  <w:num w:numId="26">
    <w:abstractNumId w:val="34"/>
  </w:num>
  <w:num w:numId="27">
    <w:abstractNumId w:val="8"/>
  </w:num>
  <w:num w:numId="28">
    <w:abstractNumId w:val="7"/>
  </w:num>
  <w:num w:numId="29">
    <w:abstractNumId w:val="36"/>
  </w:num>
  <w:num w:numId="30">
    <w:abstractNumId w:val="30"/>
  </w:num>
  <w:num w:numId="31">
    <w:abstractNumId w:val="22"/>
  </w:num>
  <w:num w:numId="32">
    <w:abstractNumId w:val="28"/>
  </w:num>
  <w:num w:numId="33">
    <w:abstractNumId w:val="17"/>
  </w:num>
  <w:num w:numId="34">
    <w:abstractNumId w:val="31"/>
  </w:num>
  <w:num w:numId="35">
    <w:abstractNumId w:val="32"/>
  </w:num>
  <w:num w:numId="36">
    <w:abstractNumId w:val="33"/>
  </w:num>
  <w:num w:numId="37">
    <w:abstractNumId w:val="15"/>
  </w:num>
  <w:num w:numId="38">
    <w:abstractNumId w:val="12"/>
  </w:num>
  <w:num w:numId="39">
    <w:abstractNumId w:val="40"/>
  </w:num>
  <w:num w:numId="40">
    <w:abstractNumId w:val="38"/>
  </w:num>
  <w:num w:numId="41">
    <w:abstractNumId w:val="5"/>
  </w:num>
  <w:num w:numId="42">
    <w:abstractNumId w:val="37"/>
  </w:num>
  <w:num w:numId="43">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4B21"/>
    <w:rsid w:val="00004D49"/>
    <w:rsid w:val="00005797"/>
    <w:rsid w:val="00005A4F"/>
    <w:rsid w:val="0000638B"/>
    <w:rsid w:val="00006394"/>
    <w:rsid w:val="000069F1"/>
    <w:rsid w:val="00006D16"/>
    <w:rsid w:val="00006E80"/>
    <w:rsid w:val="000070A1"/>
    <w:rsid w:val="00007A6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92D"/>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0B"/>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2B4"/>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3EB7"/>
    <w:rsid w:val="00084F58"/>
    <w:rsid w:val="0008629E"/>
    <w:rsid w:val="000872C7"/>
    <w:rsid w:val="00087506"/>
    <w:rsid w:val="00090127"/>
    <w:rsid w:val="0009022B"/>
    <w:rsid w:val="000903B7"/>
    <w:rsid w:val="0009042D"/>
    <w:rsid w:val="000906C8"/>
    <w:rsid w:val="000907BE"/>
    <w:rsid w:val="00090F0F"/>
    <w:rsid w:val="00092060"/>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21C4"/>
    <w:rsid w:val="000A254A"/>
    <w:rsid w:val="000A2610"/>
    <w:rsid w:val="000A2C16"/>
    <w:rsid w:val="000A2CD7"/>
    <w:rsid w:val="000A34D9"/>
    <w:rsid w:val="000A38AF"/>
    <w:rsid w:val="000A49FE"/>
    <w:rsid w:val="000A5C60"/>
    <w:rsid w:val="000A5CD4"/>
    <w:rsid w:val="000A6254"/>
    <w:rsid w:val="000A62F1"/>
    <w:rsid w:val="000A6766"/>
    <w:rsid w:val="000A6A1C"/>
    <w:rsid w:val="000A6D38"/>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5F65"/>
    <w:rsid w:val="000B6207"/>
    <w:rsid w:val="000B710E"/>
    <w:rsid w:val="000B7728"/>
    <w:rsid w:val="000B7836"/>
    <w:rsid w:val="000B7870"/>
    <w:rsid w:val="000C05CB"/>
    <w:rsid w:val="000C0853"/>
    <w:rsid w:val="000C0BEF"/>
    <w:rsid w:val="000C0E99"/>
    <w:rsid w:val="000C17D5"/>
    <w:rsid w:val="000C19E6"/>
    <w:rsid w:val="000C274F"/>
    <w:rsid w:val="000C2A7B"/>
    <w:rsid w:val="000C3469"/>
    <w:rsid w:val="000C35AB"/>
    <w:rsid w:val="000C3939"/>
    <w:rsid w:val="000C3BA1"/>
    <w:rsid w:val="000C4442"/>
    <w:rsid w:val="000C5317"/>
    <w:rsid w:val="000C585E"/>
    <w:rsid w:val="000C5DEB"/>
    <w:rsid w:val="000C7018"/>
    <w:rsid w:val="000C721D"/>
    <w:rsid w:val="000C72A8"/>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79B"/>
    <w:rsid w:val="000E69F6"/>
    <w:rsid w:val="000E7072"/>
    <w:rsid w:val="000E72C1"/>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6DCD"/>
    <w:rsid w:val="000F75A9"/>
    <w:rsid w:val="00100002"/>
    <w:rsid w:val="00100C11"/>
    <w:rsid w:val="00100C36"/>
    <w:rsid w:val="00100D22"/>
    <w:rsid w:val="00101589"/>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11CF"/>
    <w:rsid w:val="00151B2F"/>
    <w:rsid w:val="00152138"/>
    <w:rsid w:val="0015222A"/>
    <w:rsid w:val="00152A48"/>
    <w:rsid w:val="00152CA7"/>
    <w:rsid w:val="00152F3A"/>
    <w:rsid w:val="00153079"/>
    <w:rsid w:val="00153E33"/>
    <w:rsid w:val="00154435"/>
    <w:rsid w:val="00154A6E"/>
    <w:rsid w:val="00154B58"/>
    <w:rsid w:val="001550B8"/>
    <w:rsid w:val="00155329"/>
    <w:rsid w:val="00155A12"/>
    <w:rsid w:val="00155CB9"/>
    <w:rsid w:val="0015634F"/>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DD7"/>
    <w:rsid w:val="00162E75"/>
    <w:rsid w:val="0016335F"/>
    <w:rsid w:val="0016376B"/>
    <w:rsid w:val="00163F68"/>
    <w:rsid w:val="00163FE4"/>
    <w:rsid w:val="00164699"/>
    <w:rsid w:val="001648AB"/>
    <w:rsid w:val="001652A0"/>
    <w:rsid w:val="00165A80"/>
    <w:rsid w:val="00165E15"/>
    <w:rsid w:val="00165FB7"/>
    <w:rsid w:val="00166A46"/>
    <w:rsid w:val="00166AD0"/>
    <w:rsid w:val="00167455"/>
    <w:rsid w:val="001705B0"/>
    <w:rsid w:val="001720AE"/>
    <w:rsid w:val="00172E26"/>
    <w:rsid w:val="001737D3"/>
    <w:rsid w:val="00173A3B"/>
    <w:rsid w:val="00173BF1"/>
    <w:rsid w:val="00173C2E"/>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20CB"/>
    <w:rsid w:val="0018217A"/>
    <w:rsid w:val="0018255C"/>
    <w:rsid w:val="00182A9E"/>
    <w:rsid w:val="001832B1"/>
    <w:rsid w:val="001834D4"/>
    <w:rsid w:val="00183A0F"/>
    <w:rsid w:val="001844B8"/>
    <w:rsid w:val="001851E4"/>
    <w:rsid w:val="00185740"/>
    <w:rsid w:val="00185A88"/>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CBD"/>
    <w:rsid w:val="00196CD0"/>
    <w:rsid w:val="00197C9E"/>
    <w:rsid w:val="001A0331"/>
    <w:rsid w:val="001A0605"/>
    <w:rsid w:val="001A065E"/>
    <w:rsid w:val="001A09B7"/>
    <w:rsid w:val="001A0A1F"/>
    <w:rsid w:val="001A0D1F"/>
    <w:rsid w:val="001A100A"/>
    <w:rsid w:val="001A1119"/>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8FC"/>
    <w:rsid w:val="001B5923"/>
    <w:rsid w:val="001B5C1D"/>
    <w:rsid w:val="001B5E99"/>
    <w:rsid w:val="001B5F38"/>
    <w:rsid w:val="001B6376"/>
    <w:rsid w:val="001B63F0"/>
    <w:rsid w:val="001B641C"/>
    <w:rsid w:val="001B6CB8"/>
    <w:rsid w:val="001B6E45"/>
    <w:rsid w:val="001B77ED"/>
    <w:rsid w:val="001C0034"/>
    <w:rsid w:val="001C01ED"/>
    <w:rsid w:val="001C0292"/>
    <w:rsid w:val="001C0A4D"/>
    <w:rsid w:val="001C0FBA"/>
    <w:rsid w:val="001C1AF6"/>
    <w:rsid w:val="001C3021"/>
    <w:rsid w:val="001C3CD3"/>
    <w:rsid w:val="001C3F8F"/>
    <w:rsid w:val="001C4815"/>
    <w:rsid w:val="001C49FD"/>
    <w:rsid w:val="001C4F5C"/>
    <w:rsid w:val="001C56BD"/>
    <w:rsid w:val="001C5987"/>
    <w:rsid w:val="001C6548"/>
    <w:rsid w:val="001C6A3D"/>
    <w:rsid w:val="001C7D8B"/>
    <w:rsid w:val="001C7DB6"/>
    <w:rsid w:val="001D08A3"/>
    <w:rsid w:val="001D08C1"/>
    <w:rsid w:val="001D0BAF"/>
    <w:rsid w:val="001D1095"/>
    <w:rsid w:val="001D1607"/>
    <w:rsid w:val="001D17F4"/>
    <w:rsid w:val="001D1845"/>
    <w:rsid w:val="001D1A6D"/>
    <w:rsid w:val="001D1E89"/>
    <w:rsid w:val="001D2EC3"/>
    <w:rsid w:val="001D3CC9"/>
    <w:rsid w:val="001D3E73"/>
    <w:rsid w:val="001D3F0B"/>
    <w:rsid w:val="001D4F1F"/>
    <w:rsid w:val="001D516A"/>
    <w:rsid w:val="001D62DF"/>
    <w:rsid w:val="001D6C73"/>
    <w:rsid w:val="001D6F7E"/>
    <w:rsid w:val="001D7099"/>
    <w:rsid w:val="001D75A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3A0A"/>
    <w:rsid w:val="001E3B50"/>
    <w:rsid w:val="001E3BE8"/>
    <w:rsid w:val="001E42CE"/>
    <w:rsid w:val="001E43E5"/>
    <w:rsid w:val="001E4521"/>
    <w:rsid w:val="001E4E85"/>
    <w:rsid w:val="001E56D9"/>
    <w:rsid w:val="001E57DF"/>
    <w:rsid w:val="001E62A7"/>
    <w:rsid w:val="001E7310"/>
    <w:rsid w:val="001F0123"/>
    <w:rsid w:val="001F0346"/>
    <w:rsid w:val="001F0631"/>
    <w:rsid w:val="001F0849"/>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103"/>
    <w:rsid w:val="00202A77"/>
    <w:rsid w:val="00203F27"/>
    <w:rsid w:val="0020407D"/>
    <w:rsid w:val="0020435C"/>
    <w:rsid w:val="00205F91"/>
    <w:rsid w:val="0020631F"/>
    <w:rsid w:val="002064C8"/>
    <w:rsid w:val="00206B25"/>
    <w:rsid w:val="00207489"/>
    <w:rsid w:val="00207509"/>
    <w:rsid w:val="00207AE9"/>
    <w:rsid w:val="00207B9B"/>
    <w:rsid w:val="002111FC"/>
    <w:rsid w:val="002121A1"/>
    <w:rsid w:val="00212364"/>
    <w:rsid w:val="00212A08"/>
    <w:rsid w:val="00213036"/>
    <w:rsid w:val="002130DD"/>
    <w:rsid w:val="002134DD"/>
    <w:rsid w:val="002139AB"/>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27EB8"/>
    <w:rsid w:val="00230C40"/>
    <w:rsid w:val="00231330"/>
    <w:rsid w:val="002315CB"/>
    <w:rsid w:val="002334D1"/>
    <w:rsid w:val="002336C4"/>
    <w:rsid w:val="00233868"/>
    <w:rsid w:val="002339C0"/>
    <w:rsid w:val="00233AB8"/>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289F"/>
    <w:rsid w:val="002635E0"/>
    <w:rsid w:val="0026384D"/>
    <w:rsid w:val="00263CFD"/>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BFA"/>
    <w:rsid w:val="00272D54"/>
    <w:rsid w:val="00273176"/>
    <w:rsid w:val="0027325C"/>
    <w:rsid w:val="002733CB"/>
    <w:rsid w:val="00273A6E"/>
    <w:rsid w:val="00273EB2"/>
    <w:rsid w:val="00273FA9"/>
    <w:rsid w:val="002756EC"/>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62EA"/>
    <w:rsid w:val="002A6730"/>
    <w:rsid w:val="002A73AB"/>
    <w:rsid w:val="002A75B7"/>
    <w:rsid w:val="002A786B"/>
    <w:rsid w:val="002A7931"/>
    <w:rsid w:val="002A7EB6"/>
    <w:rsid w:val="002B02D9"/>
    <w:rsid w:val="002B0794"/>
    <w:rsid w:val="002B0853"/>
    <w:rsid w:val="002B10BA"/>
    <w:rsid w:val="002B1672"/>
    <w:rsid w:val="002B1D86"/>
    <w:rsid w:val="002B241C"/>
    <w:rsid w:val="002B27BB"/>
    <w:rsid w:val="002B2881"/>
    <w:rsid w:val="002B2A21"/>
    <w:rsid w:val="002B2E17"/>
    <w:rsid w:val="002B3AB8"/>
    <w:rsid w:val="002B4261"/>
    <w:rsid w:val="002B4581"/>
    <w:rsid w:val="002B5351"/>
    <w:rsid w:val="002B58D6"/>
    <w:rsid w:val="002B5930"/>
    <w:rsid w:val="002B5C98"/>
    <w:rsid w:val="002B64C3"/>
    <w:rsid w:val="002B6696"/>
    <w:rsid w:val="002B675C"/>
    <w:rsid w:val="002B72A2"/>
    <w:rsid w:val="002B7315"/>
    <w:rsid w:val="002C0545"/>
    <w:rsid w:val="002C056D"/>
    <w:rsid w:val="002C0CAE"/>
    <w:rsid w:val="002C18A8"/>
    <w:rsid w:val="002C1B9C"/>
    <w:rsid w:val="002C25E8"/>
    <w:rsid w:val="002C2795"/>
    <w:rsid w:val="002C2D19"/>
    <w:rsid w:val="002C2DBC"/>
    <w:rsid w:val="002C33EF"/>
    <w:rsid w:val="002C352E"/>
    <w:rsid w:val="002C4679"/>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116"/>
    <w:rsid w:val="00310A75"/>
    <w:rsid w:val="003113B2"/>
    <w:rsid w:val="003114CE"/>
    <w:rsid w:val="00311625"/>
    <w:rsid w:val="00311793"/>
    <w:rsid w:val="003121F1"/>
    <w:rsid w:val="00313480"/>
    <w:rsid w:val="00313513"/>
    <w:rsid w:val="00314861"/>
    <w:rsid w:val="00314BA0"/>
    <w:rsid w:val="00314BC5"/>
    <w:rsid w:val="00314D0D"/>
    <w:rsid w:val="0031518F"/>
    <w:rsid w:val="003155FF"/>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303D8"/>
    <w:rsid w:val="00330C76"/>
    <w:rsid w:val="00330D37"/>
    <w:rsid w:val="00330F7C"/>
    <w:rsid w:val="00331535"/>
    <w:rsid w:val="003316D9"/>
    <w:rsid w:val="00331FB3"/>
    <w:rsid w:val="003323CD"/>
    <w:rsid w:val="00332D84"/>
    <w:rsid w:val="003332E2"/>
    <w:rsid w:val="00333712"/>
    <w:rsid w:val="003338C6"/>
    <w:rsid w:val="003341AF"/>
    <w:rsid w:val="003344CE"/>
    <w:rsid w:val="003346F2"/>
    <w:rsid w:val="00334701"/>
    <w:rsid w:val="00334B7A"/>
    <w:rsid w:val="0033647A"/>
    <w:rsid w:val="003365FC"/>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2A35"/>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4D6"/>
    <w:rsid w:val="003636BF"/>
    <w:rsid w:val="00363FD4"/>
    <w:rsid w:val="0036427C"/>
    <w:rsid w:val="00364C19"/>
    <w:rsid w:val="00364CC3"/>
    <w:rsid w:val="00365851"/>
    <w:rsid w:val="00365D22"/>
    <w:rsid w:val="0036662B"/>
    <w:rsid w:val="00366A59"/>
    <w:rsid w:val="00366D4E"/>
    <w:rsid w:val="00367C1C"/>
    <w:rsid w:val="00367E37"/>
    <w:rsid w:val="00367EEB"/>
    <w:rsid w:val="003701BF"/>
    <w:rsid w:val="003704F4"/>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C2F"/>
    <w:rsid w:val="00390CD1"/>
    <w:rsid w:val="003914E0"/>
    <w:rsid w:val="00391577"/>
    <w:rsid w:val="003923DE"/>
    <w:rsid w:val="00392A0D"/>
    <w:rsid w:val="00393800"/>
    <w:rsid w:val="00393EA1"/>
    <w:rsid w:val="003941BF"/>
    <w:rsid w:val="0039431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B0D"/>
    <w:rsid w:val="003B5E4E"/>
    <w:rsid w:val="003B6263"/>
    <w:rsid w:val="003B6D37"/>
    <w:rsid w:val="003B6EAE"/>
    <w:rsid w:val="003B7009"/>
    <w:rsid w:val="003B7119"/>
    <w:rsid w:val="003B7156"/>
    <w:rsid w:val="003B765D"/>
    <w:rsid w:val="003B7B74"/>
    <w:rsid w:val="003C065C"/>
    <w:rsid w:val="003C0767"/>
    <w:rsid w:val="003C1284"/>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6842"/>
    <w:rsid w:val="003C6B03"/>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2B2B"/>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3B6"/>
    <w:rsid w:val="004605B6"/>
    <w:rsid w:val="00460C4B"/>
    <w:rsid w:val="004610D8"/>
    <w:rsid w:val="004614AB"/>
    <w:rsid w:val="00462319"/>
    <w:rsid w:val="00462734"/>
    <w:rsid w:val="00462C2A"/>
    <w:rsid w:val="00463344"/>
    <w:rsid w:val="0046366D"/>
    <w:rsid w:val="0046392F"/>
    <w:rsid w:val="00464119"/>
    <w:rsid w:val="004657EE"/>
    <w:rsid w:val="00465838"/>
    <w:rsid w:val="0046630A"/>
    <w:rsid w:val="00467109"/>
    <w:rsid w:val="004675B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878C9"/>
    <w:rsid w:val="0049012C"/>
    <w:rsid w:val="00490B07"/>
    <w:rsid w:val="00490FDA"/>
    <w:rsid w:val="0049121B"/>
    <w:rsid w:val="00491B85"/>
    <w:rsid w:val="00491E4F"/>
    <w:rsid w:val="00492701"/>
    <w:rsid w:val="004927BE"/>
    <w:rsid w:val="00493630"/>
    <w:rsid w:val="004937FC"/>
    <w:rsid w:val="00493B83"/>
    <w:rsid w:val="00494137"/>
    <w:rsid w:val="004942AD"/>
    <w:rsid w:val="004945FA"/>
    <w:rsid w:val="004954CF"/>
    <w:rsid w:val="0049613E"/>
    <w:rsid w:val="004964AA"/>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2C7"/>
    <w:rsid w:val="004A6DA7"/>
    <w:rsid w:val="004A743E"/>
    <w:rsid w:val="004A7BA5"/>
    <w:rsid w:val="004A7DDB"/>
    <w:rsid w:val="004B05D2"/>
    <w:rsid w:val="004B089F"/>
    <w:rsid w:val="004B0CD3"/>
    <w:rsid w:val="004B1579"/>
    <w:rsid w:val="004B2D8C"/>
    <w:rsid w:val="004B2FFD"/>
    <w:rsid w:val="004B33D4"/>
    <w:rsid w:val="004B3D4D"/>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97B"/>
    <w:rsid w:val="004C5D82"/>
    <w:rsid w:val="004C603C"/>
    <w:rsid w:val="004C65A4"/>
    <w:rsid w:val="004C68D4"/>
    <w:rsid w:val="004C6E62"/>
    <w:rsid w:val="004C75E6"/>
    <w:rsid w:val="004C7E0C"/>
    <w:rsid w:val="004D034B"/>
    <w:rsid w:val="004D085A"/>
    <w:rsid w:val="004D105A"/>
    <w:rsid w:val="004D1080"/>
    <w:rsid w:val="004D1B12"/>
    <w:rsid w:val="004D1E4D"/>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B48"/>
    <w:rsid w:val="004E3F59"/>
    <w:rsid w:val="004E40F1"/>
    <w:rsid w:val="004E4205"/>
    <w:rsid w:val="004E45D6"/>
    <w:rsid w:val="004E4CC7"/>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9D"/>
    <w:rsid w:val="004F6FE9"/>
    <w:rsid w:val="004F7727"/>
    <w:rsid w:val="004F7B2F"/>
    <w:rsid w:val="005000FB"/>
    <w:rsid w:val="0050011F"/>
    <w:rsid w:val="0050024C"/>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6311"/>
    <w:rsid w:val="00506587"/>
    <w:rsid w:val="00506B5E"/>
    <w:rsid w:val="005070EC"/>
    <w:rsid w:val="005074A8"/>
    <w:rsid w:val="00507911"/>
    <w:rsid w:val="00507F4F"/>
    <w:rsid w:val="00510416"/>
    <w:rsid w:val="0051080F"/>
    <w:rsid w:val="00510EDE"/>
    <w:rsid w:val="0051100E"/>
    <w:rsid w:val="005110DB"/>
    <w:rsid w:val="005112ED"/>
    <w:rsid w:val="00511663"/>
    <w:rsid w:val="00511A6A"/>
    <w:rsid w:val="00512522"/>
    <w:rsid w:val="0051289D"/>
    <w:rsid w:val="00512B80"/>
    <w:rsid w:val="00512FF2"/>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00"/>
    <w:rsid w:val="00521BE4"/>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631"/>
    <w:rsid w:val="00546917"/>
    <w:rsid w:val="0054697C"/>
    <w:rsid w:val="00546FDE"/>
    <w:rsid w:val="005477FC"/>
    <w:rsid w:val="00547946"/>
    <w:rsid w:val="00550007"/>
    <w:rsid w:val="005503A7"/>
    <w:rsid w:val="0055046B"/>
    <w:rsid w:val="0055111A"/>
    <w:rsid w:val="00551859"/>
    <w:rsid w:val="00551D10"/>
    <w:rsid w:val="00552FF3"/>
    <w:rsid w:val="0055330B"/>
    <w:rsid w:val="00553B95"/>
    <w:rsid w:val="0055486B"/>
    <w:rsid w:val="00555094"/>
    <w:rsid w:val="00555C91"/>
    <w:rsid w:val="00555DDA"/>
    <w:rsid w:val="00556663"/>
    <w:rsid w:val="00557355"/>
    <w:rsid w:val="005574FA"/>
    <w:rsid w:val="005575F5"/>
    <w:rsid w:val="00557CBC"/>
    <w:rsid w:val="00560291"/>
    <w:rsid w:val="005602D8"/>
    <w:rsid w:val="005619EA"/>
    <w:rsid w:val="00561E83"/>
    <w:rsid w:val="005620C8"/>
    <w:rsid w:val="0056275D"/>
    <w:rsid w:val="005628CD"/>
    <w:rsid w:val="005639E8"/>
    <w:rsid w:val="005642F1"/>
    <w:rsid w:val="00564689"/>
    <w:rsid w:val="00564786"/>
    <w:rsid w:val="005647FA"/>
    <w:rsid w:val="0056480A"/>
    <w:rsid w:val="00564D06"/>
    <w:rsid w:val="0056542F"/>
    <w:rsid w:val="0056647E"/>
    <w:rsid w:val="00567106"/>
    <w:rsid w:val="0056715C"/>
    <w:rsid w:val="005676A9"/>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90CED"/>
    <w:rsid w:val="00590D1C"/>
    <w:rsid w:val="00590D48"/>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500D"/>
    <w:rsid w:val="005A5C95"/>
    <w:rsid w:val="005A5FE0"/>
    <w:rsid w:val="005A69AC"/>
    <w:rsid w:val="005A6E9C"/>
    <w:rsid w:val="005A6F52"/>
    <w:rsid w:val="005A7156"/>
    <w:rsid w:val="005A7F85"/>
    <w:rsid w:val="005B03CB"/>
    <w:rsid w:val="005B06FF"/>
    <w:rsid w:val="005B0944"/>
    <w:rsid w:val="005B1631"/>
    <w:rsid w:val="005B1FE5"/>
    <w:rsid w:val="005B209D"/>
    <w:rsid w:val="005B3419"/>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507B"/>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6B7"/>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3C5"/>
    <w:rsid w:val="005F66F1"/>
    <w:rsid w:val="005F6777"/>
    <w:rsid w:val="005F765D"/>
    <w:rsid w:val="005F76D9"/>
    <w:rsid w:val="0060039E"/>
    <w:rsid w:val="006004F0"/>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4115"/>
    <w:rsid w:val="006141CA"/>
    <w:rsid w:val="00614763"/>
    <w:rsid w:val="006148C1"/>
    <w:rsid w:val="00614B0D"/>
    <w:rsid w:val="00616DCF"/>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F60"/>
    <w:rsid w:val="006362EC"/>
    <w:rsid w:val="006365E6"/>
    <w:rsid w:val="00636E33"/>
    <w:rsid w:val="006403CD"/>
    <w:rsid w:val="00640D68"/>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59D5"/>
    <w:rsid w:val="0065600F"/>
    <w:rsid w:val="0065609A"/>
    <w:rsid w:val="00656851"/>
    <w:rsid w:val="00656B7C"/>
    <w:rsid w:val="00657691"/>
    <w:rsid w:val="006576BA"/>
    <w:rsid w:val="00657749"/>
    <w:rsid w:val="00657872"/>
    <w:rsid w:val="00657A97"/>
    <w:rsid w:val="00657E9B"/>
    <w:rsid w:val="00660815"/>
    <w:rsid w:val="00660BCD"/>
    <w:rsid w:val="006619A4"/>
    <w:rsid w:val="006634B9"/>
    <w:rsid w:val="0066363A"/>
    <w:rsid w:val="0066363F"/>
    <w:rsid w:val="00664B11"/>
    <w:rsid w:val="00665AED"/>
    <w:rsid w:val="00665C8A"/>
    <w:rsid w:val="00665FA6"/>
    <w:rsid w:val="00666417"/>
    <w:rsid w:val="00666814"/>
    <w:rsid w:val="006668D6"/>
    <w:rsid w:val="00666A41"/>
    <w:rsid w:val="00666B50"/>
    <w:rsid w:val="00667243"/>
    <w:rsid w:val="00670B09"/>
    <w:rsid w:val="006713B3"/>
    <w:rsid w:val="0067155F"/>
    <w:rsid w:val="00672370"/>
    <w:rsid w:val="00672456"/>
    <w:rsid w:val="00672E5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692"/>
    <w:rsid w:val="006B6B12"/>
    <w:rsid w:val="006B7458"/>
    <w:rsid w:val="006B7D30"/>
    <w:rsid w:val="006C005F"/>
    <w:rsid w:val="006C0064"/>
    <w:rsid w:val="006C0427"/>
    <w:rsid w:val="006C082E"/>
    <w:rsid w:val="006C112C"/>
    <w:rsid w:val="006C16F6"/>
    <w:rsid w:val="006C18B8"/>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2D4"/>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4622"/>
    <w:rsid w:val="007251A8"/>
    <w:rsid w:val="007252D5"/>
    <w:rsid w:val="0072537B"/>
    <w:rsid w:val="007253D0"/>
    <w:rsid w:val="00725916"/>
    <w:rsid w:val="00725C9A"/>
    <w:rsid w:val="00725F39"/>
    <w:rsid w:val="007261EC"/>
    <w:rsid w:val="007266AD"/>
    <w:rsid w:val="007268C8"/>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0647"/>
    <w:rsid w:val="00751A99"/>
    <w:rsid w:val="00751C72"/>
    <w:rsid w:val="007527DF"/>
    <w:rsid w:val="0075299E"/>
    <w:rsid w:val="007533BF"/>
    <w:rsid w:val="00753FC1"/>
    <w:rsid w:val="007568FC"/>
    <w:rsid w:val="00756913"/>
    <w:rsid w:val="007569FD"/>
    <w:rsid w:val="00757613"/>
    <w:rsid w:val="0076056E"/>
    <w:rsid w:val="007607B1"/>
    <w:rsid w:val="007611CD"/>
    <w:rsid w:val="00761849"/>
    <w:rsid w:val="007618B4"/>
    <w:rsid w:val="00761A90"/>
    <w:rsid w:val="00761B8B"/>
    <w:rsid w:val="00761D0F"/>
    <w:rsid w:val="00762621"/>
    <w:rsid w:val="00763150"/>
    <w:rsid w:val="0076417F"/>
    <w:rsid w:val="007648BB"/>
    <w:rsid w:val="00764FA3"/>
    <w:rsid w:val="007651CA"/>
    <w:rsid w:val="00765744"/>
    <w:rsid w:val="00765758"/>
    <w:rsid w:val="00765AE2"/>
    <w:rsid w:val="00765D96"/>
    <w:rsid w:val="00766312"/>
    <w:rsid w:val="00766CD3"/>
    <w:rsid w:val="00766DCE"/>
    <w:rsid w:val="00767251"/>
    <w:rsid w:val="00767493"/>
    <w:rsid w:val="00767A1F"/>
    <w:rsid w:val="00767CF9"/>
    <w:rsid w:val="00770022"/>
    <w:rsid w:val="007700AD"/>
    <w:rsid w:val="00770854"/>
    <w:rsid w:val="00770CE5"/>
    <w:rsid w:val="007711D7"/>
    <w:rsid w:val="007713DF"/>
    <w:rsid w:val="00771981"/>
    <w:rsid w:val="00771D27"/>
    <w:rsid w:val="00772640"/>
    <w:rsid w:val="00773344"/>
    <w:rsid w:val="00773B10"/>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E59"/>
    <w:rsid w:val="007B65FB"/>
    <w:rsid w:val="007B6954"/>
    <w:rsid w:val="007B7309"/>
    <w:rsid w:val="007B74F5"/>
    <w:rsid w:val="007B76F1"/>
    <w:rsid w:val="007B78C1"/>
    <w:rsid w:val="007B78FB"/>
    <w:rsid w:val="007B7E9C"/>
    <w:rsid w:val="007C031E"/>
    <w:rsid w:val="007C0E2B"/>
    <w:rsid w:val="007C12A2"/>
    <w:rsid w:val="007C18D8"/>
    <w:rsid w:val="007C1AB2"/>
    <w:rsid w:val="007C1F61"/>
    <w:rsid w:val="007C231E"/>
    <w:rsid w:val="007C2B5E"/>
    <w:rsid w:val="007C2C41"/>
    <w:rsid w:val="007C3662"/>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3E8"/>
    <w:rsid w:val="007F066D"/>
    <w:rsid w:val="007F0828"/>
    <w:rsid w:val="007F0D3F"/>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781"/>
    <w:rsid w:val="008409EC"/>
    <w:rsid w:val="00840F95"/>
    <w:rsid w:val="00840FAF"/>
    <w:rsid w:val="00841ACD"/>
    <w:rsid w:val="008424CB"/>
    <w:rsid w:val="00842921"/>
    <w:rsid w:val="00843D73"/>
    <w:rsid w:val="00843EAF"/>
    <w:rsid w:val="008448FC"/>
    <w:rsid w:val="00844B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098"/>
    <w:rsid w:val="0085211F"/>
    <w:rsid w:val="00852392"/>
    <w:rsid w:val="00852524"/>
    <w:rsid w:val="0085272A"/>
    <w:rsid w:val="00852D14"/>
    <w:rsid w:val="00853896"/>
    <w:rsid w:val="00854B8E"/>
    <w:rsid w:val="00855144"/>
    <w:rsid w:val="00855CCC"/>
    <w:rsid w:val="008563EA"/>
    <w:rsid w:val="008569ED"/>
    <w:rsid w:val="0085795F"/>
    <w:rsid w:val="00857B25"/>
    <w:rsid w:val="00860960"/>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03D"/>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610"/>
    <w:rsid w:val="008A3A5F"/>
    <w:rsid w:val="008A3BAC"/>
    <w:rsid w:val="008A40CF"/>
    <w:rsid w:val="008A4AC2"/>
    <w:rsid w:val="008A5837"/>
    <w:rsid w:val="008A5C5A"/>
    <w:rsid w:val="008A5C8B"/>
    <w:rsid w:val="008A5CBA"/>
    <w:rsid w:val="008A629E"/>
    <w:rsid w:val="008A62EE"/>
    <w:rsid w:val="008A6309"/>
    <w:rsid w:val="008A6ACA"/>
    <w:rsid w:val="008A78CB"/>
    <w:rsid w:val="008A7B3E"/>
    <w:rsid w:val="008B002E"/>
    <w:rsid w:val="008B005E"/>
    <w:rsid w:val="008B01ED"/>
    <w:rsid w:val="008B05EA"/>
    <w:rsid w:val="008B0E13"/>
    <w:rsid w:val="008B0F16"/>
    <w:rsid w:val="008B10A8"/>
    <w:rsid w:val="008B13EF"/>
    <w:rsid w:val="008B13F5"/>
    <w:rsid w:val="008B2360"/>
    <w:rsid w:val="008B2B14"/>
    <w:rsid w:val="008B3536"/>
    <w:rsid w:val="008B3E81"/>
    <w:rsid w:val="008B42D6"/>
    <w:rsid w:val="008B444F"/>
    <w:rsid w:val="008B451F"/>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E57"/>
    <w:rsid w:val="008C048B"/>
    <w:rsid w:val="008C065E"/>
    <w:rsid w:val="008C1B86"/>
    <w:rsid w:val="008C200A"/>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2FB"/>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E78"/>
    <w:rsid w:val="00913EBE"/>
    <w:rsid w:val="00914239"/>
    <w:rsid w:val="00915751"/>
    <w:rsid w:val="009159B0"/>
    <w:rsid w:val="00915A7F"/>
    <w:rsid w:val="00915A8B"/>
    <w:rsid w:val="0091699B"/>
    <w:rsid w:val="00916F4A"/>
    <w:rsid w:val="00917BB3"/>
    <w:rsid w:val="009204B8"/>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0E6"/>
    <w:rsid w:val="009611BF"/>
    <w:rsid w:val="009612BB"/>
    <w:rsid w:val="009619C9"/>
    <w:rsid w:val="00961A86"/>
    <w:rsid w:val="009620CE"/>
    <w:rsid w:val="00962287"/>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CF3"/>
    <w:rsid w:val="00970D73"/>
    <w:rsid w:val="00971C5D"/>
    <w:rsid w:val="0097279D"/>
    <w:rsid w:val="00972D3C"/>
    <w:rsid w:val="00972F1E"/>
    <w:rsid w:val="009735B2"/>
    <w:rsid w:val="0097372B"/>
    <w:rsid w:val="00973AF2"/>
    <w:rsid w:val="00973BE8"/>
    <w:rsid w:val="00973EE5"/>
    <w:rsid w:val="009744A2"/>
    <w:rsid w:val="0097484A"/>
    <w:rsid w:val="009749A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90389"/>
    <w:rsid w:val="00990CC6"/>
    <w:rsid w:val="00991035"/>
    <w:rsid w:val="0099131F"/>
    <w:rsid w:val="0099148A"/>
    <w:rsid w:val="009914B0"/>
    <w:rsid w:val="00992175"/>
    <w:rsid w:val="00992684"/>
    <w:rsid w:val="00992C07"/>
    <w:rsid w:val="00992CD0"/>
    <w:rsid w:val="00993936"/>
    <w:rsid w:val="00993EC1"/>
    <w:rsid w:val="0099488B"/>
    <w:rsid w:val="009948B8"/>
    <w:rsid w:val="00994C12"/>
    <w:rsid w:val="00994D57"/>
    <w:rsid w:val="009957F9"/>
    <w:rsid w:val="0099652B"/>
    <w:rsid w:val="009972BF"/>
    <w:rsid w:val="00997CFE"/>
    <w:rsid w:val="009A00CB"/>
    <w:rsid w:val="009A0222"/>
    <w:rsid w:val="009A07C9"/>
    <w:rsid w:val="009A0E9D"/>
    <w:rsid w:val="009A0EA1"/>
    <w:rsid w:val="009A1B01"/>
    <w:rsid w:val="009A201D"/>
    <w:rsid w:val="009A2280"/>
    <w:rsid w:val="009A35DF"/>
    <w:rsid w:val="009A3CD9"/>
    <w:rsid w:val="009A41E9"/>
    <w:rsid w:val="009A5293"/>
    <w:rsid w:val="009A58F5"/>
    <w:rsid w:val="009A5B2B"/>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B7A9E"/>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71"/>
    <w:rsid w:val="009E0987"/>
    <w:rsid w:val="009E1CEA"/>
    <w:rsid w:val="009E1F03"/>
    <w:rsid w:val="009E1FF9"/>
    <w:rsid w:val="009E2878"/>
    <w:rsid w:val="009E2AC4"/>
    <w:rsid w:val="009E2B90"/>
    <w:rsid w:val="009E2FC5"/>
    <w:rsid w:val="009E30B3"/>
    <w:rsid w:val="009E3714"/>
    <w:rsid w:val="009E4EE7"/>
    <w:rsid w:val="009E503C"/>
    <w:rsid w:val="009E594D"/>
    <w:rsid w:val="009E668B"/>
    <w:rsid w:val="009E6EF2"/>
    <w:rsid w:val="009E71F0"/>
    <w:rsid w:val="009E7FA2"/>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ABD"/>
    <w:rsid w:val="009F65B3"/>
    <w:rsid w:val="009F6698"/>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DD7"/>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FF0"/>
    <w:rsid w:val="00A82187"/>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70"/>
    <w:rsid w:val="00AB4ECA"/>
    <w:rsid w:val="00AB5239"/>
    <w:rsid w:val="00AB5371"/>
    <w:rsid w:val="00AB5703"/>
    <w:rsid w:val="00AB59C5"/>
    <w:rsid w:val="00AB5C80"/>
    <w:rsid w:val="00AB5CFC"/>
    <w:rsid w:val="00AB5E41"/>
    <w:rsid w:val="00AB6CE9"/>
    <w:rsid w:val="00AB6DF6"/>
    <w:rsid w:val="00AB751C"/>
    <w:rsid w:val="00AB7B18"/>
    <w:rsid w:val="00AB7E13"/>
    <w:rsid w:val="00AB7F50"/>
    <w:rsid w:val="00AC0427"/>
    <w:rsid w:val="00AC0A9A"/>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0E4"/>
    <w:rsid w:val="00AE1309"/>
    <w:rsid w:val="00AE1781"/>
    <w:rsid w:val="00AE19AA"/>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55E8"/>
    <w:rsid w:val="00AF5D2F"/>
    <w:rsid w:val="00AF5DB4"/>
    <w:rsid w:val="00AF5FEC"/>
    <w:rsid w:val="00AF6997"/>
    <w:rsid w:val="00AF728B"/>
    <w:rsid w:val="00AF7666"/>
    <w:rsid w:val="00AF7B3A"/>
    <w:rsid w:val="00B00695"/>
    <w:rsid w:val="00B00E34"/>
    <w:rsid w:val="00B011F1"/>
    <w:rsid w:val="00B01778"/>
    <w:rsid w:val="00B022F0"/>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027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669"/>
    <w:rsid w:val="00B50A57"/>
    <w:rsid w:val="00B50DE1"/>
    <w:rsid w:val="00B520EE"/>
    <w:rsid w:val="00B52815"/>
    <w:rsid w:val="00B53268"/>
    <w:rsid w:val="00B537AF"/>
    <w:rsid w:val="00B53B62"/>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365E"/>
    <w:rsid w:val="00B84FAA"/>
    <w:rsid w:val="00B850D6"/>
    <w:rsid w:val="00B8547D"/>
    <w:rsid w:val="00B85896"/>
    <w:rsid w:val="00B85A91"/>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985"/>
    <w:rsid w:val="00B92AB6"/>
    <w:rsid w:val="00B92BEB"/>
    <w:rsid w:val="00B92D23"/>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17E1"/>
    <w:rsid w:val="00BA2C93"/>
    <w:rsid w:val="00BA2EBF"/>
    <w:rsid w:val="00BA30F4"/>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2AF6"/>
    <w:rsid w:val="00BD3149"/>
    <w:rsid w:val="00BD33F5"/>
    <w:rsid w:val="00BD48FD"/>
    <w:rsid w:val="00BD4F52"/>
    <w:rsid w:val="00BD4FF8"/>
    <w:rsid w:val="00BD519C"/>
    <w:rsid w:val="00BD5544"/>
    <w:rsid w:val="00BD5BF1"/>
    <w:rsid w:val="00BD5C47"/>
    <w:rsid w:val="00BD5F33"/>
    <w:rsid w:val="00BD6349"/>
    <w:rsid w:val="00BD652B"/>
    <w:rsid w:val="00BD65D2"/>
    <w:rsid w:val="00BD6CC3"/>
    <w:rsid w:val="00BD6EAD"/>
    <w:rsid w:val="00BD7578"/>
    <w:rsid w:val="00BE0308"/>
    <w:rsid w:val="00BE07B7"/>
    <w:rsid w:val="00BE13A8"/>
    <w:rsid w:val="00BE35CF"/>
    <w:rsid w:val="00BE3901"/>
    <w:rsid w:val="00BE39CE"/>
    <w:rsid w:val="00BE3CEC"/>
    <w:rsid w:val="00BE447B"/>
    <w:rsid w:val="00BE4F49"/>
    <w:rsid w:val="00BE50AF"/>
    <w:rsid w:val="00BE563D"/>
    <w:rsid w:val="00BE5E1A"/>
    <w:rsid w:val="00BE681E"/>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A85"/>
    <w:rsid w:val="00C333DA"/>
    <w:rsid w:val="00C33D81"/>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3D02"/>
    <w:rsid w:val="00C54294"/>
    <w:rsid w:val="00C5499C"/>
    <w:rsid w:val="00C55B81"/>
    <w:rsid w:val="00C56820"/>
    <w:rsid w:val="00C56A8C"/>
    <w:rsid w:val="00C56EF5"/>
    <w:rsid w:val="00C57686"/>
    <w:rsid w:val="00C60CA2"/>
    <w:rsid w:val="00C60F7F"/>
    <w:rsid w:val="00C6261D"/>
    <w:rsid w:val="00C62949"/>
    <w:rsid w:val="00C632D6"/>
    <w:rsid w:val="00C63575"/>
    <w:rsid w:val="00C63B02"/>
    <w:rsid w:val="00C6419A"/>
    <w:rsid w:val="00C64500"/>
    <w:rsid w:val="00C64692"/>
    <w:rsid w:val="00C647D2"/>
    <w:rsid w:val="00C64829"/>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C2"/>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767"/>
    <w:rsid w:val="00CB27D2"/>
    <w:rsid w:val="00CB29BD"/>
    <w:rsid w:val="00CB3281"/>
    <w:rsid w:val="00CB40A9"/>
    <w:rsid w:val="00CB4B16"/>
    <w:rsid w:val="00CB4C4C"/>
    <w:rsid w:val="00CB5656"/>
    <w:rsid w:val="00CB5D6E"/>
    <w:rsid w:val="00CB6938"/>
    <w:rsid w:val="00CB72A0"/>
    <w:rsid w:val="00CB7DFA"/>
    <w:rsid w:val="00CC053B"/>
    <w:rsid w:val="00CC0687"/>
    <w:rsid w:val="00CC0DFE"/>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86B"/>
    <w:rsid w:val="00CE4D13"/>
    <w:rsid w:val="00CE4DC6"/>
    <w:rsid w:val="00CE5238"/>
    <w:rsid w:val="00CE53D5"/>
    <w:rsid w:val="00CE5CA3"/>
    <w:rsid w:val="00CE5F5A"/>
    <w:rsid w:val="00CE73C5"/>
    <w:rsid w:val="00CE7514"/>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9B8"/>
    <w:rsid w:val="00D17DB2"/>
    <w:rsid w:val="00D20198"/>
    <w:rsid w:val="00D20326"/>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849"/>
    <w:rsid w:val="00D259AE"/>
    <w:rsid w:val="00D25BBF"/>
    <w:rsid w:val="00D25DA4"/>
    <w:rsid w:val="00D2677F"/>
    <w:rsid w:val="00D2678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4B"/>
    <w:rsid w:val="00D33F0F"/>
    <w:rsid w:val="00D341D3"/>
    <w:rsid w:val="00D342D7"/>
    <w:rsid w:val="00D35E4A"/>
    <w:rsid w:val="00D35F25"/>
    <w:rsid w:val="00D364E2"/>
    <w:rsid w:val="00D36623"/>
    <w:rsid w:val="00D36D22"/>
    <w:rsid w:val="00D374D2"/>
    <w:rsid w:val="00D378F6"/>
    <w:rsid w:val="00D37DEA"/>
    <w:rsid w:val="00D37FF5"/>
    <w:rsid w:val="00D400DF"/>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6EB0"/>
    <w:rsid w:val="00D57001"/>
    <w:rsid w:val="00D5797A"/>
    <w:rsid w:val="00D57AEB"/>
    <w:rsid w:val="00D6051B"/>
    <w:rsid w:val="00D60E8B"/>
    <w:rsid w:val="00D60FA5"/>
    <w:rsid w:val="00D61365"/>
    <w:rsid w:val="00D6192A"/>
    <w:rsid w:val="00D61DD4"/>
    <w:rsid w:val="00D61E07"/>
    <w:rsid w:val="00D62751"/>
    <w:rsid w:val="00D629F2"/>
    <w:rsid w:val="00D62DBA"/>
    <w:rsid w:val="00D63F01"/>
    <w:rsid w:val="00D64A5B"/>
    <w:rsid w:val="00D65013"/>
    <w:rsid w:val="00D65240"/>
    <w:rsid w:val="00D65ACD"/>
    <w:rsid w:val="00D65EB7"/>
    <w:rsid w:val="00D66BF1"/>
    <w:rsid w:val="00D67096"/>
    <w:rsid w:val="00D67F50"/>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515F"/>
    <w:rsid w:val="00DA52CA"/>
    <w:rsid w:val="00DA596E"/>
    <w:rsid w:val="00DA5A70"/>
    <w:rsid w:val="00DA60F4"/>
    <w:rsid w:val="00DA63BE"/>
    <w:rsid w:val="00DA6567"/>
    <w:rsid w:val="00DA6A81"/>
    <w:rsid w:val="00DA6AE4"/>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180"/>
    <w:rsid w:val="00DD254C"/>
    <w:rsid w:val="00DD3074"/>
    <w:rsid w:val="00DD37C4"/>
    <w:rsid w:val="00DD37EC"/>
    <w:rsid w:val="00DD3A93"/>
    <w:rsid w:val="00DD3BF5"/>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9F4"/>
    <w:rsid w:val="00DE3AFE"/>
    <w:rsid w:val="00DE4433"/>
    <w:rsid w:val="00DE4F85"/>
    <w:rsid w:val="00DE4FBD"/>
    <w:rsid w:val="00DE5061"/>
    <w:rsid w:val="00DE52D6"/>
    <w:rsid w:val="00DE5BC1"/>
    <w:rsid w:val="00DE6017"/>
    <w:rsid w:val="00DE602F"/>
    <w:rsid w:val="00DE62CE"/>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1"/>
    <w:rsid w:val="00E0482E"/>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848"/>
    <w:rsid w:val="00E16E17"/>
    <w:rsid w:val="00E16EDB"/>
    <w:rsid w:val="00E1705B"/>
    <w:rsid w:val="00E1748F"/>
    <w:rsid w:val="00E17501"/>
    <w:rsid w:val="00E1790E"/>
    <w:rsid w:val="00E17EFE"/>
    <w:rsid w:val="00E2033C"/>
    <w:rsid w:val="00E20402"/>
    <w:rsid w:val="00E20DC7"/>
    <w:rsid w:val="00E20E64"/>
    <w:rsid w:val="00E20F9C"/>
    <w:rsid w:val="00E21DF9"/>
    <w:rsid w:val="00E22AC4"/>
    <w:rsid w:val="00E23918"/>
    <w:rsid w:val="00E23B9C"/>
    <w:rsid w:val="00E249A4"/>
    <w:rsid w:val="00E24FDC"/>
    <w:rsid w:val="00E250D8"/>
    <w:rsid w:val="00E251AE"/>
    <w:rsid w:val="00E2530C"/>
    <w:rsid w:val="00E2632B"/>
    <w:rsid w:val="00E2676C"/>
    <w:rsid w:val="00E26DDE"/>
    <w:rsid w:val="00E273E2"/>
    <w:rsid w:val="00E27412"/>
    <w:rsid w:val="00E27470"/>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E17"/>
    <w:rsid w:val="00E46577"/>
    <w:rsid w:val="00E4726B"/>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0D92"/>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57C9"/>
    <w:rsid w:val="00EA61E8"/>
    <w:rsid w:val="00EA6368"/>
    <w:rsid w:val="00EA75D0"/>
    <w:rsid w:val="00EA7600"/>
    <w:rsid w:val="00EA7D44"/>
    <w:rsid w:val="00EB12F7"/>
    <w:rsid w:val="00EB140C"/>
    <w:rsid w:val="00EB17C9"/>
    <w:rsid w:val="00EB1C51"/>
    <w:rsid w:val="00EB2314"/>
    <w:rsid w:val="00EB2C17"/>
    <w:rsid w:val="00EB3E89"/>
    <w:rsid w:val="00EB3F03"/>
    <w:rsid w:val="00EB469A"/>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AC"/>
    <w:rsid w:val="00ED0A77"/>
    <w:rsid w:val="00ED0C73"/>
    <w:rsid w:val="00ED0EA8"/>
    <w:rsid w:val="00ED110D"/>
    <w:rsid w:val="00ED115F"/>
    <w:rsid w:val="00ED1238"/>
    <w:rsid w:val="00ED1875"/>
    <w:rsid w:val="00ED1884"/>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326"/>
    <w:rsid w:val="00ED7DD5"/>
    <w:rsid w:val="00ED7FF1"/>
    <w:rsid w:val="00EE01A6"/>
    <w:rsid w:val="00EE01FD"/>
    <w:rsid w:val="00EE042D"/>
    <w:rsid w:val="00EE1DD3"/>
    <w:rsid w:val="00EE2340"/>
    <w:rsid w:val="00EE26B4"/>
    <w:rsid w:val="00EE29F3"/>
    <w:rsid w:val="00EE30C1"/>
    <w:rsid w:val="00EE3311"/>
    <w:rsid w:val="00EE3F15"/>
    <w:rsid w:val="00EE47E7"/>
    <w:rsid w:val="00EE48B9"/>
    <w:rsid w:val="00EE49C0"/>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C8"/>
    <w:rsid w:val="00EF224E"/>
    <w:rsid w:val="00EF252A"/>
    <w:rsid w:val="00EF28D7"/>
    <w:rsid w:val="00EF2F62"/>
    <w:rsid w:val="00EF3CB0"/>
    <w:rsid w:val="00EF4325"/>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149A"/>
    <w:rsid w:val="00F21656"/>
    <w:rsid w:val="00F218FD"/>
    <w:rsid w:val="00F21E72"/>
    <w:rsid w:val="00F21F06"/>
    <w:rsid w:val="00F22CA5"/>
    <w:rsid w:val="00F2311F"/>
    <w:rsid w:val="00F23565"/>
    <w:rsid w:val="00F240BB"/>
    <w:rsid w:val="00F240FE"/>
    <w:rsid w:val="00F242CE"/>
    <w:rsid w:val="00F24B2C"/>
    <w:rsid w:val="00F260D0"/>
    <w:rsid w:val="00F260F0"/>
    <w:rsid w:val="00F263BE"/>
    <w:rsid w:val="00F26C18"/>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5B2"/>
    <w:rsid w:val="00F54A55"/>
    <w:rsid w:val="00F54CAF"/>
    <w:rsid w:val="00F54E6C"/>
    <w:rsid w:val="00F552D9"/>
    <w:rsid w:val="00F556C8"/>
    <w:rsid w:val="00F56359"/>
    <w:rsid w:val="00F564A3"/>
    <w:rsid w:val="00F568F9"/>
    <w:rsid w:val="00F569D9"/>
    <w:rsid w:val="00F569DD"/>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4558"/>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8020D"/>
    <w:rsid w:val="00F80261"/>
    <w:rsid w:val="00F80CB4"/>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B7F69"/>
    <w:rsid w:val="00FC031B"/>
    <w:rsid w:val="00FC07EF"/>
    <w:rsid w:val="00FC0A83"/>
    <w:rsid w:val="00FC0ABF"/>
    <w:rsid w:val="00FC18EC"/>
    <w:rsid w:val="00FC27A2"/>
    <w:rsid w:val="00FC2F40"/>
    <w:rsid w:val="00FC3DDB"/>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C7F6D"/>
    <w:rsid w:val="00FD0357"/>
    <w:rsid w:val="00FD087B"/>
    <w:rsid w:val="00FD144A"/>
    <w:rsid w:val="00FD1CFF"/>
    <w:rsid w:val="00FD2DC0"/>
    <w:rsid w:val="00FD37B8"/>
    <w:rsid w:val="00FD39EA"/>
    <w:rsid w:val="00FD4AB7"/>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12E0"/>
    <w:rsid w:val="00FF2540"/>
    <w:rsid w:val="00FF3558"/>
    <w:rsid w:val="00FF3B29"/>
    <w:rsid w:val="00FF3CBB"/>
    <w:rsid w:val="00FF3EA4"/>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10330</Words>
  <Characters>62491</Characters>
  <Application>Microsoft Office Word</Application>
  <DocSecurity>0</DocSecurity>
  <Lines>520</Lines>
  <Paragraphs>145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72676</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Andreja Šonc Simčič</cp:lastModifiedBy>
  <cp:revision>2</cp:revision>
  <cp:lastPrinted>2020-12-09T13:48:00Z</cp:lastPrinted>
  <dcterms:created xsi:type="dcterms:W3CDTF">2021-12-17T17:06:00Z</dcterms:created>
  <dcterms:modified xsi:type="dcterms:W3CDTF">2021-12-17T17:06:00Z</dcterms:modified>
</cp:coreProperties>
</file>