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BC" w:rsidRPr="00E362C3" w:rsidRDefault="00044BBA" w:rsidP="00E362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STALIŠČE</w:t>
      </w:r>
      <w:r w:rsidR="0084048F">
        <w:rPr>
          <w:rFonts w:ascii="Arial" w:hAnsi="Arial" w:cs="Arial"/>
          <w:b/>
          <w:bCs/>
          <w:sz w:val="20"/>
          <w:szCs w:val="20"/>
        </w:rPr>
        <w:t xml:space="preserve"> VLADE </w:t>
      </w:r>
      <w:r>
        <w:rPr>
          <w:rFonts w:ascii="Arial" w:hAnsi="Arial" w:cs="Arial"/>
          <w:b/>
          <w:bCs/>
          <w:sz w:val="20"/>
          <w:szCs w:val="20"/>
        </w:rPr>
        <w:t xml:space="preserve">RS </w:t>
      </w:r>
      <w:r w:rsidR="0084048F">
        <w:rPr>
          <w:rFonts w:ascii="Arial" w:hAnsi="Arial" w:cs="Arial"/>
          <w:b/>
          <w:bCs/>
          <w:sz w:val="20"/>
          <w:szCs w:val="20"/>
        </w:rPr>
        <w:t>GLEDE REALIZACIJE DOPOLNILNE</w:t>
      </w:r>
      <w:r w:rsidR="00B439FB" w:rsidRPr="00E362C3">
        <w:rPr>
          <w:rFonts w:ascii="Arial" w:hAnsi="Arial" w:cs="Arial"/>
          <w:b/>
          <w:bCs/>
          <w:sz w:val="20"/>
          <w:szCs w:val="20"/>
        </w:rPr>
        <w:t xml:space="preserve"> </w:t>
      </w:r>
      <w:r w:rsidR="0084048F">
        <w:rPr>
          <w:rFonts w:ascii="Arial" w:hAnsi="Arial" w:cs="Arial"/>
          <w:b/>
          <w:bCs/>
          <w:sz w:val="20"/>
          <w:szCs w:val="20"/>
        </w:rPr>
        <w:t>ODLOČBE</w:t>
      </w:r>
      <w:r w:rsidR="00C273B1" w:rsidRPr="00E362C3">
        <w:rPr>
          <w:rFonts w:ascii="Arial" w:hAnsi="Arial" w:cs="Arial"/>
          <w:b/>
          <w:bCs/>
          <w:sz w:val="20"/>
          <w:szCs w:val="20"/>
        </w:rPr>
        <w:t xml:space="preserve"> USTAVNEGA SODIŠČA št. U-I-8/24 z dne 30.5.2024</w:t>
      </w:r>
      <w:r w:rsidR="00C273B1" w:rsidRPr="00E362C3">
        <w:rPr>
          <w:rFonts w:ascii="Arial" w:hAnsi="Arial" w:cs="Arial"/>
          <w:sz w:val="20"/>
          <w:szCs w:val="20"/>
        </w:rPr>
        <w:t>, s katero je Ustavno sodišče določilo način izvršitve Ustavne odločbe U-I-772/21 z dne 1.6.2023</w:t>
      </w:r>
      <w:r w:rsidR="008F73BC" w:rsidRPr="00E362C3">
        <w:rPr>
          <w:rFonts w:ascii="Arial" w:hAnsi="Arial" w:cs="Arial"/>
          <w:sz w:val="20"/>
          <w:szCs w:val="20"/>
        </w:rPr>
        <w:t>.</w:t>
      </w:r>
    </w:p>
    <w:p w:rsidR="00251C04" w:rsidRPr="00A625ED" w:rsidRDefault="00251C04" w:rsidP="00E362C3">
      <w:pPr>
        <w:jc w:val="both"/>
        <w:rPr>
          <w:rFonts w:ascii="Arial" w:hAnsi="Arial" w:cs="Arial"/>
          <w:sz w:val="20"/>
          <w:szCs w:val="20"/>
        </w:rPr>
      </w:pPr>
      <w:r w:rsidRPr="00A625ED">
        <w:rPr>
          <w:rFonts w:ascii="Arial" w:hAnsi="Arial" w:cs="Arial"/>
          <w:sz w:val="20"/>
          <w:szCs w:val="20"/>
        </w:rPr>
        <w:t>Glede na izrek Dopolnilne odločbe US</w:t>
      </w:r>
      <w:r w:rsidR="0084048F" w:rsidRPr="00A625ED">
        <w:rPr>
          <w:rFonts w:ascii="Arial" w:hAnsi="Arial" w:cs="Arial"/>
          <w:sz w:val="20"/>
          <w:szCs w:val="20"/>
        </w:rPr>
        <w:t>,</w:t>
      </w:r>
      <w:r w:rsidRPr="00A625ED">
        <w:rPr>
          <w:rFonts w:ascii="Arial" w:hAnsi="Arial" w:cs="Arial"/>
          <w:sz w:val="20"/>
          <w:szCs w:val="20"/>
        </w:rPr>
        <w:t xml:space="preserve"> se pri izračunu plač sodnikov za plačilo za sodniško službo od 3. 1. 2024 do začetka uporabe nove zakonske ureditve, sprejete zaradi izvršitve odločbe Ustavnega sodišča, upoštevajo </w:t>
      </w:r>
      <w:r w:rsidRPr="00A625ED">
        <w:rPr>
          <w:rFonts w:ascii="Arial" w:hAnsi="Arial" w:cs="Arial"/>
          <w:b/>
          <w:bCs/>
          <w:sz w:val="20"/>
          <w:szCs w:val="20"/>
        </w:rPr>
        <w:t>plačni razredi sodniških funkcij veljavni na dan 1. 6. 2012</w:t>
      </w:r>
      <w:r w:rsidRPr="00A625ED">
        <w:rPr>
          <w:rFonts w:ascii="Arial" w:hAnsi="Arial" w:cs="Arial"/>
          <w:sz w:val="20"/>
          <w:szCs w:val="20"/>
        </w:rPr>
        <w:t xml:space="preserve"> (to ne upošteva višjih uvrstitev 1. aprila 2023, za 1 PR), </w:t>
      </w:r>
      <w:r w:rsidRPr="00A625ED">
        <w:rPr>
          <w:rFonts w:ascii="Arial" w:hAnsi="Arial" w:cs="Arial"/>
          <w:b/>
          <w:bCs/>
          <w:sz w:val="20"/>
          <w:szCs w:val="20"/>
        </w:rPr>
        <w:t>usklajeni s stopnjo rasti življenjskih potrebščin v obdobju od 1. 6. 2012 do 31. 12. 2023</w:t>
      </w:r>
      <w:r w:rsidRPr="00A625ED">
        <w:rPr>
          <w:rFonts w:ascii="Arial" w:hAnsi="Arial" w:cs="Arial"/>
          <w:sz w:val="20"/>
          <w:szCs w:val="20"/>
        </w:rPr>
        <w:t xml:space="preserve"> (kar po podatkih Statistične urada Republike Slovenije znaša 26,2%). Plače izračunane na ta način se sodnikom prvič izplačajo pri izplačilu plače za avgust 2024 (izplačilo v septembru), takrat se izplača tudi poračun razlike za obdobje od 3. januarja 2024 dalje.</w:t>
      </w:r>
    </w:p>
    <w:p w:rsidR="00DD4CFA" w:rsidRPr="00A625ED" w:rsidRDefault="00DD4CFA" w:rsidP="00E362C3">
      <w:pPr>
        <w:jc w:val="both"/>
        <w:rPr>
          <w:rFonts w:ascii="Arial" w:hAnsi="Arial" w:cs="Arial"/>
          <w:sz w:val="20"/>
          <w:szCs w:val="20"/>
        </w:rPr>
      </w:pPr>
      <w:r w:rsidRPr="00A625ED">
        <w:rPr>
          <w:rFonts w:ascii="Arial" w:hAnsi="Arial" w:cs="Arial"/>
          <w:sz w:val="20"/>
          <w:szCs w:val="20"/>
        </w:rPr>
        <w:t>Odstotek 26,2 % predstavlja 100 % uskladitev z rastjo cen življenjskih potrebščin za obdobje od 1. 6. 2012 do 31. 12. 2023, kar pomeni, da je Ustavno sodišče pri določitvi odst</w:t>
      </w:r>
      <w:r w:rsidR="0084048F" w:rsidRPr="00A625ED">
        <w:rPr>
          <w:rFonts w:ascii="Arial" w:hAnsi="Arial" w:cs="Arial"/>
          <w:sz w:val="20"/>
          <w:szCs w:val="20"/>
        </w:rPr>
        <w:t xml:space="preserve">otka uskladitve upoštevalo </w:t>
      </w:r>
      <w:r w:rsidRPr="00A625ED">
        <w:rPr>
          <w:rFonts w:ascii="Arial" w:hAnsi="Arial" w:cs="Arial"/>
          <w:sz w:val="20"/>
          <w:szCs w:val="20"/>
        </w:rPr>
        <w:t xml:space="preserve">100% inflacijo za leto 2023. ZSPJS-AB je sicer vrednosti PR </w:t>
      </w:r>
      <w:r w:rsidR="0084048F" w:rsidRPr="00A625ED">
        <w:rPr>
          <w:rFonts w:ascii="Arial" w:hAnsi="Arial" w:cs="Arial"/>
          <w:sz w:val="20"/>
          <w:szCs w:val="20"/>
        </w:rPr>
        <w:t>uskladil</w:t>
      </w:r>
      <w:r w:rsidRPr="00A625ED">
        <w:rPr>
          <w:rFonts w:ascii="Arial" w:hAnsi="Arial" w:cs="Arial"/>
          <w:sz w:val="20"/>
          <w:szCs w:val="20"/>
        </w:rPr>
        <w:t xml:space="preserve"> le v višini 80 % rasti cen življenjskih potrebščin za obdobje od decembra 2022 do december 2023.</w:t>
      </w:r>
    </w:p>
    <w:p w:rsidR="00C52A71" w:rsidRPr="00A625ED" w:rsidRDefault="00E11F6A" w:rsidP="00E362C3">
      <w:pPr>
        <w:jc w:val="both"/>
        <w:rPr>
          <w:rFonts w:ascii="Arial" w:hAnsi="Arial" w:cs="Arial"/>
          <w:sz w:val="20"/>
          <w:szCs w:val="20"/>
        </w:rPr>
      </w:pPr>
      <w:r w:rsidRPr="00A625ED">
        <w:rPr>
          <w:rFonts w:ascii="Arial" w:hAnsi="Arial" w:cs="Arial"/>
          <w:sz w:val="20"/>
          <w:szCs w:val="20"/>
        </w:rPr>
        <w:t xml:space="preserve">Ustavno sodišče je tako določilo, da se morajo plačni razredi sodnikov uskladiti s stopnjo rasti življenjskih stroškov, ki je povzročila občutno izgubo njihove realne vrednosti </w:t>
      </w:r>
      <w:r w:rsidR="00FA20FF" w:rsidRPr="00A625ED">
        <w:rPr>
          <w:rFonts w:ascii="Arial" w:hAnsi="Arial" w:cs="Arial"/>
          <w:sz w:val="20"/>
          <w:szCs w:val="20"/>
        </w:rPr>
        <w:t>v navedenem obdobju</w:t>
      </w:r>
      <w:r w:rsidRPr="00A625ED">
        <w:rPr>
          <w:rFonts w:ascii="Arial" w:hAnsi="Arial" w:cs="Arial"/>
          <w:sz w:val="20"/>
          <w:szCs w:val="20"/>
        </w:rPr>
        <w:t>. Pri izračunu pa je</w:t>
      </w:r>
      <w:r w:rsidR="00E35351" w:rsidRPr="00A625ED">
        <w:rPr>
          <w:rFonts w:ascii="Arial" w:hAnsi="Arial" w:cs="Arial"/>
          <w:sz w:val="20"/>
          <w:szCs w:val="20"/>
        </w:rPr>
        <w:t xml:space="preserve"> po mnenju vlade</w:t>
      </w:r>
      <w:r w:rsidRPr="00A625ED">
        <w:rPr>
          <w:rFonts w:ascii="Arial" w:hAnsi="Arial" w:cs="Arial"/>
          <w:sz w:val="20"/>
          <w:szCs w:val="20"/>
        </w:rPr>
        <w:t xml:space="preserve"> potrebno upoštevati izplačila, ki so bila v vmesnem obdobju že opravljena. </w:t>
      </w:r>
      <w:r w:rsidR="00C52A71" w:rsidRPr="00A625ED">
        <w:rPr>
          <w:rFonts w:ascii="Arial" w:hAnsi="Arial" w:cs="Arial"/>
          <w:sz w:val="20"/>
          <w:szCs w:val="20"/>
        </w:rPr>
        <w:t xml:space="preserve">V času od 1.6.2012 se je </w:t>
      </w:r>
      <w:r w:rsidRPr="00A625ED">
        <w:rPr>
          <w:rFonts w:ascii="Arial" w:hAnsi="Arial" w:cs="Arial"/>
          <w:sz w:val="20"/>
          <w:szCs w:val="20"/>
        </w:rPr>
        <w:t>osnovna plača sodnikom</w:t>
      </w:r>
      <w:r w:rsidR="00161D3A" w:rsidRPr="00A625ED">
        <w:rPr>
          <w:rFonts w:ascii="Arial" w:hAnsi="Arial" w:cs="Arial"/>
          <w:sz w:val="20"/>
          <w:szCs w:val="20"/>
        </w:rPr>
        <w:t>,</w:t>
      </w:r>
      <w:r w:rsidRPr="00A625ED">
        <w:rPr>
          <w:rFonts w:ascii="Arial" w:hAnsi="Arial" w:cs="Arial"/>
          <w:sz w:val="20"/>
          <w:szCs w:val="20"/>
        </w:rPr>
        <w:t xml:space="preserve"> </w:t>
      </w:r>
      <w:r w:rsidR="00C52A71" w:rsidRPr="00A625ED">
        <w:rPr>
          <w:rFonts w:ascii="Arial" w:hAnsi="Arial" w:cs="Arial"/>
          <w:sz w:val="20"/>
          <w:szCs w:val="20"/>
        </w:rPr>
        <w:t>tako kot javnim uslužbencem in funkcionarjem</w:t>
      </w:r>
      <w:r w:rsidR="00161D3A" w:rsidRPr="00A625ED">
        <w:rPr>
          <w:rFonts w:ascii="Arial" w:hAnsi="Arial" w:cs="Arial"/>
          <w:sz w:val="20"/>
          <w:szCs w:val="20"/>
        </w:rPr>
        <w:t>,</w:t>
      </w:r>
      <w:r w:rsidR="00C52A71" w:rsidRPr="00A625ED">
        <w:rPr>
          <w:rFonts w:ascii="Arial" w:hAnsi="Arial" w:cs="Arial"/>
          <w:sz w:val="20"/>
          <w:szCs w:val="20"/>
        </w:rPr>
        <w:t xml:space="preserve"> oktobra 2022 že povišala za en plačni razred ter </w:t>
      </w:r>
      <w:r w:rsidRPr="00A625ED">
        <w:rPr>
          <w:rFonts w:ascii="Arial" w:hAnsi="Arial" w:cs="Arial"/>
          <w:sz w:val="20"/>
          <w:szCs w:val="20"/>
        </w:rPr>
        <w:t>uskladi</w:t>
      </w:r>
      <w:r w:rsidR="00161D3A" w:rsidRPr="00A625ED">
        <w:rPr>
          <w:rFonts w:ascii="Arial" w:hAnsi="Arial" w:cs="Arial"/>
          <w:sz w:val="20"/>
          <w:szCs w:val="20"/>
        </w:rPr>
        <w:t>la z inflacijo v</w:t>
      </w:r>
      <w:r w:rsidR="00C52A71" w:rsidRPr="00A625ED">
        <w:rPr>
          <w:rFonts w:ascii="Arial" w:hAnsi="Arial" w:cs="Arial"/>
          <w:sz w:val="20"/>
          <w:szCs w:val="20"/>
        </w:rPr>
        <w:t xml:space="preserve"> višini 4,5%. Nadalje so se s 1.6.2024 osnovne </w:t>
      </w:r>
      <w:r w:rsidRPr="00A625ED">
        <w:rPr>
          <w:rFonts w:ascii="Arial" w:hAnsi="Arial" w:cs="Arial"/>
          <w:sz w:val="20"/>
          <w:szCs w:val="20"/>
        </w:rPr>
        <w:t xml:space="preserve">plače sodnikov, </w:t>
      </w:r>
      <w:r w:rsidR="00C52A71" w:rsidRPr="00A625ED">
        <w:rPr>
          <w:rFonts w:ascii="Arial" w:hAnsi="Arial" w:cs="Arial"/>
          <w:sz w:val="20"/>
          <w:szCs w:val="20"/>
        </w:rPr>
        <w:t>tako kot vsem ostalim funkcionarjem in javnim uslužbencem</w:t>
      </w:r>
      <w:r w:rsidRPr="00A625ED">
        <w:rPr>
          <w:rFonts w:ascii="Arial" w:hAnsi="Arial" w:cs="Arial"/>
          <w:sz w:val="20"/>
          <w:szCs w:val="20"/>
        </w:rPr>
        <w:t xml:space="preserve">, </w:t>
      </w:r>
      <w:r w:rsidR="00C52A71" w:rsidRPr="00A625ED">
        <w:rPr>
          <w:rFonts w:ascii="Arial" w:hAnsi="Arial" w:cs="Arial"/>
          <w:sz w:val="20"/>
          <w:szCs w:val="20"/>
        </w:rPr>
        <w:t xml:space="preserve">uskladile </w:t>
      </w:r>
      <w:r w:rsidRPr="00A625ED">
        <w:rPr>
          <w:rFonts w:ascii="Arial" w:hAnsi="Arial" w:cs="Arial"/>
          <w:sz w:val="20"/>
          <w:szCs w:val="20"/>
        </w:rPr>
        <w:t xml:space="preserve">še </w:t>
      </w:r>
      <w:r w:rsidR="00C52A71" w:rsidRPr="00A625ED">
        <w:rPr>
          <w:rFonts w:ascii="Arial" w:hAnsi="Arial" w:cs="Arial"/>
          <w:sz w:val="20"/>
          <w:szCs w:val="20"/>
        </w:rPr>
        <w:t xml:space="preserve">za 3,36% </w:t>
      </w:r>
      <w:r w:rsidRPr="00A625ED">
        <w:rPr>
          <w:rFonts w:ascii="Arial" w:hAnsi="Arial" w:cs="Arial"/>
          <w:sz w:val="20"/>
          <w:szCs w:val="20"/>
        </w:rPr>
        <w:t xml:space="preserve">kar pomeni da se pri plači za avgust 2024 izplača razlika do zdajšnje vrednosti plačnega razreda. Sicer bi bili sodniki </w:t>
      </w:r>
      <w:r w:rsidR="00C52A71" w:rsidRPr="00A625ED">
        <w:rPr>
          <w:rFonts w:ascii="Arial" w:hAnsi="Arial" w:cs="Arial"/>
          <w:sz w:val="20"/>
          <w:szCs w:val="20"/>
        </w:rPr>
        <w:t xml:space="preserve">dvakrat deležni uskladitve zaradi inflacije v l. </w:t>
      </w:r>
      <w:r w:rsidR="00161D3A" w:rsidRPr="00A625ED">
        <w:rPr>
          <w:rFonts w:ascii="Arial" w:hAnsi="Arial" w:cs="Arial"/>
          <w:sz w:val="20"/>
          <w:szCs w:val="20"/>
        </w:rPr>
        <w:t>20</w:t>
      </w:r>
      <w:r w:rsidR="00C52A71" w:rsidRPr="00A625ED">
        <w:rPr>
          <w:rFonts w:ascii="Arial" w:hAnsi="Arial" w:cs="Arial"/>
          <w:sz w:val="20"/>
          <w:szCs w:val="20"/>
        </w:rPr>
        <w:t>23.</w:t>
      </w:r>
    </w:p>
    <w:p w:rsidR="00DD4CFA" w:rsidRPr="00A625ED" w:rsidRDefault="00DD4CFA" w:rsidP="00E362C3">
      <w:pPr>
        <w:jc w:val="both"/>
        <w:rPr>
          <w:rFonts w:ascii="Arial" w:hAnsi="Arial" w:cs="Arial"/>
          <w:sz w:val="20"/>
          <w:szCs w:val="20"/>
        </w:rPr>
      </w:pPr>
      <w:r w:rsidRPr="00A625ED">
        <w:rPr>
          <w:rFonts w:ascii="Arial" w:hAnsi="Arial" w:cs="Arial"/>
          <w:sz w:val="20"/>
          <w:szCs w:val="20"/>
        </w:rPr>
        <w:t>Primer: Okrajni sodnik, ki je v 2024 uvrščen v izhodiščni 48. PR, ima po Dopolnilni odločbi US določeno osnovno plačo v višini 3.376,17 EUR, kar v primerjavi z osnovno plačo, kot bi jo prejel po ZSPJS od 1. 6. 2024 dalje (3.005,14 €) pomeni 12,3 % povišanje (371,03 €), v primerjavi z osnovno plačo, ki jo je prejel po ZSPJS za januar 2024 (2.907,45 €) pa 16,12 % povišanje.</w:t>
      </w:r>
    </w:p>
    <w:p w:rsidR="002A6E0B" w:rsidRPr="00A625ED" w:rsidRDefault="00DD4CFA" w:rsidP="00E362C3">
      <w:pPr>
        <w:jc w:val="both"/>
        <w:rPr>
          <w:rFonts w:ascii="Arial" w:hAnsi="Arial" w:cs="Arial"/>
          <w:sz w:val="20"/>
          <w:szCs w:val="20"/>
        </w:rPr>
      </w:pPr>
      <w:r w:rsidRPr="00A625ED">
        <w:rPr>
          <w:rFonts w:ascii="Arial" w:hAnsi="Arial" w:cs="Arial"/>
          <w:sz w:val="20"/>
          <w:szCs w:val="20"/>
        </w:rPr>
        <w:t>Dopolnilna odločba US se nanaša na osnovne plače sodnikov</w:t>
      </w:r>
      <w:r w:rsidR="00161D3A" w:rsidRPr="00A625ED">
        <w:rPr>
          <w:rFonts w:ascii="Arial" w:hAnsi="Arial" w:cs="Arial"/>
          <w:sz w:val="20"/>
          <w:szCs w:val="20"/>
        </w:rPr>
        <w:t xml:space="preserve"> rednih sodišč</w:t>
      </w:r>
      <w:r w:rsidRPr="00A625ED">
        <w:rPr>
          <w:rFonts w:ascii="Arial" w:hAnsi="Arial" w:cs="Arial"/>
          <w:sz w:val="20"/>
          <w:szCs w:val="20"/>
        </w:rPr>
        <w:t xml:space="preserve">, kar vpliva tudi na dodatke in nadomestila plače. </w:t>
      </w:r>
      <w:r w:rsidR="00E11F6A" w:rsidRPr="00A625ED">
        <w:rPr>
          <w:rFonts w:ascii="Arial" w:hAnsi="Arial" w:cs="Arial"/>
          <w:sz w:val="20"/>
          <w:szCs w:val="20"/>
        </w:rPr>
        <w:t xml:space="preserve">Pri tem je Ustavno sodišče </w:t>
      </w:r>
      <w:r w:rsidR="00A75720" w:rsidRPr="00A625ED">
        <w:rPr>
          <w:rFonts w:ascii="Arial" w:hAnsi="Arial" w:cs="Arial"/>
          <w:sz w:val="20"/>
          <w:szCs w:val="20"/>
        </w:rPr>
        <w:t xml:space="preserve">v obrazložitvi Dopolnilne odločbe US izrecno izpostavilo, da se je omejilo le na odpravo enega od ugotovljenih elementov protiustavnosti ureditve sodniških služb, </w:t>
      </w:r>
      <w:proofErr w:type="spellStart"/>
      <w:r w:rsidR="00A75720" w:rsidRPr="00A625ED">
        <w:rPr>
          <w:rFonts w:ascii="Arial" w:hAnsi="Arial" w:cs="Arial"/>
          <w:sz w:val="20"/>
          <w:szCs w:val="20"/>
        </w:rPr>
        <w:t>t.j</w:t>
      </w:r>
      <w:proofErr w:type="spellEnd"/>
      <w:r w:rsidR="00A75720" w:rsidRPr="00A625ED">
        <w:rPr>
          <w:rFonts w:ascii="Arial" w:hAnsi="Arial" w:cs="Arial"/>
          <w:sz w:val="20"/>
          <w:szCs w:val="20"/>
        </w:rPr>
        <w:t>. le na uskladitev plačnih razredov (PR) sodnikov s stop</w:t>
      </w:r>
      <w:r w:rsidR="00161D3A" w:rsidRPr="00A625ED">
        <w:rPr>
          <w:rFonts w:ascii="Arial" w:hAnsi="Arial" w:cs="Arial"/>
          <w:sz w:val="20"/>
          <w:szCs w:val="20"/>
        </w:rPr>
        <w:t>njo rasti življenjskih stroškov.</w:t>
      </w:r>
      <w:r w:rsidR="002A6E0B" w:rsidRPr="00A625ED">
        <w:rPr>
          <w:rFonts w:ascii="Arial" w:hAnsi="Arial" w:cs="Arial"/>
          <w:sz w:val="20"/>
          <w:szCs w:val="20"/>
        </w:rPr>
        <w:t xml:space="preserve"> Tudi ustavni sodniki so se torej (kot vlada) omejili le na odpravo enega elementa ugotovljene neustavnosti ureditve</w:t>
      </w:r>
      <w:r w:rsidR="002937C5" w:rsidRPr="00A625ED">
        <w:rPr>
          <w:rFonts w:ascii="Arial" w:hAnsi="Arial" w:cs="Arial"/>
          <w:sz w:val="20"/>
          <w:szCs w:val="20"/>
        </w:rPr>
        <w:t>.</w:t>
      </w:r>
    </w:p>
    <w:p w:rsidR="00410F6D" w:rsidRPr="00044BBA" w:rsidRDefault="00161D3A" w:rsidP="00E362C3">
      <w:pPr>
        <w:jc w:val="both"/>
        <w:rPr>
          <w:rFonts w:ascii="Arial" w:hAnsi="Arial" w:cs="Arial"/>
          <w:b/>
          <w:sz w:val="20"/>
          <w:szCs w:val="20"/>
        </w:rPr>
      </w:pPr>
      <w:r w:rsidRPr="00044BBA">
        <w:rPr>
          <w:rFonts w:ascii="Arial" w:hAnsi="Arial" w:cs="Arial"/>
          <w:b/>
          <w:sz w:val="20"/>
          <w:szCs w:val="20"/>
        </w:rPr>
        <w:t xml:space="preserve">Pri tem Vlada Republike Slovenije opozarja, da Ustavno sodišče samo ugotavlja, da je s tem, ko je stopilo v vlogo zakonodajalca odstopilo od sistemsko usklajenega načina reševanja plač, ter </w:t>
      </w:r>
      <w:r w:rsidR="002937C5" w:rsidRPr="00044BBA">
        <w:rPr>
          <w:rFonts w:ascii="Arial" w:hAnsi="Arial" w:cs="Arial"/>
          <w:b/>
          <w:sz w:val="20"/>
          <w:szCs w:val="20"/>
        </w:rPr>
        <w:t>s tem porušilo</w:t>
      </w:r>
      <w:r w:rsidRPr="00044BBA">
        <w:rPr>
          <w:rFonts w:ascii="Arial" w:hAnsi="Arial" w:cs="Arial"/>
          <w:b/>
          <w:sz w:val="20"/>
          <w:szCs w:val="20"/>
        </w:rPr>
        <w:t xml:space="preserve"> razmerja </w:t>
      </w:r>
      <w:r w:rsidR="00A75720" w:rsidRPr="00044BBA">
        <w:rPr>
          <w:rFonts w:ascii="Arial" w:hAnsi="Arial" w:cs="Arial"/>
          <w:b/>
          <w:sz w:val="20"/>
          <w:szCs w:val="20"/>
        </w:rPr>
        <w:t xml:space="preserve">med plačami sodnikov in poslancev ter tudi ministrov oziroma </w:t>
      </w:r>
      <w:r w:rsidRPr="00044BBA">
        <w:rPr>
          <w:rFonts w:ascii="Arial" w:hAnsi="Arial" w:cs="Arial"/>
          <w:b/>
          <w:sz w:val="20"/>
          <w:szCs w:val="20"/>
        </w:rPr>
        <w:t>drugih funkcij izvršilne veje oblasti</w:t>
      </w:r>
      <w:r w:rsidR="00A75720" w:rsidRPr="00044BBA">
        <w:rPr>
          <w:rFonts w:ascii="Arial" w:hAnsi="Arial" w:cs="Arial"/>
          <w:b/>
          <w:sz w:val="20"/>
          <w:szCs w:val="20"/>
        </w:rPr>
        <w:t xml:space="preserve">. </w:t>
      </w:r>
      <w:r w:rsidR="002A6E0B" w:rsidRPr="00044BBA">
        <w:rPr>
          <w:rFonts w:ascii="Arial" w:hAnsi="Arial" w:cs="Arial"/>
          <w:b/>
          <w:sz w:val="20"/>
          <w:szCs w:val="20"/>
        </w:rPr>
        <w:t>Ustavno sodišče se zaveda, da se določen način izvršitve odločbe izraža v tem, da npr. vrednost plačnega razreda predsednika Vrhovnega</w:t>
      </w:r>
      <w:r w:rsidR="00A625ED" w:rsidRPr="00044BBA">
        <w:rPr>
          <w:rFonts w:ascii="Arial" w:hAnsi="Arial" w:cs="Arial"/>
          <w:b/>
          <w:sz w:val="20"/>
          <w:szCs w:val="20"/>
        </w:rPr>
        <w:t xml:space="preserve"> sodišča</w:t>
      </w:r>
      <w:r w:rsidR="002A6E0B" w:rsidRPr="00044BBA">
        <w:rPr>
          <w:rFonts w:ascii="Arial" w:hAnsi="Arial" w:cs="Arial"/>
          <w:b/>
          <w:sz w:val="20"/>
          <w:szCs w:val="20"/>
        </w:rPr>
        <w:t xml:space="preserve"> preseže vrednost plačnih razredov drugih najvišjih funkcionarjev oziroma prebije najvišji plačni razred v veljavni plačni lestvici (66 PR).« </w:t>
      </w:r>
      <w:r w:rsidR="00410F6D" w:rsidRPr="00044BBA">
        <w:rPr>
          <w:rFonts w:ascii="Arial" w:hAnsi="Arial" w:cs="Arial"/>
          <w:b/>
          <w:sz w:val="20"/>
          <w:szCs w:val="20"/>
        </w:rPr>
        <w:t xml:space="preserve">To v konkretnem primeru pomeni, da bo najvišji funkcionar sodne veje oblasti, to je predsednik VS RS za </w:t>
      </w:r>
      <w:r w:rsidR="00F85B48" w:rsidRPr="00044BBA">
        <w:rPr>
          <w:rFonts w:ascii="Arial" w:hAnsi="Arial" w:cs="Arial"/>
          <w:b/>
          <w:sz w:val="20"/>
          <w:szCs w:val="20"/>
        </w:rPr>
        <w:t xml:space="preserve">751 EUR </w:t>
      </w:r>
      <w:r w:rsidR="00410F6D" w:rsidRPr="00044BBA">
        <w:rPr>
          <w:rFonts w:ascii="Arial" w:hAnsi="Arial" w:cs="Arial"/>
          <w:b/>
          <w:sz w:val="20"/>
          <w:szCs w:val="20"/>
        </w:rPr>
        <w:t>presegel plačo predsednice republike, predsednice DZ RS in predsednika vlade</w:t>
      </w:r>
      <w:r w:rsidR="00A625ED" w:rsidRPr="00044BBA">
        <w:rPr>
          <w:rFonts w:ascii="Arial" w:hAnsi="Arial" w:cs="Arial"/>
          <w:b/>
          <w:sz w:val="20"/>
          <w:szCs w:val="20"/>
        </w:rPr>
        <w:t>.</w:t>
      </w:r>
      <w:r w:rsidR="00410F6D" w:rsidRPr="00044BBA">
        <w:rPr>
          <w:rFonts w:ascii="Arial" w:hAnsi="Arial" w:cs="Arial"/>
          <w:b/>
          <w:sz w:val="20"/>
          <w:szCs w:val="20"/>
        </w:rPr>
        <w:t xml:space="preserve"> Razmerje med nosilci vseh treh vrhov oblasti bo torej po realizaciji Dopolnilne odločbe popolnoma porušeno.</w:t>
      </w:r>
    </w:p>
    <w:p w:rsidR="00A75720" w:rsidRPr="00E362C3" w:rsidRDefault="00A75720" w:rsidP="00E362C3">
      <w:pPr>
        <w:jc w:val="both"/>
        <w:rPr>
          <w:rFonts w:ascii="Arial" w:hAnsi="Arial" w:cs="Arial"/>
          <w:sz w:val="20"/>
          <w:szCs w:val="20"/>
        </w:rPr>
      </w:pPr>
    </w:p>
    <w:p w:rsidR="00E362C3" w:rsidRDefault="00E36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5720" w:rsidRPr="00E362C3" w:rsidRDefault="00A75720" w:rsidP="00E362C3">
      <w:pPr>
        <w:jc w:val="both"/>
        <w:rPr>
          <w:rFonts w:ascii="Arial" w:hAnsi="Arial" w:cs="Arial"/>
          <w:sz w:val="20"/>
          <w:szCs w:val="20"/>
        </w:rPr>
      </w:pPr>
      <w:r w:rsidRPr="00E362C3">
        <w:rPr>
          <w:rFonts w:ascii="Arial" w:hAnsi="Arial" w:cs="Arial"/>
          <w:sz w:val="20"/>
          <w:szCs w:val="20"/>
        </w:rPr>
        <w:lastRenderedPageBreak/>
        <w:t>Glede na odločbo Ustavnega sodišča, ki se bo izvršila septembra 24 bodo primerjalno zneski med funkcionarji: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062"/>
        <w:gridCol w:w="1028"/>
        <w:gridCol w:w="1617"/>
        <w:gridCol w:w="1472"/>
        <w:gridCol w:w="1596"/>
        <w:gridCol w:w="1287"/>
      </w:tblGrid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Plačni razred</w:t>
            </w:r>
            <w:r w:rsidR="00F85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dan 1.6.2024 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Znesek </w:t>
            </w:r>
          </w:p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1.6.24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Predlog vlade po interventnem zakonu</w:t>
            </w: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Znesek po odločbi Ustavnega sodišča</w:t>
            </w: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</w:p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Po Odločbi US</w:t>
            </w: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Predsednica republike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Predsednica Državnega zbora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Predsednik Vlade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Predsednik Vrhovnega sodišča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6.087,86</w:t>
            </w: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6.839,46</w:t>
            </w: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751,60</w:t>
            </w: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Okrožni sodnik začetnik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3.380,38 €</w:t>
            </w:r>
          </w:p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3.802,47 €</w:t>
            </w:r>
          </w:p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3.797,71</w:t>
            </w: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417,33</w:t>
            </w:r>
          </w:p>
        </w:tc>
      </w:tr>
      <w:tr w:rsidR="00A75720" w:rsidRPr="00E362C3" w:rsidTr="00A912F9">
        <w:tc>
          <w:tcPr>
            <w:tcW w:w="207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Okrajni sodnik</w:t>
            </w:r>
          </w:p>
          <w:p w:rsidR="00A75720" w:rsidRPr="00E362C3" w:rsidRDefault="00A75720" w:rsidP="00E362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C3">
              <w:rPr>
                <w:rFonts w:ascii="Arial" w:hAnsi="Arial" w:cs="Arial"/>
                <w:b/>
                <w:bCs/>
                <w:sz w:val="20"/>
                <w:szCs w:val="20"/>
              </w:rPr>
              <w:t>začetnik</w:t>
            </w:r>
          </w:p>
        </w:tc>
        <w:tc>
          <w:tcPr>
            <w:tcW w:w="1028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26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sz w:val="20"/>
                <w:szCs w:val="20"/>
              </w:rPr>
              <w:t>3.005,14</w:t>
            </w:r>
          </w:p>
        </w:tc>
        <w:tc>
          <w:tcPr>
            <w:tcW w:w="1443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3.380,38</w:t>
            </w:r>
          </w:p>
        </w:tc>
        <w:tc>
          <w:tcPr>
            <w:tcW w:w="1601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3.376,17</w:t>
            </w:r>
          </w:p>
        </w:tc>
        <w:tc>
          <w:tcPr>
            <w:tcW w:w="1292" w:type="dxa"/>
          </w:tcPr>
          <w:p w:rsidR="00A75720" w:rsidRPr="00E362C3" w:rsidRDefault="00A75720" w:rsidP="00E362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C3">
              <w:rPr>
                <w:rFonts w:ascii="Arial" w:hAnsi="Arial" w:cs="Arial"/>
                <w:color w:val="000000"/>
                <w:sz w:val="20"/>
                <w:szCs w:val="20"/>
              </w:rPr>
              <w:t>371,03</w:t>
            </w:r>
          </w:p>
        </w:tc>
      </w:tr>
    </w:tbl>
    <w:p w:rsidR="00A75720" w:rsidRPr="00E362C3" w:rsidRDefault="00A75720" w:rsidP="00E362C3">
      <w:pPr>
        <w:jc w:val="both"/>
        <w:rPr>
          <w:rFonts w:ascii="Arial" w:hAnsi="Arial" w:cs="Arial"/>
          <w:sz w:val="20"/>
          <w:szCs w:val="20"/>
        </w:rPr>
      </w:pPr>
      <w:r w:rsidRPr="00E362C3">
        <w:rPr>
          <w:rFonts w:ascii="Arial" w:hAnsi="Arial" w:cs="Arial"/>
          <w:sz w:val="20"/>
          <w:szCs w:val="20"/>
        </w:rPr>
        <w:t xml:space="preserve">    </w:t>
      </w:r>
    </w:p>
    <w:p w:rsidR="002A6E0B" w:rsidRPr="00044BBA" w:rsidRDefault="002A6E0B" w:rsidP="00E362C3">
      <w:pPr>
        <w:jc w:val="both"/>
        <w:rPr>
          <w:rFonts w:ascii="Arial" w:hAnsi="Arial" w:cs="Arial"/>
          <w:b/>
          <w:sz w:val="20"/>
          <w:szCs w:val="20"/>
        </w:rPr>
      </w:pPr>
      <w:r w:rsidRPr="00044BBA">
        <w:rPr>
          <w:rFonts w:ascii="Arial" w:hAnsi="Arial" w:cs="Arial"/>
          <w:b/>
          <w:sz w:val="20"/>
          <w:szCs w:val="20"/>
        </w:rPr>
        <w:t>Ustavno sodišče je z dopolnilno odločbo</w:t>
      </w:r>
      <w:r w:rsidR="002937C5" w:rsidRPr="00044BBA">
        <w:rPr>
          <w:rFonts w:ascii="Arial" w:hAnsi="Arial" w:cs="Arial"/>
          <w:b/>
          <w:sz w:val="20"/>
          <w:szCs w:val="20"/>
        </w:rPr>
        <w:t xml:space="preserve"> torej</w:t>
      </w:r>
      <w:r w:rsidRPr="00044BBA">
        <w:rPr>
          <w:rFonts w:ascii="Arial" w:hAnsi="Arial" w:cs="Arial"/>
          <w:b/>
          <w:sz w:val="20"/>
          <w:szCs w:val="20"/>
        </w:rPr>
        <w:t xml:space="preserve"> vstopilo v polje zakonodajalca in s »prehodno začasno odločitvijo, ki ima moč zakona« določilo način določitve plače sodnikov rednih sodišč, ki je izven veljavnih uvrstitev v Prilogi 3 Zakona o sistemu plač v javnem sektorju</w:t>
      </w:r>
      <w:r w:rsidRPr="00044BBA"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044BBA">
        <w:rPr>
          <w:rFonts w:ascii="Arial" w:hAnsi="Arial" w:cs="Arial"/>
          <w:b/>
          <w:sz w:val="20"/>
          <w:szCs w:val="20"/>
        </w:rPr>
        <w:t xml:space="preserve"> (v nadaljnjem besedilu: ZSPJS) in veljavne plačne lestvice v Prilogi 1 ZSPJS oziroma določilo posebno plačno lestvico za sodnike. </w:t>
      </w:r>
    </w:p>
    <w:p w:rsidR="00410F6D" w:rsidRPr="00E362C3" w:rsidRDefault="00410F6D" w:rsidP="00E362C3">
      <w:pPr>
        <w:jc w:val="both"/>
        <w:rPr>
          <w:rFonts w:ascii="Arial" w:hAnsi="Arial" w:cs="Arial"/>
          <w:sz w:val="20"/>
          <w:szCs w:val="20"/>
        </w:rPr>
      </w:pPr>
      <w:r w:rsidRPr="00E362C3">
        <w:rPr>
          <w:rFonts w:ascii="Arial" w:hAnsi="Arial" w:cs="Arial"/>
          <w:sz w:val="20"/>
          <w:szCs w:val="20"/>
        </w:rPr>
        <w:t>Kot v svojem ločenem mnenju opozarja tudi sodnica dr. Špelca Mežnar, je z določitvijo načina izvršitve Ustavno sodišče sodnike v bistvu (začasno – do zakonske ureditve, ki bo pomenila uresničitev odločbe U-I-772/21) izločilo iz ZSPJS oziroma določilo poseben »steber« s tem, da je npr. uvedlo nov najvišji plačilni razred, določilo višino plače, ki ne ustreza nobenemu od plačilnih razredov v</w:t>
      </w:r>
      <w:r w:rsidR="00F85B48">
        <w:rPr>
          <w:rFonts w:ascii="Arial" w:hAnsi="Arial" w:cs="Arial"/>
          <w:sz w:val="20"/>
          <w:szCs w:val="20"/>
        </w:rPr>
        <w:t xml:space="preserve"> veljavni </w:t>
      </w:r>
      <w:r w:rsidRPr="00E362C3">
        <w:rPr>
          <w:rFonts w:ascii="Arial" w:hAnsi="Arial" w:cs="Arial"/>
          <w:sz w:val="20"/>
          <w:szCs w:val="20"/>
        </w:rPr>
        <w:t xml:space="preserve"> plačni lestvici oziroma določilo nove vrednosti plačilnih razredov oziroma novo plačno lestvico za sodnike. V okviru veljavnega plačnega sistema je namreč višanje plač mogoče le z uvrstitvijo funkcije v višji plačni razred ali z višanjem vrednosti plačnih razredov, kar se uredi z zakonom.</w:t>
      </w:r>
    </w:p>
    <w:p w:rsidR="00251C04" w:rsidRPr="00A625ED" w:rsidRDefault="00410F6D" w:rsidP="00E362C3">
      <w:pPr>
        <w:jc w:val="both"/>
        <w:rPr>
          <w:rFonts w:ascii="Arial" w:hAnsi="Arial" w:cs="Arial"/>
          <w:sz w:val="20"/>
          <w:szCs w:val="20"/>
        </w:rPr>
      </w:pPr>
      <w:r w:rsidRPr="00E362C3">
        <w:rPr>
          <w:rFonts w:ascii="Arial" w:hAnsi="Arial" w:cs="Arial"/>
          <w:sz w:val="20"/>
          <w:szCs w:val="20"/>
        </w:rPr>
        <w:t>Vlada RS je sicer 23. 5. 2024 v Državni zbor posredovala predlog Zakona o uvrstitvi funkcij sodne oblasti in državno</w:t>
      </w:r>
      <w:r w:rsidR="002937C5">
        <w:rPr>
          <w:rFonts w:ascii="Arial" w:hAnsi="Arial" w:cs="Arial"/>
          <w:sz w:val="20"/>
          <w:szCs w:val="20"/>
        </w:rPr>
        <w:t>-</w:t>
      </w:r>
      <w:r w:rsidRPr="00E362C3">
        <w:rPr>
          <w:rFonts w:ascii="Arial" w:hAnsi="Arial" w:cs="Arial"/>
          <w:sz w:val="20"/>
          <w:szCs w:val="20"/>
        </w:rPr>
        <w:t>tožilskih funkcij v plačne razrede zaradi odločbe Ustavnega sodišča št. U-I-772/21-23, ki predvideva višje uvrstitve sodnikov in državnih tožilcev za 1-3PR</w:t>
      </w:r>
      <w:r w:rsidR="00412205" w:rsidRPr="00E362C3">
        <w:rPr>
          <w:rFonts w:ascii="Arial" w:hAnsi="Arial" w:cs="Arial"/>
          <w:sz w:val="20"/>
          <w:szCs w:val="20"/>
        </w:rPr>
        <w:t xml:space="preserve">. </w:t>
      </w:r>
      <w:r w:rsidR="002937C5">
        <w:rPr>
          <w:rFonts w:ascii="Arial" w:hAnsi="Arial" w:cs="Arial"/>
          <w:sz w:val="20"/>
          <w:szCs w:val="20"/>
        </w:rPr>
        <w:t xml:space="preserve">Predlog </w:t>
      </w:r>
      <w:r w:rsidR="00251C04" w:rsidRPr="00E362C3">
        <w:rPr>
          <w:rFonts w:ascii="Arial" w:hAnsi="Arial" w:cs="Arial"/>
          <w:sz w:val="20"/>
          <w:szCs w:val="20"/>
        </w:rPr>
        <w:t>po mnenju vlade predstavlja</w:t>
      </w:r>
      <w:r w:rsidR="002937C5">
        <w:rPr>
          <w:rFonts w:ascii="Arial" w:hAnsi="Arial" w:cs="Arial"/>
          <w:sz w:val="20"/>
          <w:szCs w:val="20"/>
        </w:rPr>
        <w:t xml:space="preserve"> </w:t>
      </w:r>
      <w:r w:rsidR="00251C04" w:rsidRPr="00E362C3">
        <w:rPr>
          <w:rFonts w:ascii="Arial" w:hAnsi="Arial" w:cs="Arial"/>
          <w:sz w:val="20"/>
          <w:szCs w:val="20"/>
        </w:rPr>
        <w:t>prvi korak k uresničitvi ustavne odločbe in sicer v delu, ki se nanaša na vzpostavitev ustreznih razmerij v vrednotenju funkcij vseh treh vej oblasti oziroma relativno primerljivost uvrstitev nosilcev vseh treh vej oblasti v plačne razrede. Pri tem je bilo predvideno zvišanje za prvostopenjske sodnike za +3 plačne razrede (12%), za sodnike na drugi stopnji (višje sodišče) +2 plačna razreda (8%), za sodnike na Vrhovnem sodišču +1 plačni razred (4%) in za predsednika Vrhovnega sodišča – 0, kar bi pomenil</w:t>
      </w:r>
      <w:r w:rsidR="00F85B48">
        <w:rPr>
          <w:rFonts w:ascii="Arial" w:hAnsi="Arial" w:cs="Arial"/>
          <w:sz w:val="20"/>
          <w:szCs w:val="20"/>
        </w:rPr>
        <w:t>o</w:t>
      </w:r>
      <w:r w:rsidR="00251C04" w:rsidRPr="00E362C3">
        <w:rPr>
          <w:rFonts w:ascii="Arial" w:hAnsi="Arial" w:cs="Arial"/>
          <w:sz w:val="20"/>
          <w:szCs w:val="20"/>
        </w:rPr>
        <w:t xml:space="preserve">, da </w:t>
      </w:r>
      <w:r w:rsidR="00251C04" w:rsidRPr="00A625ED">
        <w:rPr>
          <w:rFonts w:ascii="Arial" w:hAnsi="Arial" w:cs="Arial"/>
          <w:sz w:val="20"/>
          <w:szCs w:val="20"/>
        </w:rPr>
        <w:t>bi le ta ostal izenačen z funkcionarji nosilci drugih dveh vej oblasti.</w:t>
      </w:r>
    </w:p>
    <w:p w:rsidR="0084048F" w:rsidRPr="00044BBA" w:rsidRDefault="00412205" w:rsidP="00E362C3">
      <w:pPr>
        <w:jc w:val="both"/>
        <w:rPr>
          <w:rFonts w:ascii="Arial" w:hAnsi="Arial" w:cs="Arial"/>
          <w:b/>
          <w:sz w:val="20"/>
          <w:szCs w:val="20"/>
        </w:rPr>
      </w:pPr>
      <w:r w:rsidRPr="00044BBA">
        <w:rPr>
          <w:rFonts w:ascii="Arial" w:hAnsi="Arial" w:cs="Arial"/>
          <w:b/>
          <w:sz w:val="20"/>
          <w:szCs w:val="20"/>
        </w:rPr>
        <w:t xml:space="preserve">Vlada je </w:t>
      </w:r>
      <w:r w:rsidR="00E362C3" w:rsidRPr="00044BBA">
        <w:rPr>
          <w:rFonts w:ascii="Arial" w:hAnsi="Arial" w:cs="Arial"/>
          <w:b/>
          <w:sz w:val="20"/>
          <w:szCs w:val="20"/>
        </w:rPr>
        <w:t xml:space="preserve">torej v zakonu </w:t>
      </w:r>
      <w:r w:rsidRPr="00044BBA">
        <w:rPr>
          <w:rFonts w:ascii="Arial" w:hAnsi="Arial" w:cs="Arial"/>
          <w:b/>
          <w:sz w:val="20"/>
          <w:szCs w:val="20"/>
        </w:rPr>
        <w:t>največje zvišanje pred</w:t>
      </w:r>
      <w:r w:rsidR="00251C04" w:rsidRPr="00044BBA">
        <w:rPr>
          <w:rFonts w:ascii="Arial" w:hAnsi="Arial" w:cs="Arial"/>
          <w:b/>
          <w:sz w:val="20"/>
          <w:szCs w:val="20"/>
        </w:rPr>
        <w:t>videla za prvostopenjske sodnike</w:t>
      </w:r>
      <w:r w:rsidRPr="00044BBA">
        <w:rPr>
          <w:rFonts w:ascii="Arial" w:hAnsi="Arial" w:cs="Arial"/>
          <w:b/>
          <w:sz w:val="20"/>
          <w:szCs w:val="20"/>
        </w:rPr>
        <w:t xml:space="preserve">, katerih osnovne plače </w:t>
      </w:r>
      <w:r w:rsidR="00E362C3" w:rsidRPr="00044BBA">
        <w:rPr>
          <w:rFonts w:ascii="Arial" w:hAnsi="Arial" w:cs="Arial"/>
          <w:b/>
          <w:sz w:val="20"/>
          <w:szCs w:val="20"/>
        </w:rPr>
        <w:t>-</w:t>
      </w:r>
      <w:r w:rsidRPr="00044BBA">
        <w:rPr>
          <w:rFonts w:ascii="Arial" w:hAnsi="Arial" w:cs="Arial"/>
          <w:b/>
          <w:sz w:val="20"/>
          <w:szCs w:val="20"/>
        </w:rPr>
        <w:t xml:space="preserve"> kot je v svoji prvotni odločbi ugotovilo US RS</w:t>
      </w:r>
      <w:r w:rsidR="00E362C3" w:rsidRPr="00044BBA">
        <w:rPr>
          <w:rFonts w:ascii="Arial" w:hAnsi="Arial" w:cs="Arial"/>
          <w:b/>
          <w:sz w:val="20"/>
          <w:szCs w:val="20"/>
        </w:rPr>
        <w:t xml:space="preserve"> -</w:t>
      </w:r>
      <w:r w:rsidRPr="00044BBA">
        <w:rPr>
          <w:rFonts w:ascii="Arial" w:hAnsi="Arial" w:cs="Arial"/>
          <w:b/>
          <w:sz w:val="20"/>
          <w:szCs w:val="20"/>
        </w:rPr>
        <w:t xml:space="preserve"> najbolj odstopajo od plač drugih funkcionarjev. Za sodnike vrhovnih sodišč je po drugi strani že Ustavno sodišče samo ugotovilo, da je bila njihova plače že sedaj primerljiva s plačo drugih najvišjih funkcionarjev. Po Dopolnilni odločbi </w:t>
      </w:r>
      <w:r w:rsidR="00251C04" w:rsidRPr="00044BBA">
        <w:rPr>
          <w:rFonts w:ascii="Arial" w:hAnsi="Arial" w:cs="Arial"/>
          <w:b/>
          <w:sz w:val="20"/>
          <w:szCs w:val="20"/>
        </w:rPr>
        <w:t>predvideno zvišanje v odsto</w:t>
      </w:r>
      <w:r w:rsidRPr="00044BBA">
        <w:rPr>
          <w:rFonts w:ascii="Arial" w:hAnsi="Arial" w:cs="Arial"/>
          <w:b/>
          <w:sz w:val="20"/>
          <w:szCs w:val="20"/>
        </w:rPr>
        <w:t>tku pa v praksi pomeni nesorazmerno zvišanje plače prav za te, najbolje plačane sodnike, medtem ko se plača prvos</w:t>
      </w:r>
      <w:r w:rsidR="00251C04" w:rsidRPr="00044BBA">
        <w:rPr>
          <w:rFonts w:ascii="Arial" w:hAnsi="Arial" w:cs="Arial"/>
          <w:b/>
          <w:sz w:val="20"/>
          <w:szCs w:val="20"/>
        </w:rPr>
        <w:t>tope</w:t>
      </w:r>
      <w:r w:rsidRPr="00044BBA">
        <w:rPr>
          <w:rFonts w:ascii="Arial" w:hAnsi="Arial" w:cs="Arial"/>
          <w:b/>
          <w:sz w:val="20"/>
          <w:szCs w:val="20"/>
        </w:rPr>
        <w:t>njskih sodnikov ne bo povečala za več, kot je bilo predvideno v predlogu vladnega zakona.</w:t>
      </w:r>
      <w:r w:rsidR="00E362C3" w:rsidRPr="00044BB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8B1AFA" w:rsidRPr="00044BBA" w:rsidRDefault="00E362C3" w:rsidP="00A625ED">
      <w:pPr>
        <w:jc w:val="both"/>
        <w:rPr>
          <w:rFonts w:ascii="Arial" w:hAnsi="Arial" w:cs="Arial"/>
          <w:b/>
          <w:sz w:val="20"/>
          <w:szCs w:val="20"/>
        </w:rPr>
      </w:pPr>
      <w:r w:rsidRPr="00044BBA">
        <w:rPr>
          <w:rFonts w:ascii="Arial" w:hAnsi="Arial" w:cs="Arial"/>
          <w:b/>
          <w:sz w:val="20"/>
          <w:szCs w:val="20"/>
        </w:rPr>
        <w:t>Rešitev, ki jo je predvidela vlada,</w:t>
      </w:r>
      <w:r w:rsidR="0084048F" w:rsidRPr="00044BBA">
        <w:rPr>
          <w:rFonts w:ascii="Arial" w:hAnsi="Arial" w:cs="Arial"/>
          <w:b/>
          <w:sz w:val="20"/>
          <w:szCs w:val="20"/>
        </w:rPr>
        <w:t xml:space="preserve"> je </w:t>
      </w:r>
      <w:r w:rsidRPr="00044BBA">
        <w:rPr>
          <w:rFonts w:ascii="Arial" w:hAnsi="Arial" w:cs="Arial"/>
          <w:b/>
          <w:sz w:val="20"/>
          <w:szCs w:val="20"/>
        </w:rPr>
        <w:t xml:space="preserve">sicer </w:t>
      </w:r>
      <w:r w:rsidR="0084048F" w:rsidRPr="00044BBA">
        <w:rPr>
          <w:rFonts w:ascii="Arial" w:hAnsi="Arial" w:cs="Arial"/>
          <w:b/>
          <w:sz w:val="20"/>
          <w:szCs w:val="20"/>
        </w:rPr>
        <w:t xml:space="preserve">tako </w:t>
      </w:r>
      <w:r w:rsidRPr="00044BBA">
        <w:rPr>
          <w:rFonts w:ascii="Arial" w:hAnsi="Arial" w:cs="Arial"/>
          <w:b/>
          <w:sz w:val="20"/>
          <w:szCs w:val="20"/>
        </w:rPr>
        <w:t>kot odločitev Ustavn</w:t>
      </w:r>
      <w:r w:rsidR="0084048F" w:rsidRPr="00044BBA">
        <w:rPr>
          <w:rFonts w:ascii="Arial" w:hAnsi="Arial" w:cs="Arial"/>
          <w:b/>
          <w:sz w:val="20"/>
          <w:szCs w:val="20"/>
        </w:rPr>
        <w:t xml:space="preserve">ega sodišča pomenila samo delno odpravo ugotovljenih protiustavnosti, a na sistemski način, ki je bil sprejet tudi s strani ostalih sindikatov, ki sodelujejo v pogajanjih za celovito </w:t>
      </w:r>
      <w:r w:rsidR="0004705C" w:rsidRPr="00044BBA">
        <w:rPr>
          <w:rFonts w:ascii="Arial" w:hAnsi="Arial" w:cs="Arial"/>
          <w:b/>
          <w:sz w:val="20"/>
          <w:szCs w:val="20"/>
        </w:rPr>
        <w:t xml:space="preserve">prenova </w:t>
      </w:r>
      <w:r w:rsidR="0084048F" w:rsidRPr="00044BBA">
        <w:rPr>
          <w:rFonts w:ascii="Arial" w:hAnsi="Arial" w:cs="Arial"/>
          <w:b/>
          <w:sz w:val="20"/>
          <w:szCs w:val="20"/>
        </w:rPr>
        <w:t xml:space="preserve">plačnega sistema. Ta po </w:t>
      </w:r>
      <w:r w:rsidR="0084048F" w:rsidRPr="00044BBA">
        <w:rPr>
          <w:rFonts w:ascii="Arial" w:hAnsi="Arial" w:cs="Arial"/>
          <w:b/>
          <w:sz w:val="20"/>
          <w:szCs w:val="20"/>
        </w:rPr>
        <w:lastRenderedPageBreak/>
        <w:t>1.1.2024 predvideva znatno zvišanje plač sodnikov ter s tem celovito uresničitev prvotne ustavne odločbe.</w:t>
      </w:r>
      <w:r w:rsidR="00A625ED" w:rsidRPr="00044BBA">
        <w:rPr>
          <w:rFonts w:ascii="Arial" w:hAnsi="Arial" w:cs="Arial"/>
          <w:b/>
          <w:sz w:val="20"/>
          <w:szCs w:val="20"/>
        </w:rPr>
        <w:tab/>
      </w:r>
    </w:p>
    <w:sectPr w:rsidR="008B1AFA" w:rsidRPr="0004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00E69" w16cex:dateUtc="2024-06-21T12:36:00Z"/>
  <w16cex:commentExtensible w16cex:durableId="2A200EFD" w16cex:dateUtc="2024-06-21T12:38:00Z"/>
  <w16cex:commentExtensible w16cex:durableId="2A202443" w16cex:dateUtc="2024-06-21T14:09:00Z"/>
  <w16cex:commentExtensible w16cex:durableId="2A202495" w16cex:dateUtc="2024-06-2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256DCF" w16cid:durableId="2A200E69"/>
  <w16cid:commentId w16cid:paraId="193EE639" w16cid:durableId="2A200EFD"/>
  <w16cid:commentId w16cid:paraId="79FD798C" w16cid:durableId="2A202443"/>
  <w16cid:commentId w16cid:paraId="5D57B600" w16cid:durableId="2A2024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0E" w:rsidRDefault="0069280E" w:rsidP="00AB3F6B">
      <w:pPr>
        <w:spacing w:after="0" w:line="240" w:lineRule="auto"/>
      </w:pPr>
      <w:r>
        <w:separator/>
      </w:r>
    </w:p>
  </w:endnote>
  <w:endnote w:type="continuationSeparator" w:id="0">
    <w:p w:rsidR="0069280E" w:rsidRDefault="0069280E" w:rsidP="00AB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0E" w:rsidRDefault="0069280E" w:rsidP="00AB3F6B">
      <w:pPr>
        <w:spacing w:after="0" w:line="240" w:lineRule="auto"/>
      </w:pPr>
      <w:r>
        <w:separator/>
      </w:r>
    </w:p>
  </w:footnote>
  <w:footnote w:type="continuationSeparator" w:id="0">
    <w:p w:rsidR="0069280E" w:rsidRDefault="0069280E" w:rsidP="00AB3F6B">
      <w:pPr>
        <w:spacing w:after="0" w:line="240" w:lineRule="auto"/>
      </w:pPr>
      <w:r>
        <w:continuationSeparator/>
      </w:r>
    </w:p>
  </w:footnote>
  <w:footnote w:id="1">
    <w:p w:rsidR="002A6E0B" w:rsidRDefault="002A6E0B" w:rsidP="002A6E0B">
      <w:pPr>
        <w:pStyle w:val="Sprotnaopomba-besedilo"/>
        <w:jc w:val="both"/>
      </w:pPr>
      <w:r w:rsidRPr="00DF74FA">
        <w:rPr>
          <w:rStyle w:val="Sprotnaopomba-sklic"/>
          <w:rFonts w:ascii="Arial" w:hAnsi="Arial" w:cs="Arial"/>
          <w:sz w:val="16"/>
          <w:szCs w:val="16"/>
        </w:rPr>
        <w:footnoteRef/>
      </w:r>
      <w:r w:rsidRPr="00DF74FA">
        <w:rPr>
          <w:rFonts w:ascii="Arial" w:hAnsi="Arial" w:cs="Arial"/>
          <w:sz w:val="16"/>
          <w:szCs w:val="16"/>
        </w:rPr>
        <w:t xml:space="preserve"> Uradni list RS, št. 108/09 – uradno prečiščeno besedilo, 13/10, 59/10, 85/10, 107/10, 35/11 – ORZSPJS49a, 27/12 – </w:t>
      </w:r>
      <w:proofErr w:type="spellStart"/>
      <w:r w:rsidRPr="00DF74FA">
        <w:rPr>
          <w:rFonts w:ascii="Arial" w:hAnsi="Arial" w:cs="Arial"/>
          <w:sz w:val="16"/>
          <w:szCs w:val="16"/>
        </w:rPr>
        <w:t>odl</w:t>
      </w:r>
      <w:proofErr w:type="spellEnd"/>
      <w:r w:rsidRPr="00DF74FA">
        <w:rPr>
          <w:rFonts w:ascii="Arial" w:hAnsi="Arial" w:cs="Arial"/>
          <w:sz w:val="16"/>
          <w:szCs w:val="16"/>
        </w:rPr>
        <w:t xml:space="preserve">. US, 40/12 – ZUJF, 46/13, 25/14 – ZFU, 50/14, 95/14 – ZUPPJS15, 82/15, 23/17 – </w:t>
      </w:r>
      <w:proofErr w:type="spellStart"/>
      <w:r w:rsidRPr="00DF74FA">
        <w:rPr>
          <w:rFonts w:ascii="Arial" w:hAnsi="Arial" w:cs="Arial"/>
          <w:sz w:val="16"/>
          <w:szCs w:val="16"/>
        </w:rPr>
        <w:t>ZDOdv</w:t>
      </w:r>
      <w:proofErr w:type="spellEnd"/>
      <w:r w:rsidRPr="00DF74FA">
        <w:rPr>
          <w:rFonts w:ascii="Arial" w:hAnsi="Arial" w:cs="Arial"/>
          <w:sz w:val="16"/>
          <w:szCs w:val="16"/>
        </w:rPr>
        <w:t xml:space="preserve">, 67/17, 84/18, 204/21, 139/22, 38/24 in 48/24 – </w:t>
      </w:r>
      <w:proofErr w:type="spellStart"/>
      <w:r w:rsidRPr="00DF74FA">
        <w:rPr>
          <w:rFonts w:ascii="Arial" w:hAnsi="Arial" w:cs="Arial"/>
          <w:sz w:val="16"/>
          <w:szCs w:val="16"/>
        </w:rPr>
        <w:t>odl</w:t>
      </w:r>
      <w:proofErr w:type="spellEnd"/>
      <w:r w:rsidRPr="00DF74FA">
        <w:rPr>
          <w:rFonts w:ascii="Arial" w:hAnsi="Arial" w:cs="Arial"/>
          <w:sz w:val="16"/>
          <w:szCs w:val="16"/>
        </w:rPr>
        <w:t>. US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5B31"/>
    <w:multiLevelType w:val="hybridMultilevel"/>
    <w:tmpl w:val="D0F85A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086"/>
    <w:multiLevelType w:val="hybridMultilevel"/>
    <w:tmpl w:val="1DF21FAC"/>
    <w:lvl w:ilvl="0" w:tplc="5B52E0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5C8"/>
    <w:multiLevelType w:val="hybridMultilevel"/>
    <w:tmpl w:val="31A4B70E"/>
    <w:lvl w:ilvl="0" w:tplc="0D944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37A7"/>
    <w:multiLevelType w:val="hybridMultilevel"/>
    <w:tmpl w:val="AC72FEF8"/>
    <w:lvl w:ilvl="0" w:tplc="E56AA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0017E"/>
    <w:multiLevelType w:val="hybridMultilevel"/>
    <w:tmpl w:val="166C9628"/>
    <w:lvl w:ilvl="0" w:tplc="58D4201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B1"/>
    <w:rsid w:val="00044BBA"/>
    <w:rsid w:val="0004705C"/>
    <w:rsid w:val="00161D3A"/>
    <w:rsid w:val="0018045C"/>
    <w:rsid w:val="00211EA4"/>
    <w:rsid w:val="00215509"/>
    <w:rsid w:val="00251C04"/>
    <w:rsid w:val="002937C5"/>
    <w:rsid w:val="002A6036"/>
    <w:rsid w:val="002A6E0B"/>
    <w:rsid w:val="00337BF2"/>
    <w:rsid w:val="00410F6D"/>
    <w:rsid w:val="00412205"/>
    <w:rsid w:val="005B3DEC"/>
    <w:rsid w:val="0069280E"/>
    <w:rsid w:val="006E25D4"/>
    <w:rsid w:val="007656C1"/>
    <w:rsid w:val="007A6A80"/>
    <w:rsid w:val="0084048F"/>
    <w:rsid w:val="00873EB2"/>
    <w:rsid w:val="008B1AFA"/>
    <w:rsid w:val="008D593F"/>
    <w:rsid w:val="008F73BC"/>
    <w:rsid w:val="009111EE"/>
    <w:rsid w:val="009255A2"/>
    <w:rsid w:val="009C518D"/>
    <w:rsid w:val="00A625ED"/>
    <w:rsid w:val="00A75720"/>
    <w:rsid w:val="00AB3F6B"/>
    <w:rsid w:val="00B27B9B"/>
    <w:rsid w:val="00B439FB"/>
    <w:rsid w:val="00BB6B34"/>
    <w:rsid w:val="00C273B1"/>
    <w:rsid w:val="00C52A71"/>
    <w:rsid w:val="00C8049D"/>
    <w:rsid w:val="00D17B67"/>
    <w:rsid w:val="00D730E3"/>
    <w:rsid w:val="00DD4CFA"/>
    <w:rsid w:val="00DE6A9A"/>
    <w:rsid w:val="00E11F6A"/>
    <w:rsid w:val="00E35351"/>
    <w:rsid w:val="00E362C3"/>
    <w:rsid w:val="00F279BD"/>
    <w:rsid w:val="00F85B48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F3AB9-B6E2-4394-BA8B-535B8075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qFormat/>
    <w:rsid w:val="00BB6B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56C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656C1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3F6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3F6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3F6B"/>
    <w:rPr>
      <w:vertAlign w:val="superscript"/>
    </w:rPr>
  </w:style>
  <w:style w:type="table" w:styleId="Tabelamrea">
    <w:name w:val="Table Grid"/>
    <w:basedOn w:val="Navadnatabela"/>
    <w:uiPriority w:val="39"/>
    <w:rsid w:val="00A7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numbered list Znak"/>
    <w:link w:val="Odstavekseznama"/>
    <w:locked/>
    <w:rsid w:val="00A75720"/>
  </w:style>
  <w:style w:type="character" w:styleId="Pripombasklic">
    <w:name w:val="annotation reference"/>
    <w:basedOn w:val="Privzetapisavaodstavka"/>
    <w:uiPriority w:val="99"/>
    <w:semiHidden/>
    <w:unhideWhenUsed/>
    <w:rsid w:val="00E353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53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53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53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535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3535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3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Ahac</dc:creator>
  <cp:keywords/>
  <dc:description/>
  <cp:lastModifiedBy>Petra Aršič</cp:lastModifiedBy>
  <cp:revision>2</cp:revision>
  <cp:lastPrinted>2024-06-21T13:56:00Z</cp:lastPrinted>
  <dcterms:created xsi:type="dcterms:W3CDTF">2024-06-24T16:22:00Z</dcterms:created>
  <dcterms:modified xsi:type="dcterms:W3CDTF">2024-06-24T16:22:00Z</dcterms:modified>
</cp:coreProperties>
</file>