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374D" w14:textId="77777777" w:rsidR="009B1C31" w:rsidRPr="000D1A39" w:rsidRDefault="009B1C31" w:rsidP="009B1C31">
      <w:pPr>
        <w:pStyle w:val="datumtevilka"/>
      </w:pPr>
      <w:bookmarkStart w:id="0" w:name="_Hlk61014710"/>
      <w:bookmarkEnd w:id="0"/>
      <w:r w:rsidRPr="000D1A39">
        <w:rPr>
          <w:rFonts w:cs="Arial"/>
          <w:color w:val="000000"/>
        </w:rPr>
        <w:t>Ljubljana,</w:t>
      </w:r>
      <w:r>
        <w:rPr>
          <w:rFonts w:cs="Arial"/>
          <w:color w:val="000000"/>
        </w:rPr>
        <w:t xml:space="preserve"> </w:t>
      </w:r>
      <w:r w:rsidR="00AC5CF4">
        <w:rPr>
          <w:rFonts w:cs="Arial"/>
          <w:color w:val="000000"/>
        </w:rPr>
        <w:t>9. 2. 2026</w:t>
      </w:r>
    </w:p>
    <w:p w14:paraId="5EE97EBB" w14:textId="77777777" w:rsidR="009B1C31" w:rsidRDefault="009B1C31" w:rsidP="009B1C31">
      <w:pPr>
        <w:autoSpaceDE w:val="0"/>
        <w:autoSpaceDN w:val="0"/>
        <w:adjustRightInd w:val="0"/>
        <w:rPr>
          <w:rFonts w:cs="Arial"/>
          <w:color w:val="000000"/>
          <w:szCs w:val="20"/>
        </w:rPr>
      </w:pPr>
    </w:p>
    <w:p w14:paraId="3EAFAC24" w14:textId="77777777" w:rsidR="009B1C31" w:rsidRPr="000D1A39" w:rsidRDefault="009B1C31" w:rsidP="009B1C31">
      <w:pPr>
        <w:autoSpaceDE w:val="0"/>
        <w:autoSpaceDN w:val="0"/>
        <w:adjustRightInd w:val="0"/>
        <w:rPr>
          <w:rFonts w:cs="Arial"/>
          <w:color w:val="000000"/>
          <w:szCs w:val="20"/>
        </w:rPr>
      </w:pPr>
    </w:p>
    <w:p w14:paraId="746BC39B" w14:textId="77777777" w:rsidR="009D275B" w:rsidRDefault="00AC5CF4" w:rsidP="009D275B">
      <w:pPr>
        <w:autoSpaceDE w:val="0"/>
        <w:autoSpaceDN w:val="0"/>
        <w:adjustRightInd w:val="0"/>
        <w:jc w:val="both"/>
        <w:rPr>
          <w:rFonts w:eastAsia="Calibri" w:cs="Arial"/>
          <w:color w:val="000000"/>
          <w:szCs w:val="20"/>
        </w:rPr>
      </w:pPr>
      <w:r>
        <w:rPr>
          <w:rFonts w:cs="Arial"/>
          <w:b/>
          <w:bCs/>
          <w:color w:val="000000"/>
          <w:szCs w:val="20"/>
          <w:lang w:eastAsia="sl-SI"/>
        </w:rPr>
        <w:t>PREČIŠČEN PREDLOG DNEVNEGA REDA</w:t>
      </w:r>
      <w:r w:rsidR="009B1C31" w:rsidRPr="000D1A39">
        <w:rPr>
          <w:rFonts w:cs="Arial"/>
          <w:b/>
          <w:bCs/>
          <w:color w:val="000000"/>
          <w:sz w:val="24"/>
          <w:lang w:eastAsia="sl-SI"/>
        </w:rPr>
        <w:t xml:space="preserve"> </w:t>
      </w:r>
      <w:r>
        <w:rPr>
          <w:rFonts w:cs="Arial"/>
          <w:b/>
          <w:bCs/>
          <w:color w:val="000000"/>
          <w:szCs w:val="20"/>
        </w:rPr>
        <w:t>191. REDNE SEJE</w:t>
      </w:r>
      <w:r w:rsidR="009B1C31" w:rsidRPr="000D1A39">
        <w:rPr>
          <w:rFonts w:cs="Arial"/>
          <w:b/>
          <w:bCs/>
          <w:color w:val="000000"/>
          <w:szCs w:val="20"/>
        </w:rPr>
        <w:t xml:space="preserve"> VLADE REPUBLIKE SLOVENIJE, </w:t>
      </w:r>
      <w:r>
        <w:rPr>
          <w:rFonts w:cs="Arial"/>
          <w:b/>
          <w:bCs/>
          <w:color w:val="000000"/>
          <w:szCs w:val="20"/>
        </w:rPr>
        <w:t>TOREK, 10. 2. 2026, OB 9.30</w:t>
      </w:r>
      <w:r w:rsidR="009D275B">
        <w:rPr>
          <w:rFonts w:cs="Arial"/>
          <w:b/>
          <w:bCs/>
          <w:color w:val="000000"/>
          <w:szCs w:val="20"/>
        </w:rPr>
        <w:t>,</w:t>
      </w:r>
      <w:r w:rsidR="009D275B">
        <w:rPr>
          <w:rFonts w:eastAsia="Calibri" w:cs="Arial"/>
          <w:b/>
          <w:color w:val="000000"/>
          <w:szCs w:val="20"/>
        </w:rPr>
        <w:t xml:space="preserve"> </w:t>
      </w:r>
      <w:r w:rsidR="009D275B">
        <w:rPr>
          <w:rFonts w:eastAsiaTheme="minorHAnsi" w:cs="Arial"/>
          <w:b/>
          <w:bCs/>
          <w:iCs/>
          <w:color w:val="000000"/>
          <w:szCs w:val="20"/>
        </w:rPr>
        <w:t xml:space="preserve">RADOVLJIŠKA GRAŠČINA, LINHARTOV </w:t>
      </w:r>
      <w:r w:rsidR="009D275B">
        <w:rPr>
          <w:rFonts w:eastAsiaTheme="minorHAnsi" w:cs="Arial"/>
          <w:b/>
          <w:bCs/>
          <w:iCs/>
          <w:color w:val="000000"/>
          <w:szCs w:val="20"/>
        </w:rPr>
        <w:br/>
        <w:t>TRG 1, RADOVLJICA</w:t>
      </w:r>
    </w:p>
    <w:p w14:paraId="653C0C0A" w14:textId="77777777" w:rsidR="009B1C31" w:rsidRPr="000D1A39" w:rsidRDefault="009B1C31" w:rsidP="009B1C31">
      <w:pPr>
        <w:autoSpaceDE w:val="0"/>
        <w:autoSpaceDN w:val="0"/>
        <w:adjustRightInd w:val="0"/>
        <w:jc w:val="both"/>
        <w:rPr>
          <w:rFonts w:cs="Arial"/>
          <w:b/>
          <w:bCs/>
          <w:color w:val="000000"/>
          <w:szCs w:val="20"/>
        </w:rPr>
      </w:pPr>
    </w:p>
    <w:p w14:paraId="4BA6C9DA" w14:textId="77777777" w:rsidR="009B1C31" w:rsidRPr="000D1A39" w:rsidRDefault="009B1C31" w:rsidP="009B1C31">
      <w:pPr>
        <w:autoSpaceDE w:val="0"/>
        <w:autoSpaceDN w:val="0"/>
        <w:adjustRightInd w:val="0"/>
        <w:jc w:val="both"/>
        <w:rPr>
          <w:rFonts w:cs="Arial"/>
          <w:bCs/>
          <w:color w:val="000000"/>
          <w:szCs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88"/>
      </w:tblGrid>
      <w:tr w:rsidR="00AC5CF4" w:rsidRPr="0097743F" w14:paraId="44F6F9DA" w14:textId="77777777" w:rsidTr="003B7D03">
        <w:tc>
          <w:tcPr>
            <w:tcW w:w="567" w:type="dxa"/>
            <w:tcBorders>
              <w:top w:val="nil"/>
              <w:left w:val="nil"/>
              <w:bottom w:val="nil"/>
              <w:right w:val="nil"/>
            </w:tcBorders>
          </w:tcPr>
          <w:p w14:paraId="589A9173" w14:textId="4156CDE8" w:rsidR="00AC5CF4" w:rsidRPr="0097743F" w:rsidRDefault="00AC5CF4" w:rsidP="00F43F74">
            <w:pPr>
              <w:jc w:val="both"/>
              <w:rPr>
                <w:rFonts w:cs="Arial"/>
                <w:szCs w:val="20"/>
              </w:rPr>
            </w:pPr>
          </w:p>
        </w:tc>
        <w:tc>
          <w:tcPr>
            <w:tcW w:w="7888" w:type="dxa"/>
            <w:tcBorders>
              <w:top w:val="nil"/>
              <w:left w:val="nil"/>
              <w:bottom w:val="nil"/>
              <w:right w:val="nil"/>
            </w:tcBorders>
          </w:tcPr>
          <w:p w14:paraId="4E05861E" w14:textId="4FCB3255" w:rsidR="00AC5CF4" w:rsidRPr="0097743F" w:rsidRDefault="00AC5CF4" w:rsidP="003A4B9B">
            <w:pPr>
              <w:jc w:val="both"/>
              <w:rPr>
                <w:rFonts w:cs="Arial"/>
                <w:szCs w:val="20"/>
              </w:rPr>
            </w:pPr>
          </w:p>
        </w:tc>
      </w:tr>
    </w:tbl>
    <w:p w14:paraId="51DBE893" w14:textId="77777777" w:rsidR="00AC5CF4" w:rsidRPr="0097743F" w:rsidRDefault="00AC5CF4" w:rsidP="00F43F74">
      <w:pPr>
        <w:jc w:val="both"/>
        <w:rPr>
          <w:rFonts w:cs="Arial"/>
          <w:szCs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88"/>
      </w:tblGrid>
      <w:tr w:rsidR="00AC5CF4" w:rsidRPr="0097743F" w14:paraId="0BC10A13" w14:textId="77777777" w:rsidTr="003B7D03">
        <w:tc>
          <w:tcPr>
            <w:tcW w:w="567" w:type="dxa"/>
            <w:tcBorders>
              <w:top w:val="nil"/>
              <w:left w:val="nil"/>
              <w:bottom w:val="nil"/>
              <w:right w:val="nil"/>
            </w:tcBorders>
          </w:tcPr>
          <w:p w14:paraId="7C763B12" w14:textId="77777777" w:rsidR="00AC5CF4" w:rsidRPr="0097743F" w:rsidRDefault="00AC5CF4" w:rsidP="00F43F74">
            <w:pPr>
              <w:jc w:val="both"/>
              <w:rPr>
                <w:rFonts w:cs="Arial"/>
                <w:szCs w:val="20"/>
              </w:rPr>
            </w:pPr>
            <w:r>
              <w:rPr>
                <w:rStyle w:val="left"/>
                <w:rFonts w:cs="Arial"/>
                <w:b/>
                <w:color w:val="000000"/>
                <w:szCs w:val="20"/>
              </w:rPr>
              <w:t>I.</w:t>
            </w:r>
          </w:p>
        </w:tc>
        <w:tc>
          <w:tcPr>
            <w:tcW w:w="7888" w:type="dxa"/>
            <w:tcBorders>
              <w:top w:val="nil"/>
              <w:left w:val="nil"/>
              <w:bottom w:val="nil"/>
              <w:right w:val="nil"/>
            </w:tcBorders>
          </w:tcPr>
          <w:p w14:paraId="5EC5226A" w14:textId="77777777" w:rsidR="00AC5CF4" w:rsidRDefault="00AC5CF4" w:rsidP="00C9423B">
            <w:pPr>
              <w:jc w:val="both"/>
              <w:rPr>
                <w:rStyle w:val="left"/>
                <w:rFonts w:cs="Arial"/>
                <w:b/>
                <w:color w:val="000000"/>
                <w:szCs w:val="20"/>
              </w:rPr>
            </w:pPr>
            <w:r>
              <w:rPr>
                <w:rStyle w:val="left"/>
                <w:rFonts w:cs="Arial"/>
                <w:b/>
                <w:color w:val="000000"/>
                <w:szCs w:val="20"/>
              </w:rPr>
              <w:t>LISTA A</w:t>
            </w:r>
          </w:p>
          <w:p w14:paraId="4BC62688" w14:textId="77777777" w:rsidR="009D275B" w:rsidRPr="0097743F" w:rsidRDefault="009D275B" w:rsidP="00C9423B">
            <w:pPr>
              <w:jc w:val="both"/>
              <w:rPr>
                <w:rFonts w:cs="Arial"/>
                <w:szCs w:val="20"/>
              </w:rPr>
            </w:pPr>
          </w:p>
        </w:tc>
      </w:tr>
      <w:tr w:rsidR="00AC5CF4" w:rsidRPr="0097743F" w14:paraId="6615882B" w14:textId="77777777" w:rsidTr="003B7D03">
        <w:tc>
          <w:tcPr>
            <w:tcW w:w="567" w:type="dxa"/>
            <w:tcBorders>
              <w:top w:val="nil"/>
              <w:left w:val="nil"/>
              <w:bottom w:val="nil"/>
              <w:right w:val="nil"/>
            </w:tcBorders>
          </w:tcPr>
          <w:p w14:paraId="07AC2624" w14:textId="77777777" w:rsidR="00AC5CF4" w:rsidRPr="0097743F" w:rsidRDefault="00AC5CF4" w:rsidP="00F43F74">
            <w:pPr>
              <w:jc w:val="both"/>
              <w:rPr>
                <w:rFonts w:cs="Arial"/>
                <w:szCs w:val="20"/>
              </w:rPr>
            </w:pPr>
            <w:r>
              <w:rPr>
                <w:rFonts w:cs="Arial"/>
                <w:szCs w:val="20"/>
              </w:rPr>
              <w:t>1.1.</w:t>
            </w:r>
          </w:p>
        </w:tc>
        <w:tc>
          <w:tcPr>
            <w:tcW w:w="7888" w:type="dxa"/>
            <w:tcBorders>
              <w:top w:val="nil"/>
              <w:left w:val="nil"/>
              <w:bottom w:val="nil"/>
              <w:right w:val="nil"/>
            </w:tcBorders>
          </w:tcPr>
          <w:p w14:paraId="723FDF22" w14:textId="77777777" w:rsidR="00AC5CF4" w:rsidRDefault="00AC5CF4" w:rsidP="004A68D9">
            <w:pPr>
              <w:jc w:val="both"/>
              <w:rPr>
                <w:rFonts w:cs="Arial"/>
                <w:szCs w:val="20"/>
              </w:rPr>
            </w:pPr>
            <w:r>
              <w:rPr>
                <w:rFonts w:cs="Arial"/>
                <w:color w:val="000000"/>
                <w:szCs w:val="20"/>
              </w:rPr>
              <w:t xml:space="preserve">Predlog uredbe o rudarski pravici za izkoriščanje mineralne surovine tehnični kamen dolomit v pridobivalnem prostoru Mala gora 3 v občini Sodražica, 00704-38/2026 </w:t>
            </w:r>
            <w:r w:rsidR="009D275B">
              <w:rPr>
                <w:rFonts w:cs="Arial"/>
                <w:color w:val="000000"/>
                <w:szCs w:val="20"/>
              </w:rPr>
              <w:br/>
            </w:r>
            <w:r>
              <w:rPr>
                <w:rFonts w:cs="Arial"/>
                <w:color w:val="000000"/>
                <w:szCs w:val="20"/>
              </w:rPr>
              <w:t>(EVA: 2025-2560-0034)</w:t>
            </w:r>
          </w:p>
          <w:p w14:paraId="17601410" w14:textId="77777777" w:rsidR="00AC5CF4" w:rsidRDefault="00AC5CF4" w:rsidP="004A68D9">
            <w:pPr>
              <w:jc w:val="both"/>
              <w:rPr>
                <w:rFonts w:cs="Arial"/>
                <w:color w:val="000000"/>
                <w:szCs w:val="20"/>
              </w:rPr>
            </w:pPr>
            <w:r>
              <w:rPr>
                <w:rFonts w:cs="Arial"/>
                <w:szCs w:val="20"/>
              </w:rPr>
              <w:t>Poročevalec: Jože Novak</w:t>
            </w:r>
          </w:p>
          <w:p w14:paraId="5BEE7544" w14:textId="77777777" w:rsidR="00AC5CF4" w:rsidRPr="0097743F" w:rsidRDefault="00AC5CF4" w:rsidP="004A68D9">
            <w:pPr>
              <w:jc w:val="both"/>
              <w:rPr>
                <w:rFonts w:cs="Arial"/>
                <w:szCs w:val="20"/>
              </w:rPr>
            </w:pPr>
            <w:r>
              <w:rPr>
                <w:rFonts w:cs="Arial"/>
                <w:color w:val="000000"/>
                <w:szCs w:val="20"/>
              </w:rPr>
              <w:t xml:space="preserve"> </w:t>
            </w:r>
          </w:p>
        </w:tc>
      </w:tr>
      <w:tr w:rsidR="00AC5CF4" w:rsidRPr="0097743F" w14:paraId="1B4875E7" w14:textId="77777777" w:rsidTr="003B7D03">
        <w:tc>
          <w:tcPr>
            <w:tcW w:w="567" w:type="dxa"/>
            <w:tcBorders>
              <w:top w:val="nil"/>
              <w:left w:val="nil"/>
              <w:bottom w:val="nil"/>
              <w:right w:val="nil"/>
            </w:tcBorders>
          </w:tcPr>
          <w:p w14:paraId="6315CAFC" w14:textId="77777777" w:rsidR="00AC5CF4" w:rsidRPr="0097743F" w:rsidRDefault="00AC5CF4" w:rsidP="00F43F74">
            <w:pPr>
              <w:jc w:val="both"/>
              <w:rPr>
                <w:rFonts w:cs="Arial"/>
                <w:szCs w:val="20"/>
              </w:rPr>
            </w:pPr>
            <w:r>
              <w:rPr>
                <w:rFonts w:cs="Arial"/>
                <w:szCs w:val="20"/>
              </w:rPr>
              <w:t>1.2.</w:t>
            </w:r>
          </w:p>
        </w:tc>
        <w:tc>
          <w:tcPr>
            <w:tcW w:w="7888" w:type="dxa"/>
            <w:tcBorders>
              <w:top w:val="nil"/>
              <w:left w:val="nil"/>
              <w:bottom w:val="nil"/>
              <w:right w:val="nil"/>
            </w:tcBorders>
          </w:tcPr>
          <w:p w14:paraId="56191EEE" w14:textId="77777777" w:rsidR="00AC5CF4" w:rsidRDefault="00AC5CF4" w:rsidP="004A68D9">
            <w:pPr>
              <w:jc w:val="both"/>
              <w:rPr>
                <w:rFonts w:cs="Arial"/>
                <w:szCs w:val="20"/>
              </w:rPr>
            </w:pPr>
            <w:r>
              <w:rPr>
                <w:rFonts w:cs="Arial"/>
                <w:color w:val="000000"/>
                <w:szCs w:val="20"/>
              </w:rPr>
              <w:t xml:space="preserve">Predlog uredbe o rudarski pravici za izkoriščanje mineralne surovine roženec v pridobivalnem prostoru Jersovec IIb v občini Mirna, 00704-40/2026 </w:t>
            </w:r>
            <w:r w:rsidR="009D275B">
              <w:rPr>
                <w:rFonts w:cs="Arial"/>
                <w:color w:val="000000"/>
                <w:szCs w:val="20"/>
              </w:rPr>
              <w:br/>
            </w:r>
            <w:r>
              <w:rPr>
                <w:rFonts w:cs="Arial"/>
                <w:color w:val="000000"/>
                <w:szCs w:val="20"/>
              </w:rPr>
              <w:t>(EVA: 2025-2560-0030)</w:t>
            </w:r>
          </w:p>
          <w:p w14:paraId="1CC47431" w14:textId="77777777" w:rsidR="00AC5CF4" w:rsidRDefault="00AC5CF4" w:rsidP="004A68D9">
            <w:pPr>
              <w:jc w:val="both"/>
              <w:rPr>
                <w:rFonts w:cs="Arial"/>
                <w:color w:val="000000"/>
                <w:szCs w:val="20"/>
              </w:rPr>
            </w:pPr>
            <w:r>
              <w:rPr>
                <w:rFonts w:cs="Arial"/>
                <w:szCs w:val="20"/>
              </w:rPr>
              <w:t>Poročevalec: Jože Novak</w:t>
            </w:r>
          </w:p>
          <w:p w14:paraId="37AA4C93" w14:textId="77777777" w:rsidR="00AC5CF4" w:rsidRPr="0097743F" w:rsidRDefault="00AC5CF4" w:rsidP="004A68D9">
            <w:pPr>
              <w:jc w:val="both"/>
              <w:rPr>
                <w:rFonts w:cs="Arial"/>
                <w:szCs w:val="20"/>
              </w:rPr>
            </w:pPr>
            <w:r>
              <w:rPr>
                <w:rFonts w:cs="Arial"/>
                <w:color w:val="000000"/>
                <w:szCs w:val="20"/>
              </w:rPr>
              <w:t xml:space="preserve"> </w:t>
            </w:r>
          </w:p>
        </w:tc>
      </w:tr>
      <w:tr w:rsidR="00AC5CF4" w:rsidRPr="0097743F" w14:paraId="026FD293" w14:textId="77777777" w:rsidTr="003B7D03">
        <w:tc>
          <w:tcPr>
            <w:tcW w:w="567" w:type="dxa"/>
            <w:tcBorders>
              <w:top w:val="nil"/>
              <w:left w:val="nil"/>
              <w:bottom w:val="nil"/>
              <w:right w:val="nil"/>
            </w:tcBorders>
          </w:tcPr>
          <w:p w14:paraId="45DFD1DF" w14:textId="77777777" w:rsidR="00AC5CF4" w:rsidRPr="0097743F" w:rsidRDefault="00AC5CF4" w:rsidP="00F43F74">
            <w:pPr>
              <w:jc w:val="both"/>
              <w:rPr>
                <w:rFonts w:cs="Arial"/>
                <w:szCs w:val="20"/>
              </w:rPr>
            </w:pPr>
            <w:r>
              <w:rPr>
                <w:rFonts w:cs="Arial"/>
                <w:szCs w:val="20"/>
              </w:rPr>
              <w:t>1.3.</w:t>
            </w:r>
          </w:p>
        </w:tc>
        <w:tc>
          <w:tcPr>
            <w:tcW w:w="7888" w:type="dxa"/>
            <w:tcBorders>
              <w:top w:val="nil"/>
              <w:left w:val="nil"/>
              <w:bottom w:val="nil"/>
              <w:right w:val="nil"/>
            </w:tcBorders>
          </w:tcPr>
          <w:p w14:paraId="36831F45" w14:textId="77777777" w:rsidR="00AC5CF4" w:rsidRDefault="00AC5CF4" w:rsidP="004A68D9">
            <w:pPr>
              <w:jc w:val="both"/>
              <w:rPr>
                <w:rFonts w:cs="Arial"/>
                <w:szCs w:val="20"/>
              </w:rPr>
            </w:pPr>
            <w:r>
              <w:rPr>
                <w:rFonts w:cs="Arial"/>
                <w:color w:val="000000"/>
                <w:szCs w:val="20"/>
              </w:rPr>
              <w:t>Predlog uredbe o spremembi Uredbe o podelitvi rudarske pravice za izkoriščanje mineralne surovine tehnični kamen – dolomit v pridobivalnem prostoru Poljane 2 v občini Rečica ob Savinji, 00704-416/2025 (EVA: 2025-2560-0057)</w:t>
            </w:r>
          </w:p>
          <w:p w14:paraId="5F5369F0" w14:textId="77777777" w:rsidR="00AC5CF4" w:rsidRDefault="00AC5CF4" w:rsidP="004A68D9">
            <w:pPr>
              <w:jc w:val="both"/>
              <w:rPr>
                <w:rFonts w:cs="Arial"/>
                <w:color w:val="000000"/>
                <w:szCs w:val="20"/>
              </w:rPr>
            </w:pPr>
            <w:r>
              <w:rPr>
                <w:rFonts w:cs="Arial"/>
                <w:szCs w:val="20"/>
              </w:rPr>
              <w:t>Poročevalec: Jože Novak</w:t>
            </w:r>
          </w:p>
          <w:p w14:paraId="1E140E28" w14:textId="77777777" w:rsidR="00AC5CF4" w:rsidRPr="0097743F" w:rsidRDefault="00AC5CF4" w:rsidP="004A68D9">
            <w:pPr>
              <w:jc w:val="both"/>
              <w:rPr>
                <w:rFonts w:cs="Arial"/>
                <w:szCs w:val="20"/>
              </w:rPr>
            </w:pPr>
            <w:r>
              <w:rPr>
                <w:rFonts w:cs="Arial"/>
                <w:color w:val="000000"/>
                <w:szCs w:val="20"/>
              </w:rPr>
              <w:t xml:space="preserve"> </w:t>
            </w:r>
          </w:p>
        </w:tc>
      </w:tr>
      <w:tr w:rsidR="00AC5CF4" w:rsidRPr="0097743F" w14:paraId="47D96D2C" w14:textId="77777777" w:rsidTr="003B7D03">
        <w:tc>
          <w:tcPr>
            <w:tcW w:w="567" w:type="dxa"/>
            <w:tcBorders>
              <w:top w:val="nil"/>
              <w:left w:val="nil"/>
              <w:bottom w:val="nil"/>
              <w:right w:val="nil"/>
            </w:tcBorders>
          </w:tcPr>
          <w:p w14:paraId="16EE142B" w14:textId="77777777" w:rsidR="00AC5CF4" w:rsidRPr="0097743F" w:rsidRDefault="00AC5CF4" w:rsidP="00F43F74">
            <w:pPr>
              <w:jc w:val="both"/>
              <w:rPr>
                <w:rFonts w:cs="Arial"/>
                <w:szCs w:val="20"/>
              </w:rPr>
            </w:pPr>
            <w:r>
              <w:rPr>
                <w:rFonts w:cs="Arial"/>
                <w:szCs w:val="20"/>
              </w:rPr>
              <w:t>1.4.</w:t>
            </w:r>
          </w:p>
        </w:tc>
        <w:tc>
          <w:tcPr>
            <w:tcW w:w="7888" w:type="dxa"/>
            <w:tcBorders>
              <w:top w:val="nil"/>
              <w:left w:val="nil"/>
              <w:bottom w:val="nil"/>
              <w:right w:val="nil"/>
            </w:tcBorders>
          </w:tcPr>
          <w:p w14:paraId="46886308" w14:textId="77777777" w:rsidR="00AC5CF4" w:rsidRDefault="00AC5CF4" w:rsidP="004A68D9">
            <w:pPr>
              <w:jc w:val="both"/>
              <w:rPr>
                <w:rFonts w:cs="Arial"/>
                <w:szCs w:val="20"/>
              </w:rPr>
            </w:pPr>
            <w:r>
              <w:rPr>
                <w:rFonts w:cs="Arial"/>
                <w:color w:val="000000"/>
                <w:szCs w:val="20"/>
              </w:rPr>
              <w:t>Predlog odloka o spremembah Odloka o ustanovitvi Generalnega sekretariata Vlade Republike Slovenije, 00701-2/2026 (EVA: 2025-1511-0001)</w:t>
            </w:r>
          </w:p>
          <w:p w14:paraId="794BF73B" w14:textId="77777777" w:rsidR="00AC5CF4" w:rsidRDefault="00AC5CF4" w:rsidP="004A68D9">
            <w:pPr>
              <w:jc w:val="both"/>
              <w:rPr>
                <w:rFonts w:cs="Arial"/>
                <w:color w:val="000000"/>
                <w:szCs w:val="20"/>
              </w:rPr>
            </w:pPr>
            <w:r>
              <w:rPr>
                <w:rFonts w:cs="Arial"/>
                <w:szCs w:val="20"/>
              </w:rPr>
              <w:t>Poročevalka: Barbara Kolenko Helbl</w:t>
            </w:r>
          </w:p>
          <w:p w14:paraId="72587DA7" w14:textId="77777777" w:rsidR="00AC5CF4" w:rsidRPr="0097743F" w:rsidRDefault="00AC5CF4" w:rsidP="004A68D9">
            <w:pPr>
              <w:jc w:val="both"/>
              <w:rPr>
                <w:rFonts w:cs="Arial"/>
                <w:szCs w:val="20"/>
              </w:rPr>
            </w:pPr>
            <w:r>
              <w:rPr>
                <w:rFonts w:cs="Arial"/>
                <w:color w:val="000000"/>
                <w:szCs w:val="20"/>
              </w:rPr>
              <w:t xml:space="preserve"> </w:t>
            </w:r>
          </w:p>
        </w:tc>
      </w:tr>
      <w:tr w:rsidR="00AC5CF4" w:rsidRPr="0097743F" w14:paraId="6D2E8CF8" w14:textId="77777777" w:rsidTr="003B7D03">
        <w:tc>
          <w:tcPr>
            <w:tcW w:w="567" w:type="dxa"/>
            <w:tcBorders>
              <w:top w:val="nil"/>
              <w:left w:val="nil"/>
              <w:bottom w:val="nil"/>
              <w:right w:val="nil"/>
            </w:tcBorders>
          </w:tcPr>
          <w:p w14:paraId="7B3E1469" w14:textId="77777777" w:rsidR="00AC5CF4" w:rsidRPr="0097743F" w:rsidRDefault="00AC5CF4" w:rsidP="00F43F74">
            <w:pPr>
              <w:jc w:val="both"/>
              <w:rPr>
                <w:rFonts w:cs="Arial"/>
                <w:szCs w:val="20"/>
              </w:rPr>
            </w:pPr>
            <w:r>
              <w:rPr>
                <w:rFonts w:cs="Arial"/>
                <w:szCs w:val="20"/>
              </w:rPr>
              <w:t>1.5.</w:t>
            </w:r>
          </w:p>
        </w:tc>
        <w:tc>
          <w:tcPr>
            <w:tcW w:w="7888" w:type="dxa"/>
            <w:tcBorders>
              <w:top w:val="nil"/>
              <w:left w:val="nil"/>
              <w:bottom w:val="nil"/>
              <w:right w:val="nil"/>
            </w:tcBorders>
          </w:tcPr>
          <w:p w14:paraId="17A201C6" w14:textId="77777777" w:rsidR="00AC5CF4" w:rsidRDefault="00AC5CF4" w:rsidP="004A68D9">
            <w:pPr>
              <w:jc w:val="both"/>
              <w:rPr>
                <w:rFonts w:cs="Arial"/>
                <w:szCs w:val="20"/>
              </w:rPr>
            </w:pPr>
            <w:r>
              <w:rPr>
                <w:rFonts w:cs="Arial"/>
                <w:color w:val="000000"/>
                <w:szCs w:val="20"/>
              </w:rPr>
              <w:t>Poročilo Ministrstva za gospodarstvo, turizem in šport o opravljenem nadzoru nad zakonitostjo, učinkovitostjo in uspešnostjo dela Javne agencije Republike Slovenije za spodbujanje investicij, podjetništva in internacionalizacije za leto 2024 ter nad delom direktorja te agencije za leto 2024 in predlog soglasja o uporabi presežka prihodkov nad odhodki za leto 2024, 47607-1/2026</w:t>
            </w:r>
          </w:p>
          <w:p w14:paraId="3D2AC5B2" w14:textId="77777777" w:rsidR="00AC5CF4" w:rsidRDefault="00AC5CF4" w:rsidP="004A68D9">
            <w:pPr>
              <w:jc w:val="both"/>
              <w:rPr>
                <w:rFonts w:cs="Arial"/>
                <w:color w:val="000000"/>
                <w:szCs w:val="20"/>
              </w:rPr>
            </w:pPr>
            <w:r>
              <w:rPr>
                <w:rFonts w:cs="Arial"/>
                <w:szCs w:val="20"/>
              </w:rPr>
              <w:t>Poročevalec: Matjaž Han</w:t>
            </w:r>
          </w:p>
          <w:p w14:paraId="2CEF236B" w14:textId="77777777" w:rsidR="00AC5CF4" w:rsidRPr="0097743F" w:rsidRDefault="00AC5CF4" w:rsidP="004A68D9">
            <w:pPr>
              <w:jc w:val="both"/>
              <w:rPr>
                <w:rFonts w:cs="Arial"/>
                <w:szCs w:val="20"/>
              </w:rPr>
            </w:pPr>
            <w:r>
              <w:rPr>
                <w:rFonts w:cs="Arial"/>
                <w:color w:val="000000"/>
                <w:szCs w:val="20"/>
              </w:rPr>
              <w:t xml:space="preserve"> </w:t>
            </w:r>
          </w:p>
        </w:tc>
      </w:tr>
    </w:tbl>
    <w:p w14:paraId="2DE302C7" w14:textId="77777777" w:rsidR="00AC5CF4" w:rsidRPr="0097743F" w:rsidRDefault="00AC5CF4" w:rsidP="00F43F74">
      <w:pPr>
        <w:jc w:val="both"/>
        <w:rPr>
          <w:rFonts w:cs="Arial"/>
          <w:szCs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88"/>
      </w:tblGrid>
      <w:tr w:rsidR="00AC5CF4" w:rsidRPr="0097743F" w14:paraId="46333C25" w14:textId="77777777" w:rsidTr="003B7D03">
        <w:tc>
          <w:tcPr>
            <w:tcW w:w="567" w:type="dxa"/>
            <w:tcBorders>
              <w:top w:val="nil"/>
              <w:left w:val="nil"/>
              <w:bottom w:val="nil"/>
              <w:right w:val="nil"/>
            </w:tcBorders>
          </w:tcPr>
          <w:p w14:paraId="78EE495B" w14:textId="77777777" w:rsidR="00AC5CF4" w:rsidRPr="0097743F" w:rsidRDefault="00AC5CF4" w:rsidP="00F43F74">
            <w:pPr>
              <w:jc w:val="both"/>
              <w:rPr>
                <w:rFonts w:cs="Arial"/>
                <w:szCs w:val="20"/>
              </w:rPr>
            </w:pPr>
            <w:r>
              <w:rPr>
                <w:rStyle w:val="left"/>
                <w:rFonts w:cs="Arial"/>
                <w:b/>
                <w:color w:val="000000"/>
                <w:szCs w:val="20"/>
              </w:rPr>
              <w:t>II.</w:t>
            </w:r>
          </w:p>
        </w:tc>
        <w:tc>
          <w:tcPr>
            <w:tcW w:w="7888" w:type="dxa"/>
            <w:tcBorders>
              <w:top w:val="nil"/>
              <w:left w:val="nil"/>
              <w:bottom w:val="nil"/>
              <w:right w:val="nil"/>
            </w:tcBorders>
          </w:tcPr>
          <w:p w14:paraId="688129AF" w14:textId="77777777" w:rsidR="00AC5CF4" w:rsidRDefault="00AC5CF4" w:rsidP="00C9423B">
            <w:pPr>
              <w:jc w:val="both"/>
              <w:rPr>
                <w:rStyle w:val="left"/>
                <w:rFonts w:cs="Arial"/>
                <w:b/>
                <w:color w:val="000000"/>
                <w:szCs w:val="20"/>
              </w:rPr>
            </w:pPr>
            <w:r>
              <w:rPr>
                <w:rStyle w:val="left"/>
                <w:rFonts w:cs="Arial"/>
                <w:b/>
                <w:color w:val="000000"/>
                <w:szCs w:val="20"/>
              </w:rPr>
              <w:t>LISTA B</w:t>
            </w:r>
          </w:p>
          <w:p w14:paraId="3E2901B4" w14:textId="77777777" w:rsidR="009D275B" w:rsidRPr="0097743F" w:rsidRDefault="009D275B" w:rsidP="00C9423B">
            <w:pPr>
              <w:jc w:val="both"/>
              <w:rPr>
                <w:rFonts w:cs="Arial"/>
                <w:szCs w:val="20"/>
              </w:rPr>
            </w:pPr>
          </w:p>
        </w:tc>
      </w:tr>
      <w:tr w:rsidR="00AC5CF4" w:rsidRPr="0097743F" w14:paraId="228D0691" w14:textId="77777777" w:rsidTr="003B7D03">
        <w:tc>
          <w:tcPr>
            <w:tcW w:w="567" w:type="dxa"/>
            <w:tcBorders>
              <w:top w:val="nil"/>
              <w:left w:val="nil"/>
              <w:bottom w:val="nil"/>
              <w:right w:val="nil"/>
            </w:tcBorders>
          </w:tcPr>
          <w:p w14:paraId="3697248B" w14:textId="77777777" w:rsidR="00AC5CF4" w:rsidRPr="0097743F" w:rsidRDefault="00AC5CF4" w:rsidP="00F43F74">
            <w:pPr>
              <w:jc w:val="both"/>
              <w:rPr>
                <w:rFonts w:cs="Arial"/>
                <w:szCs w:val="20"/>
              </w:rPr>
            </w:pPr>
            <w:r>
              <w:rPr>
                <w:rFonts w:cs="Arial"/>
                <w:szCs w:val="20"/>
              </w:rPr>
              <w:t>2.</w:t>
            </w:r>
          </w:p>
        </w:tc>
        <w:tc>
          <w:tcPr>
            <w:tcW w:w="7888" w:type="dxa"/>
            <w:tcBorders>
              <w:top w:val="nil"/>
              <w:left w:val="nil"/>
              <w:bottom w:val="nil"/>
              <w:right w:val="nil"/>
            </w:tcBorders>
          </w:tcPr>
          <w:p w14:paraId="5F61BED0" w14:textId="77777777" w:rsidR="00AC5CF4" w:rsidRDefault="00AC5CF4" w:rsidP="00DC175A">
            <w:pPr>
              <w:jc w:val="both"/>
              <w:rPr>
                <w:rFonts w:cs="Arial"/>
                <w:szCs w:val="20"/>
              </w:rPr>
            </w:pPr>
            <w:r>
              <w:rPr>
                <w:rFonts w:cs="Arial"/>
                <w:color w:val="000000"/>
                <w:szCs w:val="20"/>
              </w:rPr>
              <w:t>Predlog uredbe o spremembah in dopolnitvah Uredbe o kriterijih za razporejanje državljanov, 00704-42/2026 (EVA: 2025-1911-0016)</w:t>
            </w:r>
          </w:p>
          <w:p w14:paraId="43E214FE" w14:textId="77777777" w:rsidR="00AC5CF4" w:rsidRDefault="00AC5CF4" w:rsidP="00DC175A">
            <w:pPr>
              <w:jc w:val="both"/>
              <w:rPr>
                <w:rFonts w:cs="Arial"/>
                <w:color w:val="000000"/>
                <w:szCs w:val="20"/>
              </w:rPr>
            </w:pPr>
            <w:r>
              <w:rPr>
                <w:rFonts w:cs="Arial"/>
                <w:szCs w:val="20"/>
              </w:rPr>
              <w:t>Poročevalec: mag. Borut Sajovic</w:t>
            </w:r>
          </w:p>
          <w:p w14:paraId="534C2F89" w14:textId="77777777" w:rsidR="00AC5CF4" w:rsidRDefault="00AC5CF4" w:rsidP="00DC175A">
            <w:pPr>
              <w:jc w:val="both"/>
              <w:rPr>
                <w:rFonts w:cs="Arial"/>
                <w:color w:val="000000"/>
                <w:szCs w:val="20"/>
              </w:rPr>
            </w:pPr>
            <w:r>
              <w:rPr>
                <w:rFonts w:cs="Arial"/>
                <w:color w:val="000000"/>
                <w:szCs w:val="20"/>
              </w:rPr>
              <w:t xml:space="preserve"> </w:t>
            </w:r>
          </w:p>
          <w:p w14:paraId="2CC87DC0" w14:textId="77777777" w:rsidR="009D275B" w:rsidRPr="0097743F" w:rsidRDefault="009D275B" w:rsidP="00DC175A">
            <w:pPr>
              <w:jc w:val="both"/>
              <w:rPr>
                <w:rFonts w:cs="Arial"/>
                <w:szCs w:val="20"/>
              </w:rPr>
            </w:pPr>
          </w:p>
        </w:tc>
      </w:tr>
      <w:tr w:rsidR="00AC5CF4" w:rsidRPr="0097743F" w14:paraId="7714BE52" w14:textId="77777777" w:rsidTr="003B7D03">
        <w:tc>
          <w:tcPr>
            <w:tcW w:w="567" w:type="dxa"/>
            <w:tcBorders>
              <w:top w:val="nil"/>
              <w:left w:val="nil"/>
              <w:bottom w:val="nil"/>
              <w:right w:val="nil"/>
            </w:tcBorders>
          </w:tcPr>
          <w:p w14:paraId="1741BE06" w14:textId="77777777" w:rsidR="00AC5CF4" w:rsidRPr="0097743F" w:rsidRDefault="00AC5CF4" w:rsidP="00F43F74">
            <w:pPr>
              <w:jc w:val="both"/>
              <w:rPr>
                <w:rFonts w:cs="Arial"/>
                <w:szCs w:val="20"/>
              </w:rPr>
            </w:pPr>
            <w:r>
              <w:rPr>
                <w:rFonts w:cs="Arial"/>
                <w:szCs w:val="20"/>
              </w:rPr>
              <w:t>3.</w:t>
            </w:r>
          </w:p>
        </w:tc>
        <w:tc>
          <w:tcPr>
            <w:tcW w:w="7888" w:type="dxa"/>
            <w:tcBorders>
              <w:top w:val="nil"/>
              <w:left w:val="nil"/>
              <w:bottom w:val="nil"/>
              <w:right w:val="nil"/>
            </w:tcBorders>
          </w:tcPr>
          <w:p w14:paraId="50239B62" w14:textId="77777777" w:rsidR="00AC5CF4" w:rsidRDefault="00AC5CF4" w:rsidP="00DC175A">
            <w:pPr>
              <w:jc w:val="both"/>
              <w:rPr>
                <w:rFonts w:cs="Arial"/>
                <w:szCs w:val="20"/>
              </w:rPr>
            </w:pPr>
            <w:r>
              <w:rPr>
                <w:rFonts w:cs="Arial"/>
                <w:color w:val="000000"/>
                <w:szCs w:val="20"/>
              </w:rPr>
              <w:t>Strategija za odpornost kritičnih subjektov, 80200-1/2026</w:t>
            </w:r>
          </w:p>
          <w:p w14:paraId="010CE914" w14:textId="77777777" w:rsidR="00AC5CF4" w:rsidRDefault="00AC5CF4" w:rsidP="00DC175A">
            <w:pPr>
              <w:jc w:val="both"/>
              <w:rPr>
                <w:rFonts w:cs="Arial"/>
                <w:color w:val="000000"/>
                <w:szCs w:val="20"/>
              </w:rPr>
            </w:pPr>
            <w:r>
              <w:rPr>
                <w:rFonts w:cs="Arial"/>
                <w:szCs w:val="20"/>
              </w:rPr>
              <w:lastRenderedPageBreak/>
              <w:t>Poročevalec: mag. Borut Sajovic</w:t>
            </w:r>
          </w:p>
          <w:p w14:paraId="67565C03" w14:textId="77777777" w:rsidR="00AC5CF4" w:rsidRPr="0097743F" w:rsidRDefault="00AC5CF4" w:rsidP="00DC175A">
            <w:pPr>
              <w:jc w:val="both"/>
              <w:rPr>
                <w:rFonts w:cs="Arial"/>
                <w:szCs w:val="20"/>
              </w:rPr>
            </w:pPr>
            <w:r>
              <w:rPr>
                <w:rFonts w:cs="Arial"/>
                <w:color w:val="000000"/>
                <w:szCs w:val="20"/>
              </w:rPr>
              <w:t xml:space="preserve"> </w:t>
            </w:r>
          </w:p>
        </w:tc>
      </w:tr>
      <w:tr w:rsidR="00AC5CF4" w:rsidRPr="0097743F" w14:paraId="37943428" w14:textId="77777777" w:rsidTr="003B7D03">
        <w:tc>
          <w:tcPr>
            <w:tcW w:w="567" w:type="dxa"/>
            <w:tcBorders>
              <w:top w:val="nil"/>
              <w:left w:val="nil"/>
              <w:bottom w:val="nil"/>
              <w:right w:val="nil"/>
            </w:tcBorders>
          </w:tcPr>
          <w:p w14:paraId="71D65648" w14:textId="77777777" w:rsidR="00AC5CF4" w:rsidRPr="0097743F" w:rsidRDefault="00AC5CF4" w:rsidP="00F43F74">
            <w:pPr>
              <w:jc w:val="both"/>
              <w:rPr>
                <w:rFonts w:cs="Arial"/>
                <w:szCs w:val="20"/>
              </w:rPr>
            </w:pPr>
            <w:r>
              <w:rPr>
                <w:rFonts w:cs="Arial"/>
                <w:szCs w:val="20"/>
              </w:rPr>
              <w:lastRenderedPageBreak/>
              <w:t>4.</w:t>
            </w:r>
          </w:p>
        </w:tc>
        <w:tc>
          <w:tcPr>
            <w:tcW w:w="7888" w:type="dxa"/>
            <w:tcBorders>
              <w:top w:val="nil"/>
              <w:left w:val="nil"/>
              <w:bottom w:val="nil"/>
              <w:right w:val="nil"/>
            </w:tcBorders>
          </w:tcPr>
          <w:p w14:paraId="46B90A28" w14:textId="77777777" w:rsidR="00AC5CF4" w:rsidRDefault="00AC5CF4" w:rsidP="00DC175A">
            <w:pPr>
              <w:jc w:val="both"/>
              <w:rPr>
                <w:rFonts w:cs="Arial"/>
                <w:szCs w:val="20"/>
              </w:rPr>
            </w:pPr>
            <w:r>
              <w:rPr>
                <w:rFonts w:cs="Arial"/>
                <w:color w:val="000000"/>
                <w:szCs w:val="20"/>
              </w:rPr>
              <w:t>Informacija o projektni nalogi z naslovom Strokovna presoja upravičenosti ponovne vzpostavitve železniške infrastrukture do postajališča Hrušica, 37500-1/2026</w:t>
            </w:r>
          </w:p>
          <w:p w14:paraId="43C78011" w14:textId="77777777" w:rsidR="00AC5CF4" w:rsidRDefault="00AC5CF4" w:rsidP="00DC175A">
            <w:pPr>
              <w:jc w:val="both"/>
              <w:rPr>
                <w:rFonts w:cs="Arial"/>
                <w:color w:val="000000"/>
                <w:szCs w:val="20"/>
              </w:rPr>
            </w:pPr>
            <w:r>
              <w:rPr>
                <w:rFonts w:cs="Arial"/>
                <w:szCs w:val="20"/>
              </w:rPr>
              <w:t>Poročevalka: mag. Alenka Bratušek</w:t>
            </w:r>
          </w:p>
          <w:p w14:paraId="5788D65B" w14:textId="77777777" w:rsidR="00AC5CF4" w:rsidRPr="0097743F" w:rsidRDefault="00AC5CF4" w:rsidP="00DC175A">
            <w:pPr>
              <w:jc w:val="both"/>
              <w:rPr>
                <w:rFonts w:cs="Arial"/>
                <w:szCs w:val="20"/>
              </w:rPr>
            </w:pPr>
            <w:r>
              <w:rPr>
                <w:rFonts w:cs="Arial"/>
                <w:color w:val="000000"/>
                <w:szCs w:val="20"/>
              </w:rPr>
              <w:t xml:space="preserve"> </w:t>
            </w:r>
          </w:p>
        </w:tc>
      </w:tr>
      <w:tr w:rsidR="00AC5CF4" w:rsidRPr="0097743F" w14:paraId="2737DE5B" w14:textId="77777777" w:rsidTr="003B7D03">
        <w:tc>
          <w:tcPr>
            <w:tcW w:w="567" w:type="dxa"/>
            <w:tcBorders>
              <w:top w:val="nil"/>
              <w:left w:val="nil"/>
              <w:bottom w:val="nil"/>
              <w:right w:val="nil"/>
            </w:tcBorders>
          </w:tcPr>
          <w:p w14:paraId="4BA1A6DE" w14:textId="77777777" w:rsidR="00AC5CF4" w:rsidRPr="0097743F" w:rsidRDefault="00AC5CF4" w:rsidP="00F43F74">
            <w:pPr>
              <w:jc w:val="both"/>
              <w:rPr>
                <w:rFonts w:cs="Arial"/>
                <w:szCs w:val="20"/>
              </w:rPr>
            </w:pPr>
            <w:r>
              <w:rPr>
                <w:rFonts w:cs="Arial"/>
                <w:szCs w:val="20"/>
              </w:rPr>
              <w:t>5.</w:t>
            </w:r>
          </w:p>
        </w:tc>
        <w:tc>
          <w:tcPr>
            <w:tcW w:w="7888" w:type="dxa"/>
            <w:tcBorders>
              <w:top w:val="nil"/>
              <w:left w:val="nil"/>
              <w:bottom w:val="nil"/>
              <w:right w:val="nil"/>
            </w:tcBorders>
          </w:tcPr>
          <w:p w14:paraId="138B5F4E" w14:textId="77777777" w:rsidR="00AC5CF4" w:rsidRDefault="00AC5CF4" w:rsidP="00DC175A">
            <w:pPr>
              <w:jc w:val="both"/>
              <w:rPr>
                <w:rFonts w:cs="Arial"/>
                <w:szCs w:val="20"/>
              </w:rPr>
            </w:pPr>
            <w:r>
              <w:rPr>
                <w:rFonts w:cs="Arial"/>
                <w:color w:val="000000"/>
                <w:szCs w:val="20"/>
              </w:rPr>
              <w:t>Informacija o stanju prostorskega umeščanja avtocestnega priključka Kranj Sever, 35000-6/2026</w:t>
            </w:r>
          </w:p>
          <w:p w14:paraId="64D3DFD7" w14:textId="77777777" w:rsidR="00AC5CF4" w:rsidRDefault="00AC5CF4" w:rsidP="00DC175A">
            <w:pPr>
              <w:jc w:val="both"/>
              <w:rPr>
                <w:rFonts w:cs="Arial"/>
                <w:color w:val="000000"/>
                <w:szCs w:val="20"/>
              </w:rPr>
            </w:pPr>
            <w:r>
              <w:rPr>
                <w:rFonts w:cs="Arial"/>
                <w:szCs w:val="20"/>
              </w:rPr>
              <w:t>Poročevalka: mag. Alenka Bratušek</w:t>
            </w:r>
          </w:p>
          <w:p w14:paraId="2F3F3743" w14:textId="77777777" w:rsidR="00AC5CF4" w:rsidRPr="0097743F" w:rsidRDefault="00AC5CF4" w:rsidP="00DC175A">
            <w:pPr>
              <w:jc w:val="both"/>
              <w:rPr>
                <w:rFonts w:cs="Arial"/>
                <w:szCs w:val="20"/>
              </w:rPr>
            </w:pPr>
            <w:r>
              <w:rPr>
                <w:rFonts w:cs="Arial"/>
                <w:color w:val="000000"/>
                <w:szCs w:val="20"/>
              </w:rPr>
              <w:t xml:space="preserve"> </w:t>
            </w:r>
          </w:p>
        </w:tc>
      </w:tr>
      <w:tr w:rsidR="00AC5CF4" w:rsidRPr="0097743F" w14:paraId="76DA7A9E" w14:textId="77777777" w:rsidTr="003B7D03">
        <w:tc>
          <w:tcPr>
            <w:tcW w:w="567" w:type="dxa"/>
            <w:tcBorders>
              <w:top w:val="nil"/>
              <w:left w:val="nil"/>
              <w:bottom w:val="nil"/>
              <w:right w:val="nil"/>
            </w:tcBorders>
          </w:tcPr>
          <w:p w14:paraId="255A1ACF" w14:textId="77777777" w:rsidR="00AC5CF4" w:rsidRPr="0097743F" w:rsidRDefault="00AC5CF4" w:rsidP="00F43F74">
            <w:pPr>
              <w:jc w:val="both"/>
              <w:rPr>
                <w:rFonts w:cs="Arial"/>
                <w:szCs w:val="20"/>
              </w:rPr>
            </w:pPr>
            <w:r>
              <w:rPr>
                <w:rFonts w:cs="Arial"/>
                <w:szCs w:val="20"/>
              </w:rPr>
              <w:t>6.</w:t>
            </w:r>
          </w:p>
        </w:tc>
        <w:tc>
          <w:tcPr>
            <w:tcW w:w="7888" w:type="dxa"/>
            <w:tcBorders>
              <w:top w:val="nil"/>
              <w:left w:val="nil"/>
              <w:bottom w:val="nil"/>
              <w:right w:val="nil"/>
            </w:tcBorders>
          </w:tcPr>
          <w:p w14:paraId="0CC33132" w14:textId="77777777" w:rsidR="00AC5CF4" w:rsidRDefault="00AC5CF4" w:rsidP="00DC175A">
            <w:pPr>
              <w:jc w:val="both"/>
              <w:rPr>
                <w:rFonts w:cs="Arial"/>
                <w:szCs w:val="20"/>
              </w:rPr>
            </w:pPr>
            <w:r>
              <w:rPr>
                <w:rFonts w:cs="Arial"/>
                <w:color w:val="000000"/>
                <w:szCs w:val="20"/>
              </w:rPr>
              <w:t>Predlog soglasja za prevzemanje in plačevanje obveznosti na namenskih postavkah Ministrstva za infrastrukturo preko načrtovanih pravic porabe v sprejetem proračunu, 41004-1/2026</w:t>
            </w:r>
          </w:p>
          <w:p w14:paraId="37431545" w14:textId="77777777" w:rsidR="00AC5CF4" w:rsidRDefault="00AC5CF4" w:rsidP="00DC175A">
            <w:pPr>
              <w:jc w:val="both"/>
              <w:rPr>
                <w:rFonts w:cs="Arial"/>
                <w:color w:val="000000"/>
                <w:szCs w:val="20"/>
              </w:rPr>
            </w:pPr>
            <w:r>
              <w:rPr>
                <w:rFonts w:cs="Arial"/>
                <w:szCs w:val="20"/>
              </w:rPr>
              <w:t>Poročevalka: mag. Alenka Bratušek</w:t>
            </w:r>
          </w:p>
          <w:p w14:paraId="2393C432" w14:textId="77777777" w:rsidR="00AC5CF4" w:rsidRPr="0097743F" w:rsidRDefault="00AC5CF4" w:rsidP="00DC175A">
            <w:pPr>
              <w:jc w:val="both"/>
              <w:rPr>
                <w:rFonts w:cs="Arial"/>
                <w:szCs w:val="20"/>
              </w:rPr>
            </w:pPr>
            <w:r>
              <w:rPr>
                <w:rFonts w:cs="Arial"/>
                <w:color w:val="000000"/>
                <w:szCs w:val="20"/>
              </w:rPr>
              <w:t xml:space="preserve"> </w:t>
            </w:r>
          </w:p>
        </w:tc>
      </w:tr>
    </w:tbl>
    <w:p w14:paraId="369EF20A" w14:textId="77777777" w:rsidR="00AC5CF4" w:rsidRPr="0097743F" w:rsidRDefault="00AC5CF4" w:rsidP="00F43F74">
      <w:pPr>
        <w:jc w:val="both"/>
        <w:rPr>
          <w:rFonts w:cs="Arial"/>
          <w:szCs w:val="20"/>
        </w:rPr>
      </w:pPr>
    </w:p>
    <w:p w14:paraId="0AB8402E" w14:textId="77777777" w:rsidR="009B1C31" w:rsidRDefault="009B1C31" w:rsidP="009B1C31">
      <w:pPr>
        <w:widowControl w:val="0"/>
        <w:autoSpaceDE w:val="0"/>
        <w:autoSpaceDN w:val="0"/>
        <w:adjustRightInd w:val="0"/>
        <w:rPr>
          <w:rFonts w:cs="Arial"/>
          <w:color w:val="000000"/>
          <w:szCs w:val="20"/>
        </w:rPr>
      </w:pPr>
    </w:p>
    <w:p w14:paraId="5982D051" w14:textId="77777777" w:rsidR="009B1C31" w:rsidRDefault="009B1C31" w:rsidP="009B1C31">
      <w:pPr>
        <w:widowControl w:val="0"/>
        <w:autoSpaceDE w:val="0"/>
        <w:autoSpaceDN w:val="0"/>
        <w:adjustRightInd w:val="0"/>
        <w:rPr>
          <w:rFonts w:cs="Arial"/>
          <w:color w:val="000000"/>
          <w:szCs w:val="20"/>
        </w:rPr>
      </w:pPr>
    </w:p>
    <w:p w14:paraId="0A7EA8B1" w14:textId="77777777" w:rsidR="009B1C31" w:rsidRPr="000D1A39" w:rsidRDefault="009B1C31" w:rsidP="009B1C31">
      <w:pPr>
        <w:widowControl w:val="0"/>
        <w:autoSpaceDE w:val="0"/>
        <w:autoSpaceDN w:val="0"/>
        <w:adjustRightInd w:val="0"/>
        <w:spacing w:line="240" w:lineRule="auto"/>
        <w:rPr>
          <w:rFonts w:cs="Arial"/>
          <w:color w:val="000000"/>
          <w:szCs w:val="20"/>
        </w:rPr>
      </w:pPr>
    </w:p>
    <w:p w14:paraId="381A4C0B" w14:textId="77777777" w:rsidR="00FF68D2" w:rsidRDefault="00FF68D2">
      <w:pPr>
        <w:spacing w:after="160" w:line="259" w:lineRule="auto"/>
        <w:rPr>
          <w:rFonts w:cs="Arial"/>
          <w:color w:val="000000"/>
          <w:szCs w:val="20"/>
          <w:lang w:eastAsia="sl-SI"/>
        </w:rPr>
      </w:pPr>
    </w:p>
    <w:sectPr w:rsidR="00FF68D2" w:rsidSect="00090D1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9CF8" w14:textId="77777777" w:rsidR="00EC6AB3" w:rsidRDefault="00EC6AB3" w:rsidP="00767987">
      <w:pPr>
        <w:spacing w:line="240" w:lineRule="auto"/>
      </w:pPr>
      <w:r>
        <w:separator/>
      </w:r>
    </w:p>
  </w:endnote>
  <w:endnote w:type="continuationSeparator" w:id="0">
    <w:p w14:paraId="681E2E4F" w14:textId="77777777" w:rsidR="00EC6AB3" w:rsidRDefault="00EC6AB3"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2C06" w14:textId="77777777" w:rsidR="009F7EC4" w:rsidRDefault="009F7EC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797785"/>
      <w:docPartObj>
        <w:docPartGallery w:val="Page Numbers (Bottom of Page)"/>
        <w:docPartUnique/>
      </w:docPartObj>
    </w:sdtPr>
    <w:sdtEndPr>
      <w:rPr>
        <w:rFonts w:ascii="Arial" w:hAnsi="Arial" w:cs="Arial"/>
        <w:noProof/>
        <w:sz w:val="20"/>
        <w:szCs w:val="20"/>
      </w:rPr>
    </w:sdtEndPr>
    <w:sdtContent>
      <w:p w14:paraId="527AEC29" w14:textId="77777777" w:rsidR="00FF68D2" w:rsidRPr="00FF68D2" w:rsidRDefault="00FF68D2">
        <w:pPr>
          <w:pStyle w:val="Noga"/>
          <w:jc w:val="right"/>
          <w:rPr>
            <w:rFonts w:ascii="Arial" w:hAnsi="Arial" w:cs="Arial"/>
            <w:sz w:val="20"/>
            <w:szCs w:val="20"/>
          </w:rPr>
        </w:pPr>
        <w:r w:rsidRPr="00FF68D2">
          <w:rPr>
            <w:rFonts w:ascii="Arial" w:hAnsi="Arial" w:cs="Arial"/>
            <w:sz w:val="20"/>
            <w:szCs w:val="20"/>
          </w:rPr>
          <w:fldChar w:fldCharType="begin"/>
        </w:r>
        <w:r w:rsidRPr="00FF68D2">
          <w:rPr>
            <w:rFonts w:ascii="Arial" w:hAnsi="Arial" w:cs="Arial"/>
            <w:sz w:val="20"/>
            <w:szCs w:val="20"/>
          </w:rPr>
          <w:instrText xml:space="preserve"> PAGE   \* MERGEFORMAT </w:instrText>
        </w:r>
        <w:r w:rsidRPr="00FF68D2">
          <w:rPr>
            <w:rFonts w:ascii="Arial" w:hAnsi="Arial" w:cs="Arial"/>
            <w:sz w:val="20"/>
            <w:szCs w:val="20"/>
          </w:rPr>
          <w:fldChar w:fldCharType="separate"/>
        </w:r>
        <w:r w:rsidR="009D275B">
          <w:rPr>
            <w:rFonts w:ascii="Arial" w:hAnsi="Arial" w:cs="Arial"/>
            <w:noProof/>
            <w:sz w:val="20"/>
            <w:szCs w:val="20"/>
          </w:rPr>
          <w:t>2</w:t>
        </w:r>
        <w:r w:rsidRPr="00FF68D2">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3F46" w14:textId="77777777" w:rsidR="009F7EC4" w:rsidRDefault="009F7E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BDC9" w14:textId="77777777" w:rsidR="00EC6AB3" w:rsidRDefault="00EC6AB3" w:rsidP="00767987">
      <w:pPr>
        <w:spacing w:line="240" w:lineRule="auto"/>
      </w:pPr>
      <w:r>
        <w:separator/>
      </w:r>
    </w:p>
  </w:footnote>
  <w:footnote w:type="continuationSeparator" w:id="0">
    <w:p w14:paraId="7ADDDFF0" w14:textId="77777777" w:rsidR="00EC6AB3" w:rsidRDefault="00EC6AB3"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CC4D" w14:textId="77777777" w:rsidR="009F7EC4" w:rsidRDefault="009F7EC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FDFB" w14:textId="77777777" w:rsidR="009F7EC4" w:rsidRDefault="009F7EC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E70B" w14:textId="77777777" w:rsidR="00090D10" w:rsidRPr="00A9231D" w:rsidRDefault="00090D10" w:rsidP="00090D10">
    <w:pPr>
      <w:pStyle w:val="Glava"/>
      <w:tabs>
        <w:tab w:val="clear" w:pos="4536"/>
        <w:tab w:val="clear" w:pos="9072"/>
        <w:tab w:val="left" w:pos="5112"/>
        <w:tab w:val="left" w:pos="8641"/>
      </w:tabs>
      <w:spacing w:before="340" w:line="240" w:lineRule="exact"/>
      <w:ind w:left="-765"/>
      <w:rPr>
        <w:rFonts w:ascii="Arial" w:hAnsi="Arial" w:cs="Arial"/>
        <w:sz w:val="16"/>
      </w:rPr>
    </w:pPr>
    <w:r w:rsidRPr="00FB42D8">
      <w:rPr>
        <w:noProof/>
        <w:lang w:eastAsia="sl-SI"/>
      </w:rPr>
      <w:drawing>
        <wp:inline distT="0" distB="0" distL="0" distR="0" wp14:anchorId="4B67CF6C" wp14:editId="688D3ADF">
          <wp:extent cx="3646170" cy="325120"/>
          <wp:effectExtent l="0" t="0" r="0" b="0"/>
          <wp:docPr id="1" name="Slika 1" descr="Republika Slovenija&#10;Generalni sekretariat Vlad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6170" cy="325120"/>
                  </a:xfrm>
                  <a:prstGeom prst="rect">
                    <a:avLst/>
                  </a:prstGeom>
                  <a:noFill/>
                  <a:ln>
                    <a:noFill/>
                  </a:ln>
                </pic:spPr>
              </pic:pic>
            </a:graphicData>
          </a:graphic>
        </wp:inline>
      </w:drawing>
    </w:r>
  </w:p>
  <w:p w14:paraId="39D480F1" w14:textId="77777777" w:rsidR="00090D10" w:rsidRPr="009B1C31" w:rsidRDefault="00090D10" w:rsidP="00090D10">
    <w:pPr>
      <w:pStyle w:val="Glava"/>
      <w:tabs>
        <w:tab w:val="clear" w:pos="4536"/>
        <w:tab w:val="clear" w:pos="9072"/>
        <w:tab w:val="left" w:pos="5114"/>
        <w:tab w:val="left" w:pos="8641"/>
      </w:tabs>
      <w:spacing w:before="120" w:line="240" w:lineRule="exact"/>
      <w:rPr>
        <w:rFonts w:ascii="Republika" w:hAnsi="Republika" w:cs="Arial"/>
        <w:sz w:val="20"/>
        <w:szCs w:val="20"/>
      </w:rPr>
    </w:pPr>
    <w:r w:rsidRPr="009B1C31">
      <w:rPr>
        <w:rFonts w:ascii="Republika" w:hAnsi="Republika" w:cs="Arial"/>
        <w:sz w:val="20"/>
        <w:szCs w:val="20"/>
      </w:rPr>
      <w:t>Sektor za izvedbo sej vlade in analize</w:t>
    </w:r>
  </w:p>
  <w:p w14:paraId="28635F44" w14:textId="77777777" w:rsidR="00090D10" w:rsidRPr="00A9231D" w:rsidRDefault="00090D10" w:rsidP="00090D10">
    <w:pPr>
      <w:pStyle w:val="Glava"/>
      <w:tabs>
        <w:tab w:val="clear" w:pos="4536"/>
        <w:tab w:val="clear" w:pos="9072"/>
        <w:tab w:val="left" w:pos="5114"/>
        <w:tab w:val="left" w:pos="8641"/>
      </w:tabs>
      <w:spacing w:before="120" w:line="240" w:lineRule="exact"/>
      <w:rPr>
        <w:rFonts w:ascii="Arial" w:hAnsi="Arial" w:cs="Arial"/>
        <w:sz w:val="16"/>
      </w:rPr>
    </w:pPr>
    <w:r>
      <w:rPr>
        <w:rFonts w:ascii="Arial" w:hAnsi="Arial" w:cs="Arial"/>
        <w:sz w:val="16"/>
      </w:rPr>
      <w:t>Gregorčičeva ulica 20</w:t>
    </w:r>
    <w:r w:rsidRPr="00A9231D">
      <w:rPr>
        <w:rFonts w:ascii="Arial" w:hAnsi="Arial" w:cs="Arial"/>
        <w:sz w:val="16"/>
      </w:rPr>
      <w:t>, 100</w:t>
    </w:r>
    <w:r>
      <w:rPr>
        <w:rFonts w:ascii="Arial" w:hAnsi="Arial" w:cs="Arial"/>
        <w:sz w:val="16"/>
      </w:rPr>
      <w:t>0</w:t>
    </w:r>
    <w:r w:rsidRPr="00A9231D">
      <w:rPr>
        <w:rFonts w:ascii="Arial" w:hAnsi="Arial" w:cs="Arial"/>
        <w:sz w:val="16"/>
      </w:rPr>
      <w:t xml:space="preserve"> Ljubljana</w:t>
    </w:r>
    <w:r w:rsidRPr="00A9231D">
      <w:rPr>
        <w:rFonts w:ascii="Arial" w:hAnsi="Arial" w:cs="Arial"/>
        <w:sz w:val="16"/>
      </w:rPr>
      <w:tab/>
      <w:t>T: +386 1 478 1000</w:t>
    </w:r>
  </w:p>
  <w:p w14:paraId="074A72A6"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F: +386 1 478 1607</w:t>
    </w:r>
  </w:p>
  <w:p w14:paraId="4E1CED98"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E: gp.gs@gov.si</w:t>
    </w:r>
  </w:p>
  <w:p w14:paraId="46D3CF43"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http://www.</w:t>
    </w:r>
    <w:r>
      <w:rPr>
        <w:rFonts w:ascii="Arial" w:hAnsi="Arial" w:cs="Arial"/>
        <w:sz w:val="16"/>
      </w:rPr>
      <w:t>gsv.gov</w:t>
    </w:r>
    <w:r w:rsidRPr="00A9231D">
      <w:rPr>
        <w:rFonts w:ascii="Arial" w:hAnsi="Arial" w:cs="Arial"/>
        <w:sz w:val="16"/>
      </w:rPr>
      <w:t>.si/</w:t>
    </w:r>
  </w:p>
  <w:p w14:paraId="46C31E86" w14:textId="77777777" w:rsidR="00090D10" w:rsidRDefault="00090D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966D1"/>
    <w:multiLevelType w:val="hybridMultilevel"/>
    <w:tmpl w:val="6B563E36"/>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1250000223">
    <w:abstractNumId w:val="1"/>
  </w:num>
  <w:num w:numId="2" w16cid:durableId="182774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CE"/>
    <w:rsid w:val="00090D10"/>
    <w:rsid w:val="000B3FE6"/>
    <w:rsid w:val="00117ADD"/>
    <w:rsid w:val="00170D49"/>
    <w:rsid w:val="0019436C"/>
    <w:rsid w:val="001C4ACE"/>
    <w:rsid w:val="00367DE6"/>
    <w:rsid w:val="003B3E19"/>
    <w:rsid w:val="00402523"/>
    <w:rsid w:val="004076C6"/>
    <w:rsid w:val="004178A3"/>
    <w:rsid w:val="0045644C"/>
    <w:rsid w:val="004801DD"/>
    <w:rsid w:val="004B7F76"/>
    <w:rsid w:val="004E1BCE"/>
    <w:rsid w:val="004F7FB8"/>
    <w:rsid w:val="00560C20"/>
    <w:rsid w:val="005C733F"/>
    <w:rsid w:val="00601E03"/>
    <w:rsid w:val="00682FFE"/>
    <w:rsid w:val="007039D0"/>
    <w:rsid w:val="007323B5"/>
    <w:rsid w:val="00767987"/>
    <w:rsid w:val="00782FD4"/>
    <w:rsid w:val="0078446E"/>
    <w:rsid w:val="007979D0"/>
    <w:rsid w:val="007D0FFE"/>
    <w:rsid w:val="00811140"/>
    <w:rsid w:val="008439A0"/>
    <w:rsid w:val="00904A48"/>
    <w:rsid w:val="00924D0F"/>
    <w:rsid w:val="00980294"/>
    <w:rsid w:val="009B1C31"/>
    <w:rsid w:val="009B237E"/>
    <w:rsid w:val="009C1F8E"/>
    <w:rsid w:val="009D275B"/>
    <w:rsid w:val="009F7EC4"/>
    <w:rsid w:val="00A2230F"/>
    <w:rsid w:val="00A354A8"/>
    <w:rsid w:val="00A9231D"/>
    <w:rsid w:val="00AC5CF4"/>
    <w:rsid w:val="00B11169"/>
    <w:rsid w:val="00C0216A"/>
    <w:rsid w:val="00C45CCB"/>
    <w:rsid w:val="00C62845"/>
    <w:rsid w:val="00C6461C"/>
    <w:rsid w:val="00C86D7C"/>
    <w:rsid w:val="00CD07B1"/>
    <w:rsid w:val="00D02973"/>
    <w:rsid w:val="00D10B1D"/>
    <w:rsid w:val="00D511B4"/>
    <w:rsid w:val="00EB419B"/>
    <w:rsid w:val="00EC51B3"/>
    <w:rsid w:val="00EC6AB3"/>
    <w:rsid w:val="00EE07EE"/>
    <w:rsid w:val="00F221D0"/>
    <w:rsid w:val="00F51CB2"/>
    <w:rsid w:val="00FB00DD"/>
    <w:rsid w:val="00FB42D8"/>
    <w:rsid w:val="00FF68D2"/>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208A"/>
  <w15:docId w15:val="{5F50E785-66DF-4E1C-B1CC-FB4BC5B6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1C31"/>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F221D0"/>
    <w:pPr>
      <w:spacing w:after="160" w:line="259" w:lineRule="auto"/>
      <w:ind w:left="720"/>
      <w:contextualSpacing/>
    </w:pPr>
    <w:rPr>
      <w:rFonts w:asciiTheme="minorHAnsi" w:eastAsiaTheme="minorHAnsi" w:hAnsiTheme="minorHAnsi" w:cstheme="minorBidi"/>
      <w:sz w:val="22"/>
      <w:szCs w:val="22"/>
    </w:rPr>
  </w:style>
  <w:style w:type="paragraph" w:styleId="Besedilooblaka">
    <w:name w:val="Balloon Text"/>
    <w:basedOn w:val="Navaden"/>
    <w:link w:val="BesedilooblakaZnak"/>
    <w:uiPriority w:val="99"/>
    <w:semiHidden/>
    <w:unhideWhenUsed/>
    <w:rsid w:val="005C73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733F"/>
    <w:rPr>
      <w:rFonts w:ascii="Tahoma" w:eastAsia="Times New Roman" w:hAnsi="Tahoma" w:cs="Tahoma"/>
      <w:sz w:val="16"/>
      <w:szCs w:val="16"/>
    </w:rPr>
  </w:style>
  <w:style w:type="character" w:customStyle="1" w:styleId="left">
    <w:name w:val="left"/>
    <w:rsid w:val="00AC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Urška Štorman</cp:lastModifiedBy>
  <cp:revision>3</cp:revision>
  <dcterms:created xsi:type="dcterms:W3CDTF">2026-02-09T16:08:00Z</dcterms:created>
  <dcterms:modified xsi:type="dcterms:W3CDTF">2026-02-09T16:09:00Z</dcterms:modified>
</cp:coreProperties>
</file>