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618C2810" w14:textId="77777777" w:rsidR="007B397C" w:rsidRPr="004008BE" w:rsidRDefault="007B397C" w:rsidP="007B397C">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29161D8C"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w:t>
      </w:r>
      <w:r w:rsidR="003A5E68">
        <w:rPr>
          <w:rFonts w:ascii="Arial" w:hAnsi="Arial" w:cs="Arial"/>
          <w:sz w:val="20"/>
          <w:szCs w:val="20"/>
        </w:rPr>
        <w:t>254</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5F6B12AB" w:rsidR="00D1619D" w:rsidRPr="00B04CCA" w:rsidRDefault="00D1619D" w:rsidP="00D1619D">
      <w:pPr>
        <w:numPr>
          <w:ilvl w:val="0"/>
          <w:numId w:val="11"/>
        </w:numPr>
        <w:tabs>
          <w:tab w:val="clear" w:pos="360"/>
          <w:tab w:val="num" w:pos="540"/>
        </w:tabs>
        <w:ind w:left="540"/>
        <w:jc w:val="both"/>
        <w:rPr>
          <w:rFonts w:ascii="Arial" w:hAnsi="Arial" w:cs="Arial"/>
          <w:sz w:val="20"/>
          <w:szCs w:val="20"/>
        </w:rPr>
      </w:pPr>
      <w:r w:rsidRPr="00B04CCA">
        <w:rPr>
          <w:rFonts w:ascii="Arial" w:hAnsi="Arial" w:cs="Arial"/>
          <w:sz w:val="20"/>
          <w:szCs w:val="20"/>
        </w:rPr>
        <w:t xml:space="preserve">najmanj </w:t>
      </w:r>
      <w:r w:rsidR="00B04CCA" w:rsidRPr="00B04CCA">
        <w:rPr>
          <w:rFonts w:ascii="Arial" w:hAnsi="Arial" w:cs="Arial"/>
          <w:sz w:val="20"/>
          <w:szCs w:val="20"/>
        </w:rPr>
        <w:t xml:space="preserve">3 leta in </w:t>
      </w:r>
      <w:r w:rsidRPr="00B04CCA">
        <w:rPr>
          <w:rFonts w:ascii="Arial" w:hAnsi="Arial" w:cs="Arial"/>
          <w:sz w:val="20"/>
          <w:szCs w:val="20"/>
        </w:rPr>
        <w:t>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555A8AE6" w14:textId="77777777" w:rsidR="003D0F70" w:rsidRDefault="003D0F70" w:rsidP="003D0F70">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0FAB7D1E" w14:textId="77777777" w:rsidR="003D0F70" w:rsidRPr="004008BE" w:rsidRDefault="003D0F70" w:rsidP="003D0F70">
      <w:pPr>
        <w:pStyle w:val="align-justify"/>
        <w:spacing w:before="0" w:beforeAutospacing="0" w:after="0" w:afterAutospacing="0"/>
        <w:ind w:right="-142"/>
        <w:rPr>
          <w:rFonts w:ascii="Arial" w:hAnsi="Arial" w:cs="Arial"/>
          <w:sz w:val="20"/>
          <w:szCs w:val="20"/>
        </w:rPr>
      </w:pPr>
    </w:p>
    <w:p w14:paraId="40FCF8F0" w14:textId="77777777" w:rsidR="007B7A57" w:rsidRDefault="007B7A57" w:rsidP="007B7A57">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3E800A3D" w14:textId="77777777" w:rsidR="003D0F70" w:rsidRDefault="003D0F70" w:rsidP="003D0F70">
      <w:pPr>
        <w:jc w:val="both"/>
        <w:rPr>
          <w:rFonts w:ascii="Arial" w:hAnsi="Arial" w:cs="Arial"/>
          <w:sz w:val="20"/>
          <w:szCs w:val="20"/>
        </w:rPr>
      </w:pPr>
    </w:p>
    <w:p w14:paraId="6B4A7E4A" w14:textId="77777777" w:rsidR="007B7A57" w:rsidRPr="004008BE" w:rsidRDefault="007B7A57" w:rsidP="007B7A57">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575F1763" w14:textId="77777777" w:rsidR="003D0F70" w:rsidRPr="00683F3F" w:rsidRDefault="003D0F70" w:rsidP="003D0F70">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2FEB17B7" w14:textId="50BB9A74" w:rsidR="00844439" w:rsidRPr="00436EA9" w:rsidRDefault="00844439" w:rsidP="00844439">
      <w:pPr>
        <w:jc w:val="both"/>
        <w:rPr>
          <w:rFonts w:ascii="Arial" w:hAnsi="Arial" w:cs="Arial"/>
          <w:sz w:val="20"/>
          <w:szCs w:val="20"/>
        </w:rPr>
      </w:pPr>
      <w:r w:rsidRPr="00436EA9">
        <w:rPr>
          <w:rFonts w:ascii="Arial" w:hAnsi="Arial" w:cs="Arial"/>
          <w:sz w:val="20"/>
          <w:szCs w:val="20"/>
        </w:rPr>
        <w:t>.</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4585B1BD" w14:textId="77777777" w:rsidR="007B7A57" w:rsidRPr="004008BE" w:rsidRDefault="007B7A57" w:rsidP="007B7A57">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BC22CCE" w:rsidR="00A20E32" w:rsidRDefault="00A20E32" w:rsidP="00896E08">
      <w:pPr>
        <w:jc w:val="both"/>
        <w:rPr>
          <w:rFonts w:ascii="Arial" w:hAnsi="Arial" w:cs="Arial"/>
          <w:color w:val="000000" w:themeColor="text1"/>
          <w:sz w:val="20"/>
          <w:szCs w:val="20"/>
        </w:rPr>
      </w:pPr>
      <w:bookmarkStart w:id="1" w:name="_Hlk194050668"/>
      <w:r w:rsidRPr="00A20E32">
        <w:rPr>
          <w:rFonts w:ascii="Arial" w:hAnsi="Arial" w:cs="Arial"/>
          <w:color w:val="000000" w:themeColor="text1"/>
          <w:sz w:val="20"/>
          <w:szCs w:val="20"/>
        </w:rPr>
        <w:t>Izbrani kandidat bo delo na delovnem mestu Svetovalec opravljal v nazivu Svetovalec II (izhodiščni plačni razred: 1</w:t>
      </w:r>
      <w:r w:rsidR="003A5E68">
        <w:rPr>
          <w:rFonts w:ascii="Arial" w:hAnsi="Arial" w:cs="Arial"/>
          <w:color w:val="000000" w:themeColor="text1"/>
          <w:sz w:val="20"/>
          <w:szCs w:val="20"/>
        </w:rPr>
        <w:t>8</w:t>
      </w:r>
      <w:r w:rsidRPr="00A20E32">
        <w:rPr>
          <w:rFonts w:ascii="Arial" w:hAnsi="Arial" w:cs="Arial"/>
          <w:color w:val="000000" w:themeColor="text1"/>
          <w:sz w:val="20"/>
          <w:szCs w:val="20"/>
        </w:rPr>
        <w:t xml:space="preserve"> oziroma </w:t>
      </w:r>
      <w:r w:rsidR="003A5E68" w:rsidRPr="007B7A57">
        <w:rPr>
          <w:rFonts w:ascii="Arial" w:hAnsi="Arial" w:cs="Arial"/>
          <w:color w:val="000000" w:themeColor="text1"/>
          <w:sz w:val="20"/>
          <w:szCs w:val="20"/>
        </w:rPr>
        <w:t>2.072,51</w:t>
      </w:r>
      <w:r w:rsidR="003A5E68">
        <w:rPr>
          <w:rFonts w:ascii="Arial" w:hAnsi="Arial" w:cs="Arial"/>
          <w:color w:val="000000" w:themeColor="text1"/>
          <w:sz w:val="20"/>
          <w:szCs w:val="20"/>
        </w:rPr>
        <w:t xml:space="preserve"> </w:t>
      </w:r>
      <w:r w:rsidRPr="00A20E32">
        <w:rPr>
          <w:rFonts w:ascii="Arial" w:hAnsi="Arial" w:cs="Arial"/>
          <w:color w:val="000000" w:themeColor="text1"/>
          <w:sz w:val="20"/>
          <w:szCs w:val="20"/>
        </w:rPr>
        <w:t>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w:t>
      </w:r>
    </w:p>
    <w:bookmarkEnd w:id="1"/>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0E77A2FC" w14:textId="77777777" w:rsidR="003A5E68" w:rsidRDefault="003A5E68" w:rsidP="00A20E32">
      <w:pPr>
        <w:jc w:val="both"/>
        <w:rPr>
          <w:rFonts w:ascii="Arial" w:hAnsi="Arial" w:cs="Arial"/>
          <w:sz w:val="20"/>
          <w:szCs w:val="20"/>
        </w:rPr>
      </w:pPr>
    </w:p>
    <w:p w14:paraId="5FE337B3" w14:textId="77777777" w:rsidR="003A5E68" w:rsidRDefault="003A5E68" w:rsidP="003A5E68">
      <w:pPr>
        <w:jc w:val="both"/>
        <w:rPr>
          <w:rFonts w:ascii="Arial" w:hAnsi="Arial" w:cs="Arial"/>
          <w:color w:val="000000" w:themeColor="text1"/>
          <w:sz w:val="20"/>
          <w:szCs w:val="20"/>
        </w:rPr>
      </w:pPr>
      <w:r w:rsidRPr="003A5E68">
        <w:rPr>
          <w:rFonts w:ascii="Arial" w:hAnsi="Arial" w:cs="Arial"/>
          <w:color w:val="000000" w:themeColor="text1"/>
          <w:sz w:val="20"/>
          <w:szCs w:val="20"/>
        </w:rPr>
        <w:t xml:space="preserve">Uradnik opravlja delo na področju izdaje/podaljšanja dovoljenj za tujce ter izdaje potrdil o prijavi prebivanja za državljane EU, ki želijo prebivati v Republiki Sloveniji. V okviru svojih pooblastil vodi postopke na podlagi Zakona o tujcih in ZUP-a (pregleduje dokumentacijo, pošilja stranki poziv za dopolnitev vloge ter izvaja morebitne ustne obravnave). </w:t>
      </w:r>
    </w:p>
    <w:p w14:paraId="439DBA6E" w14:textId="77777777" w:rsidR="007B7A57" w:rsidRDefault="007B7A57" w:rsidP="003A5E68">
      <w:pPr>
        <w:jc w:val="both"/>
        <w:rPr>
          <w:rFonts w:ascii="Arial" w:hAnsi="Arial" w:cs="Arial"/>
          <w:color w:val="000000" w:themeColor="text1"/>
          <w:sz w:val="20"/>
          <w:szCs w:val="20"/>
        </w:rPr>
      </w:pPr>
    </w:p>
    <w:p w14:paraId="2467C78E" w14:textId="1728B628" w:rsidR="007B7A57" w:rsidRPr="00396B28" w:rsidRDefault="007B7A57" w:rsidP="007B7A57">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Pr>
          <w:rFonts w:ascii="Arial" w:hAnsi="Arial" w:cs="Arial"/>
          <w:sz w:val="20"/>
          <w:szCs w:val="20"/>
        </w:rPr>
        <w:t>31</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0D1FB8">
        <w:rPr>
          <w:rFonts w:ascii="Arial" w:hAnsi="Arial" w:cs="Arial"/>
          <w:b/>
          <w:bCs/>
          <w:sz w:val="20"/>
          <w:szCs w:val="20"/>
          <w:u w:val="single"/>
        </w:rPr>
        <w:t>20</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29175286"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0D1FB8">
        <w:rPr>
          <w:rFonts w:ascii="Arial" w:hAnsi="Arial" w:cs="Arial"/>
          <w:sz w:val="20"/>
          <w:szCs w:val="20"/>
        </w:rPr>
        <w:t>Denis Ćoralić</w:t>
      </w:r>
      <w:r w:rsidRPr="004008BE">
        <w:rPr>
          <w:rFonts w:ascii="Arial" w:hAnsi="Arial" w:cs="Arial"/>
          <w:sz w:val="20"/>
          <w:szCs w:val="20"/>
        </w:rPr>
        <w:t xml:space="preserve">, vsak delavnik med 9. in 11. uro (telefonska številka 01/306 31 </w:t>
      </w:r>
      <w:r w:rsidR="000D1FB8">
        <w:rPr>
          <w:rFonts w:ascii="Arial" w:hAnsi="Arial" w:cs="Arial"/>
          <w:sz w:val="20"/>
          <w:szCs w:val="20"/>
        </w:rPr>
        <w:t>54</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2B3B3860"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7B397C">
      <w:rPr>
        <w:rFonts w:ascii="Arial" w:hAnsi="Arial" w:cs="Arial"/>
        <w:sz w:val="20"/>
        <w:szCs w:val="20"/>
      </w:rPr>
      <w:t>31</w:t>
    </w:r>
    <w:r w:rsidR="00C259DD">
      <w:rPr>
        <w:rFonts w:ascii="Arial" w:hAnsi="Arial" w:cs="Arial"/>
        <w:sz w:val="20"/>
        <w:szCs w:val="20"/>
      </w:rPr>
      <w:t>/</w:t>
    </w:r>
    <w:r w:rsidR="00632263" w:rsidRPr="000156EF">
      <w:rPr>
        <w:rFonts w:ascii="Arial" w:hAnsi="Arial" w:cs="Arial"/>
        <w:sz w:val="20"/>
        <w:szCs w:val="20"/>
      </w:rPr>
      <w:t>202</w:t>
    </w:r>
    <w:r w:rsidR="007B397C">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D1FB8"/>
    <w:rsid w:val="000D274D"/>
    <w:rsid w:val="000E36FD"/>
    <w:rsid w:val="000E59DB"/>
    <w:rsid w:val="000F3AA3"/>
    <w:rsid w:val="00114081"/>
    <w:rsid w:val="00157B67"/>
    <w:rsid w:val="00164F57"/>
    <w:rsid w:val="00175936"/>
    <w:rsid w:val="00177C84"/>
    <w:rsid w:val="001C7A19"/>
    <w:rsid w:val="00203BD3"/>
    <w:rsid w:val="0022146A"/>
    <w:rsid w:val="00255D6C"/>
    <w:rsid w:val="002933B5"/>
    <w:rsid w:val="00294922"/>
    <w:rsid w:val="002A5DA0"/>
    <w:rsid w:val="002A6E51"/>
    <w:rsid w:val="002D4B35"/>
    <w:rsid w:val="00300E87"/>
    <w:rsid w:val="003020EF"/>
    <w:rsid w:val="003047F0"/>
    <w:rsid w:val="00330D48"/>
    <w:rsid w:val="00342EFC"/>
    <w:rsid w:val="00372F5F"/>
    <w:rsid w:val="00374589"/>
    <w:rsid w:val="003A3412"/>
    <w:rsid w:val="003A5E68"/>
    <w:rsid w:val="003B17EB"/>
    <w:rsid w:val="003B3B58"/>
    <w:rsid w:val="003C66F2"/>
    <w:rsid w:val="003D0F70"/>
    <w:rsid w:val="003F0934"/>
    <w:rsid w:val="00410D69"/>
    <w:rsid w:val="00412EEF"/>
    <w:rsid w:val="004218FD"/>
    <w:rsid w:val="00422C8E"/>
    <w:rsid w:val="00436EA9"/>
    <w:rsid w:val="00451A97"/>
    <w:rsid w:val="00471DB4"/>
    <w:rsid w:val="004729C3"/>
    <w:rsid w:val="004821EB"/>
    <w:rsid w:val="004B145A"/>
    <w:rsid w:val="004B311C"/>
    <w:rsid w:val="004E5EF8"/>
    <w:rsid w:val="004F48BF"/>
    <w:rsid w:val="00507251"/>
    <w:rsid w:val="00556C80"/>
    <w:rsid w:val="00560DB7"/>
    <w:rsid w:val="00580EB3"/>
    <w:rsid w:val="005B6463"/>
    <w:rsid w:val="005C24E4"/>
    <w:rsid w:val="005C4478"/>
    <w:rsid w:val="005E3EAF"/>
    <w:rsid w:val="005E4D6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71C20"/>
    <w:rsid w:val="00794F81"/>
    <w:rsid w:val="007B397C"/>
    <w:rsid w:val="007B7A57"/>
    <w:rsid w:val="007F3724"/>
    <w:rsid w:val="00813D2A"/>
    <w:rsid w:val="0081723D"/>
    <w:rsid w:val="00825B47"/>
    <w:rsid w:val="0084438C"/>
    <w:rsid w:val="00844439"/>
    <w:rsid w:val="00863F60"/>
    <w:rsid w:val="008704F2"/>
    <w:rsid w:val="008764D8"/>
    <w:rsid w:val="00891CEF"/>
    <w:rsid w:val="00896E08"/>
    <w:rsid w:val="008B2C6A"/>
    <w:rsid w:val="008B3296"/>
    <w:rsid w:val="008C3903"/>
    <w:rsid w:val="008C397F"/>
    <w:rsid w:val="008C49AE"/>
    <w:rsid w:val="008D704E"/>
    <w:rsid w:val="008F68C7"/>
    <w:rsid w:val="009042E2"/>
    <w:rsid w:val="00915AA1"/>
    <w:rsid w:val="00920679"/>
    <w:rsid w:val="00932245"/>
    <w:rsid w:val="00955CEA"/>
    <w:rsid w:val="00995E82"/>
    <w:rsid w:val="00996BE7"/>
    <w:rsid w:val="009A0C76"/>
    <w:rsid w:val="009A6295"/>
    <w:rsid w:val="009F2EF7"/>
    <w:rsid w:val="00A073A7"/>
    <w:rsid w:val="00A20E32"/>
    <w:rsid w:val="00A24C2A"/>
    <w:rsid w:val="00A3228A"/>
    <w:rsid w:val="00A37807"/>
    <w:rsid w:val="00A42CE7"/>
    <w:rsid w:val="00A76EFC"/>
    <w:rsid w:val="00A95976"/>
    <w:rsid w:val="00A97279"/>
    <w:rsid w:val="00AA28ED"/>
    <w:rsid w:val="00AC4369"/>
    <w:rsid w:val="00AD1896"/>
    <w:rsid w:val="00AD2C1A"/>
    <w:rsid w:val="00AD5460"/>
    <w:rsid w:val="00AE3E35"/>
    <w:rsid w:val="00B04CCA"/>
    <w:rsid w:val="00B3346B"/>
    <w:rsid w:val="00B365E2"/>
    <w:rsid w:val="00B37769"/>
    <w:rsid w:val="00B6794D"/>
    <w:rsid w:val="00BC6145"/>
    <w:rsid w:val="00BC6AF0"/>
    <w:rsid w:val="00BD6603"/>
    <w:rsid w:val="00BE284C"/>
    <w:rsid w:val="00C17515"/>
    <w:rsid w:val="00C259DD"/>
    <w:rsid w:val="00C70A14"/>
    <w:rsid w:val="00C7697B"/>
    <w:rsid w:val="00C93D2C"/>
    <w:rsid w:val="00CA0B71"/>
    <w:rsid w:val="00CC06AE"/>
    <w:rsid w:val="00D10F62"/>
    <w:rsid w:val="00D15882"/>
    <w:rsid w:val="00D1619D"/>
    <w:rsid w:val="00D1639B"/>
    <w:rsid w:val="00D24CF0"/>
    <w:rsid w:val="00D55031"/>
    <w:rsid w:val="00D64D61"/>
    <w:rsid w:val="00D67206"/>
    <w:rsid w:val="00D708B9"/>
    <w:rsid w:val="00D81CD1"/>
    <w:rsid w:val="00DA62BD"/>
    <w:rsid w:val="00DE0FB7"/>
    <w:rsid w:val="00DF3AB8"/>
    <w:rsid w:val="00DF79EF"/>
    <w:rsid w:val="00E16266"/>
    <w:rsid w:val="00E371FF"/>
    <w:rsid w:val="00E54F93"/>
    <w:rsid w:val="00E61687"/>
    <w:rsid w:val="00E8234A"/>
    <w:rsid w:val="00E907E5"/>
    <w:rsid w:val="00E9506B"/>
    <w:rsid w:val="00E96D14"/>
    <w:rsid w:val="00EA57AB"/>
    <w:rsid w:val="00EB5B83"/>
    <w:rsid w:val="00EC01F6"/>
    <w:rsid w:val="00ED5AEC"/>
    <w:rsid w:val="00EE45CC"/>
    <w:rsid w:val="00F00EA9"/>
    <w:rsid w:val="00F125B6"/>
    <w:rsid w:val="00F2530F"/>
    <w:rsid w:val="00F3675C"/>
    <w:rsid w:val="00F664C1"/>
    <w:rsid w:val="00F66E95"/>
    <w:rsid w:val="00F8121C"/>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1157</Words>
  <Characters>6966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8107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8</cp:revision>
  <cp:lastPrinted>2021-06-23T08:58:00Z</cp:lastPrinted>
  <dcterms:created xsi:type="dcterms:W3CDTF">2025-11-19T15:28:00Z</dcterms:created>
  <dcterms:modified xsi:type="dcterms:W3CDTF">2026-03-11T15:18:00Z</dcterms:modified>
</cp:coreProperties>
</file>