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177746CE" w:rsidR="00E7119C" w:rsidRPr="00444FA5" w:rsidRDefault="006B6164" w:rsidP="003D76BC">
            <w:pPr>
              <w:rPr>
                <w:lang w:val="sl-SI"/>
              </w:rPr>
            </w:pPr>
            <w:r w:rsidRPr="002B7564">
              <w:rPr>
                <w:lang w:val="sl-SI"/>
              </w:rPr>
              <w:t>110-</w:t>
            </w:r>
            <w:r w:rsidR="00760F91">
              <w:rPr>
                <w:lang w:val="sl-SI"/>
              </w:rPr>
              <w:t>12</w:t>
            </w:r>
            <w:r w:rsidR="0031488B" w:rsidRPr="002B7564">
              <w:rPr>
                <w:lang w:val="sl-SI"/>
              </w:rPr>
              <w:t>/202</w:t>
            </w:r>
            <w:r w:rsidR="00D44A6B">
              <w:rPr>
                <w:lang w:val="sl-SI"/>
              </w:rPr>
              <w:t>4</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27122D0E" w:rsidR="00E7119C" w:rsidRPr="00444FA5" w:rsidRDefault="00D44A6B" w:rsidP="003D76BC">
            <w:pPr>
              <w:jc w:val="both"/>
              <w:rPr>
                <w:rFonts w:cs="Arial"/>
                <w:color w:val="000000"/>
                <w:szCs w:val="20"/>
                <w:lang w:val="sl-SI"/>
              </w:rPr>
            </w:pPr>
            <w:r>
              <w:rPr>
                <w:rFonts w:cs="Arial"/>
                <w:color w:val="000000"/>
                <w:szCs w:val="20"/>
                <w:lang w:val="sl-SI"/>
              </w:rPr>
              <w:t>1</w:t>
            </w:r>
            <w:r w:rsidR="00760F91">
              <w:rPr>
                <w:rFonts w:cs="Arial"/>
                <w:color w:val="000000"/>
                <w:szCs w:val="20"/>
                <w:lang w:val="sl-SI"/>
              </w:rPr>
              <w:t>4</w:t>
            </w:r>
            <w:r w:rsidR="00BA0D94">
              <w:rPr>
                <w:rFonts w:cs="Arial"/>
                <w:color w:val="000000"/>
                <w:szCs w:val="20"/>
                <w:lang w:val="sl-SI"/>
              </w:rPr>
              <w:t xml:space="preserve">. </w:t>
            </w:r>
            <w:r w:rsidR="0024011D">
              <w:rPr>
                <w:rFonts w:cs="Arial"/>
                <w:color w:val="000000"/>
                <w:szCs w:val="20"/>
                <w:lang w:val="sl-SI"/>
              </w:rPr>
              <w:t>3</w:t>
            </w:r>
            <w:r w:rsidR="0031488B" w:rsidRPr="00444FA5">
              <w:rPr>
                <w:rFonts w:cs="Arial"/>
                <w:color w:val="000000"/>
                <w:szCs w:val="20"/>
                <w:lang w:val="sl-SI"/>
              </w:rPr>
              <w:t>. 202</w:t>
            </w:r>
            <w:r>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44AE3B53" w:rsidR="00417B7D" w:rsidRPr="00444FA5" w:rsidRDefault="006368F2"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Pr>
          <w:rFonts w:ascii="Arial" w:hAnsi="Arial" w:cs="Arial"/>
          <w:b/>
          <w:color w:val="auto"/>
          <w:sz w:val="20"/>
          <w:szCs w:val="20"/>
        </w:rPr>
        <w:t>145</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1DF7D1D2" w14:textId="3B085380" w:rsidR="002E6CC0" w:rsidRPr="00C77C97" w:rsidRDefault="003B037C" w:rsidP="00C77C97">
      <w:pPr>
        <w:pStyle w:val="datumtevilka"/>
        <w:jc w:val="both"/>
      </w:pPr>
      <w:r w:rsidRPr="00C77C97">
        <w:t xml:space="preserve">Delo se opravlja na okencih, kjer se sprejemajo vloge strank s področja referata  (npr. </w:t>
      </w:r>
      <w:r w:rsidR="007F1962" w:rsidRPr="00C77C97">
        <w:t xml:space="preserve">vloge tujcev, </w:t>
      </w:r>
      <w:r w:rsidRPr="00C77C97">
        <w:t>potn</w:t>
      </w:r>
      <w:r w:rsidR="007F1962" w:rsidRPr="00C77C97">
        <w:t>e</w:t>
      </w:r>
      <w:r w:rsidRPr="00C77C97">
        <w:t xml:space="preserve"> listin</w:t>
      </w:r>
      <w:r w:rsidR="007F1962" w:rsidRPr="00C77C97">
        <w:t>e</w:t>
      </w:r>
      <w:r w:rsidRPr="00C77C97">
        <w:t>, osebn</w:t>
      </w:r>
      <w:r w:rsidR="007F1962" w:rsidRPr="00C77C97">
        <w:t>e</w:t>
      </w:r>
      <w:r w:rsidRPr="00C77C97">
        <w:t xml:space="preserve"> izkaznic</w:t>
      </w:r>
      <w:r w:rsidR="007F1962" w:rsidRPr="00C77C97">
        <w:t>e</w:t>
      </w:r>
      <w:r w:rsidRPr="00C77C97">
        <w:t>, vozniško dovoljenje) in druge vloge s področja poslovanja upravne enote.</w:t>
      </w:r>
    </w:p>
    <w:p w14:paraId="52BF9681" w14:textId="77777777" w:rsidR="003B037C" w:rsidRPr="00D44A6B" w:rsidRDefault="003B037C" w:rsidP="00CB5090">
      <w:pPr>
        <w:pStyle w:val="datumtevilka"/>
        <w:jc w:val="both"/>
        <w:rPr>
          <w:rFonts w:cs="Arial"/>
          <w:color w:val="FF0000"/>
        </w:rPr>
      </w:pPr>
    </w:p>
    <w:p w14:paraId="7BC91B14" w14:textId="6A9BD26F"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w:t>
      </w:r>
      <w:r w:rsidR="006368F2">
        <w:rPr>
          <w:rFonts w:cs="Arial"/>
        </w:rPr>
        <w:t>127,30</w:t>
      </w:r>
      <w:r w:rsidR="00A743EF">
        <w:rPr>
          <w:rFonts w:cs="Arial"/>
        </w:rPr>
        <w:t xml:space="preserve">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A75E1BA"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sidR="006368F2">
        <w:rPr>
          <w:rFonts w:cs="Arial"/>
          <w:szCs w:val="20"/>
          <w:lang w:val="sl-SI"/>
        </w:rPr>
        <w:t>na raven ter</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48FA4293"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 xml:space="preserve">v </w:t>
      </w:r>
      <w:r w:rsidR="00593208">
        <w:rPr>
          <w:rFonts w:cs="Arial"/>
          <w:szCs w:val="20"/>
          <w:lang w:val="sl-SI"/>
        </w:rPr>
        <w:t>Referatu za osebne listine in promet</w:t>
      </w:r>
      <w:r w:rsidRPr="00444FA5">
        <w:rPr>
          <w:rFonts w:cs="Arial"/>
          <w:szCs w:val="20"/>
          <w:lang w:val="sl-SI"/>
        </w:rPr>
        <w:t xml:space="preserve"> (šifra DM </w:t>
      </w:r>
      <w:r w:rsidR="006368F2">
        <w:rPr>
          <w:rFonts w:cs="Arial"/>
          <w:szCs w:val="20"/>
          <w:lang w:val="sl-SI"/>
        </w:rPr>
        <w:t>145</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760F91">
        <w:rPr>
          <w:rFonts w:cs="Arial"/>
          <w:bCs/>
          <w:szCs w:val="20"/>
          <w:lang w:val="sl-SI" w:eastAsia="sl-SI"/>
        </w:rPr>
        <w:t>1</w:t>
      </w:r>
      <w:r w:rsidR="006368F2">
        <w:rPr>
          <w:rFonts w:cs="Arial"/>
          <w:bCs/>
          <w:szCs w:val="20"/>
          <w:lang w:val="sl-SI" w:eastAsia="sl-SI"/>
        </w:rPr>
        <w:t>9</w:t>
      </w:r>
      <w:r w:rsidRPr="00444FA5">
        <w:rPr>
          <w:rFonts w:cs="Arial"/>
          <w:bCs/>
          <w:szCs w:val="20"/>
          <w:lang w:val="sl-SI" w:eastAsia="sl-SI"/>
        </w:rPr>
        <w:t>/202</w:t>
      </w:r>
      <w:r w:rsidR="00D44A6B">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02A563A8" w:rsidR="00417B7D" w:rsidRDefault="0024011D" w:rsidP="00417B7D">
      <w:pPr>
        <w:ind w:left="4320" w:firstLine="720"/>
        <w:rPr>
          <w:lang w:val="sl-SI"/>
        </w:rPr>
      </w:pPr>
      <w:r>
        <w:rPr>
          <w:lang w:val="sl-SI"/>
        </w:rPr>
        <w:t>n</w:t>
      </w:r>
      <w:r w:rsidR="00417B7D" w:rsidRPr="00444FA5">
        <w:rPr>
          <w:lang w:val="sl-SI"/>
        </w:rPr>
        <w:t>ačelnica</w:t>
      </w:r>
    </w:p>
    <w:sectPr w:rsidR="00417B7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5D7A"/>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361A6"/>
    <w:rsid w:val="00444FA5"/>
    <w:rsid w:val="004657EE"/>
    <w:rsid w:val="004840BC"/>
    <w:rsid w:val="004A7165"/>
    <w:rsid w:val="004E6485"/>
    <w:rsid w:val="004F2252"/>
    <w:rsid w:val="005105F2"/>
    <w:rsid w:val="00526246"/>
    <w:rsid w:val="00543D60"/>
    <w:rsid w:val="00554D0F"/>
    <w:rsid w:val="00567106"/>
    <w:rsid w:val="0059236C"/>
    <w:rsid w:val="00593208"/>
    <w:rsid w:val="005A249F"/>
    <w:rsid w:val="005D5EAD"/>
    <w:rsid w:val="005E1D3C"/>
    <w:rsid w:val="00625AE6"/>
    <w:rsid w:val="00632253"/>
    <w:rsid w:val="006368F2"/>
    <w:rsid w:val="00642714"/>
    <w:rsid w:val="006455CE"/>
    <w:rsid w:val="00646B0E"/>
    <w:rsid w:val="00655841"/>
    <w:rsid w:val="006763B4"/>
    <w:rsid w:val="00690AE2"/>
    <w:rsid w:val="006B6164"/>
    <w:rsid w:val="006C1280"/>
    <w:rsid w:val="006C29A9"/>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1104</Words>
  <Characters>12112</Characters>
  <Application>Microsoft Office Word</Application>
  <DocSecurity>0</DocSecurity>
  <Lines>100</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3</cp:revision>
  <cp:lastPrinted>2023-07-11T08:37:00Z</cp:lastPrinted>
  <dcterms:created xsi:type="dcterms:W3CDTF">2024-06-07T08:02:00Z</dcterms:created>
  <dcterms:modified xsi:type="dcterms:W3CDTF">2024-06-07T08:15:00Z</dcterms:modified>
</cp:coreProperties>
</file>