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center"/>
        <w:rPr>
          <w:rFonts w:ascii="Arial" w:cs="Arial" w:hAnsi="Arial" w:eastAsia="Arial"/>
          <w:outline w:val="0"/>
          <w:color w:val="0000ff"/>
          <w:kern w:val="3"/>
          <w:u w:color="0000ff"/>
          <w14:textFill>
            <w14:solidFill>
              <w14:srgbClr w14:val="0000FF"/>
            </w14:solidFill>
          </w14:textFill>
        </w:rPr>
      </w:pPr>
      <w:r>
        <w:rPr>
          <w:rFonts w:ascii="Arial" w:cs="Arial" w:hAnsi="Arial" w:eastAsia="Arial"/>
          <w:outline w:val="0"/>
          <w:color w:val="0000ff"/>
          <w:kern w:val="3"/>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w:suppressAutoHyphens w:val="1"/>
        <w:jc w:val="center"/>
        <w:rPr>
          <w:rFonts w:ascii="Arial" w:cs="Arial" w:hAnsi="Arial" w:eastAsia="Arial"/>
          <w:kern w:val="3"/>
          <w:lang w:val="en-US"/>
        </w:rPr>
      </w:pPr>
    </w:p>
    <w:p>
      <w:pPr>
        <w:pStyle w:val="Body"/>
        <w:suppressAutoHyphens w:val="1"/>
        <w:rPr>
          <w:rFonts w:ascii="Arial" w:cs="Arial" w:hAnsi="Arial" w:eastAsia="Arial"/>
          <w:kern w:val="3"/>
          <w:lang w:val="en-US"/>
        </w:rPr>
      </w:pPr>
    </w:p>
    <w:p>
      <w:pPr>
        <w:pStyle w:val="Body"/>
        <w:suppressAutoHyphens w:val="1"/>
        <w:spacing w:after="60"/>
        <w:jc w:val="center"/>
        <w:rPr>
          <w:rFonts w:ascii="Republika" w:cs="Republika" w:hAnsi="Republika" w:eastAsia="Republika"/>
          <w:kern w:val="3"/>
        </w:rPr>
      </w:pPr>
      <w:r>
        <w:rPr>
          <w:rFonts w:ascii="Republika" w:cs="Republika" w:hAnsi="Republika" w:eastAsia="Republika"/>
          <w:kern w:val="3"/>
          <w:rtl w:val="0"/>
          <w:lang w:val="en-US"/>
        </w:rPr>
        <w:t>Statement by</w:t>
      </w:r>
    </w:p>
    <w:p>
      <w:pPr>
        <w:pStyle w:val="Body"/>
        <w:suppressAutoHyphens w:val="1"/>
        <w:jc w:val="center"/>
        <w:rPr>
          <w:rFonts w:ascii="Republika" w:cs="Republika" w:hAnsi="Republika" w:eastAsia="Republika"/>
          <w:b w:val="1"/>
          <w:bCs w:val="1"/>
          <w:kern w:val="3"/>
        </w:rPr>
      </w:pPr>
      <w:r>
        <w:rPr>
          <w:rFonts w:ascii="Republika" w:cs="Republika" w:hAnsi="Republika" w:eastAsia="Republika"/>
          <w:b w:val="1"/>
          <w:bCs w:val="1"/>
          <w:kern w:val="3"/>
          <w:rtl w:val="0"/>
          <w:lang w:val="en-US"/>
        </w:rPr>
        <w:t>the Republic of Slovenia</w:t>
      </w:r>
    </w:p>
    <w:p>
      <w:pPr>
        <w:pStyle w:val="Body"/>
        <w:suppressAutoHyphens w:val="1"/>
        <w:spacing w:after="60"/>
        <w:jc w:val="center"/>
        <w:rPr>
          <w:rFonts w:ascii="Republika" w:cs="Republika" w:hAnsi="Republika" w:eastAsia="Republika"/>
          <w:kern w:val="3"/>
        </w:rPr>
      </w:pPr>
      <w:r>
        <w:rPr>
          <w:rFonts w:ascii="Republika" w:cs="Republika" w:hAnsi="Republika" w:eastAsia="Republika"/>
          <w:kern w:val="3"/>
          <w:rtl w:val="0"/>
          <w:lang w:val="en-US"/>
        </w:rPr>
        <w:t>at the</w:t>
      </w:r>
    </w:p>
    <w:p>
      <w:pPr>
        <w:pStyle w:val="Body"/>
        <w:suppressAutoHyphens w:val="1"/>
        <w:jc w:val="center"/>
        <w:rPr>
          <w:rFonts w:ascii="Republika" w:cs="Republika" w:hAnsi="Republika" w:eastAsia="Republika"/>
          <w:b w:val="1"/>
          <w:bCs w:val="1"/>
          <w:outline w:val="0"/>
          <w:color w:val="529dba"/>
          <w:kern w:val="3"/>
          <w:u w:color="529dba"/>
          <w14:textFill>
            <w14:solidFill>
              <w14:srgbClr w14:val="529DBA"/>
            </w14:solidFill>
          </w14:textFill>
        </w:rPr>
      </w:pPr>
      <w:r>
        <w:rPr>
          <w:rFonts w:ascii="Republika" w:cs="Republika" w:hAnsi="Republika" w:eastAsia="Republika"/>
          <w:b w:val="1"/>
          <w:bCs w:val="1"/>
          <w:outline w:val="0"/>
          <w:color w:val="529dba"/>
          <w:kern w:val="3"/>
          <w:u w:color="529dba"/>
          <w:rtl w:val="0"/>
          <w:lang w:val="en-US"/>
          <w14:textFill>
            <w14:solidFill>
              <w14:srgbClr w14:val="529DBA"/>
            </w14:solidFill>
          </w14:textFill>
        </w:rPr>
        <w:t>39</w:t>
      </w:r>
      <w:r>
        <w:rPr>
          <w:rFonts w:ascii="Republika" w:cs="Republika" w:hAnsi="Republika" w:eastAsia="Republika"/>
          <w:b w:val="1"/>
          <w:bCs w:val="1"/>
          <w:outline w:val="0"/>
          <w:color w:val="529dba"/>
          <w:kern w:val="3"/>
          <w:u w:color="529dba"/>
          <w:vertAlign w:val="superscript"/>
          <w:rtl w:val="0"/>
          <w:lang w:val="en-US"/>
          <w14:textFill>
            <w14:solidFill>
              <w14:srgbClr w14:val="529DBA"/>
            </w14:solidFill>
          </w14:textFill>
        </w:rPr>
        <w:t>th</w:t>
      </w:r>
      <w:r>
        <w:rPr>
          <w:rFonts w:ascii="Republika" w:cs="Republika" w:hAnsi="Republika" w:eastAsia="Republika"/>
          <w:b w:val="1"/>
          <w:bCs w:val="1"/>
          <w:outline w:val="0"/>
          <w:color w:val="529dba"/>
          <w:kern w:val="3"/>
          <w:u w:color="529dba"/>
          <w:rtl w:val="0"/>
          <w:lang w:val="en-US"/>
          <w14:textFill>
            <w14:solidFill>
              <w14:srgbClr w14:val="529DBA"/>
            </w14:solidFill>
          </w14:textFill>
        </w:rPr>
        <w:t xml:space="preserve"> Session of the UPR Working Group </w:t>
      </w:r>
      <w:r>
        <w:rPr>
          <w:rFonts w:ascii="Republika" w:cs="Republika" w:hAnsi="Republika" w:eastAsia="Republika"/>
          <w:b w:val="1"/>
          <w:bCs w:val="1"/>
          <w:outline w:val="0"/>
          <w:color w:val="529dba"/>
          <w:kern w:val="3"/>
          <w:u w:color="529dba"/>
          <w:rtl w:val="0"/>
          <w:lang w:val="en-US"/>
          <w14:textFill>
            <w14:solidFill>
              <w14:srgbClr w14:val="529DBA"/>
            </w14:solidFill>
          </w14:textFill>
        </w:rPr>
        <w:t xml:space="preserve">– </w:t>
      </w:r>
      <w:r>
        <w:rPr>
          <w:rFonts w:ascii="Republika" w:cs="Republika" w:hAnsi="Republika" w:eastAsia="Republika"/>
          <w:b w:val="1"/>
          <w:bCs w:val="1"/>
          <w:outline w:val="0"/>
          <w:color w:val="529dba"/>
          <w:kern w:val="3"/>
          <w:u w:color="529dba"/>
          <w:rtl w:val="0"/>
          <w:lang w:val="en-US"/>
          <w14:textFill>
            <w14:solidFill>
              <w14:srgbClr w14:val="529DBA"/>
            </w14:solidFill>
          </w14:textFill>
        </w:rPr>
        <w:t>Review of Antigua and Barbuda</w:t>
      </w:r>
    </w:p>
    <w:p>
      <w:pPr>
        <w:pStyle w:val="Body"/>
        <w:suppressAutoHyphens w:val="1"/>
        <w:jc w:val="center"/>
        <w:rPr>
          <w:rFonts w:ascii="Republika" w:cs="Republika" w:hAnsi="Republika" w:eastAsia="Republika"/>
          <w:b w:val="1"/>
          <w:bCs w:val="1"/>
          <w:outline w:val="0"/>
          <w:color w:val="529dba"/>
          <w:kern w:val="3"/>
          <w:sz w:val="20"/>
          <w:szCs w:val="20"/>
          <w:u w:color="529dba"/>
          <w:lang w:val="en-US"/>
          <w14:textFill>
            <w14:solidFill>
              <w14:srgbClr w14:val="529DBA"/>
            </w14:solidFill>
          </w14:textFill>
        </w:rPr>
      </w:pPr>
    </w:p>
    <w:p>
      <w:pPr>
        <w:pStyle w:val="Body"/>
        <w:pBdr>
          <w:top w:val="nil"/>
          <w:left w:val="nil"/>
          <w:bottom w:val="single" w:color="000000" w:sz="4" w:space="0" w:shadow="0" w:frame="0"/>
          <w:right w:val="nil"/>
        </w:pBdr>
        <w:suppressAutoHyphens w:val="1"/>
        <w:jc w:val="center"/>
        <w:rPr>
          <w:rFonts w:ascii="Republika" w:cs="Republika" w:hAnsi="Republika" w:eastAsia="Republika"/>
          <w:i w:val="1"/>
          <w:iCs w:val="1"/>
          <w:kern w:val="3"/>
          <w:sz w:val="20"/>
          <w:szCs w:val="20"/>
        </w:rPr>
      </w:pPr>
      <w:r>
        <w:rPr>
          <w:rFonts w:ascii="Republika" w:cs="Republika" w:hAnsi="Republika" w:eastAsia="Republika"/>
          <w:i w:val="1"/>
          <w:iCs w:val="1"/>
          <w:kern w:val="3"/>
          <w:sz w:val="20"/>
          <w:szCs w:val="20"/>
          <w:rtl w:val="0"/>
          <w:lang w:val="en-US"/>
        </w:rPr>
        <w:t>Geneva, 8 November 2021</w:t>
      </w:r>
    </w:p>
    <w:p>
      <w:pPr>
        <w:pStyle w:val="No Spacing"/>
        <w:spacing w:line="276" w:lineRule="auto"/>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Madame President,</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Slovenia wishes to commend Antigua and Barbuda for its presentation today and its commitment to the UPR process. We welcome recent adoption of a national child protection policy and the commitment of the government to strengthen its capacity for protecting the rights of children in the country.</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 xml:space="preserve">Slovenia would like to make the following </w:t>
      </w:r>
      <w:r>
        <w:rPr>
          <w:rFonts w:ascii="Arial" w:hAnsi="Arial"/>
          <w:b w:val="1"/>
          <w:bCs w:val="1"/>
          <w:rtl w:val="0"/>
          <w:lang w:val="en-US"/>
        </w:rPr>
        <w:t>recommendations</w:t>
      </w:r>
      <w:r>
        <w:rPr>
          <w:rFonts w:ascii="Arial" w:hAnsi="Arial"/>
          <w:rtl w:val="0"/>
          <w:lang w:val="en-US"/>
        </w:rPr>
        <w:t>:</w:t>
      </w:r>
    </w:p>
    <w:p>
      <w:pPr>
        <w:pStyle w:val="Body"/>
        <w:numPr>
          <w:ilvl w:val="0"/>
          <w:numId w:val="2"/>
        </w:numPr>
        <w:bidi w:val="0"/>
        <w:ind w:right="0"/>
        <w:jc w:val="both"/>
        <w:rPr>
          <w:rFonts w:ascii="Arial" w:hAnsi="Arial"/>
          <w:sz w:val="22"/>
          <w:szCs w:val="22"/>
          <w:rtl w:val="0"/>
          <w:lang w:val="en-US"/>
        </w:rPr>
      </w:pPr>
      <w:r>
        <w:rPr>
          <w:rFonts w:ascii="Arial" w:hAnsi="Arial"/>
          <w:sz w:val="22"/>
          <w:szCs w:val="22"/>
          <w:rtl w:val="0"/>
          <w:lang w:val="en-US"/>
        </w:rPr>
        <w:t>to establish an official moratorium on the death penalty, with a view to its full abolition and to ratify the second Optional Protocol to the I</w:t>
      </w:r>
      <w:r>
        <w:rPr>
          <w:rFonts w:ascii="Arial" w:hAnsi="Arial"/>
          <w:sz w:val="22"/>
          <w:szCs w:val="22"/>
          <w:rtl w:val="0"/>
          <w:lang w:val="en-US"/>
        </w:rPr>
        <w:t>CCPR</w:t>
      </w:r>
      <w:r>
        <w:rPr>
          <w:rFonts w:ascii="Arial" w:hAnsi="Arial"/>
          <w:sz w:val="22"/>
          <w:szCs w:val="22"/>
          <w:rtl w:val="0"/>
          <w:lang w:val="en-US"/>
        </w:rPr>
        <w:t xml:space="preserve">, </w:t>
      </w:r>
    </w:p>
    <w:p>
      <w:pPr>
        <w:pStyle w:val="Body"/>
        <w:numPr>
          <w:ilvl w:val="0"/>
          <w:numId w:val="2"/>
        </w:numPr>
        <w:bidi w:val="0"/>
        <w:ind w:right="0"/>
        <w:jc w:val="both"/>
        <w:rPr>
          <w:rFonts w:ascii="Arial" w:hAnsi="Arial"/>
          <w:sz w:val="22"/>
          <w:szCs w:val="22"/>
          <w:rtl w:val="0"/>
          <w:lang w:val="en-US"/>
        </w:rPr>
      </w:pPr>
      <w:r>
        <w:rPr>
          <w:rFonts w:ascii="Arial" w:hAnsi="Arial"/>
          <w:sz w:val="22"/>
          <w:szCs w:val="22"/>
          <w:rtl w:val="0"/>
          <w:lang w:val="en-US"/>
        </w:rPr>
        <w:t>to prohibit corporal punishment of children in all settings.</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 xml:space="preserve">Although we note considerable work undertaken by the Ministry of Education in partnership with the UN Children's Fund since 2018, corporal punishment remains acceptable in the home, alternative care settings, day care, schools and penal institutions. We would therefore like to reiterate our past recommendation that the common law right to punish children should be explicitly repealed and prohibition of all corporal punishment enacted in all settings where adults have authority over children. </w:t>
      </w:r>
    </w:p>
    <w:p>
      <w:pPr>
        <w:pStyle w:val="No Spacing"/>
        <w:jc w:val="both"/>
        <w:rPr>
          <w:rFonts w:ascii="Arial" w:cs="Arial" w:hAnsi="Arial" w:eastAsia="Arial"/>
          <w:lang w:val="en-US"/>
        </w:rPr>
      </w:pPr>
    </w:p>
    <w:p>
      <w:pPr>
        <w:pStyle w:val="No Spacing"/>
        <w:jc w:val="both"/>
      </w:pPr>
      <w:r>
        <w:rPr>
          <w:rFonts w:ascii="Arial" w:hAnsi="Arial"/>
          <w:rtl w:val="0"/>
          <w:lang w:val="en-US"/>
        </w:rPr>
        <w:t>Thank you.</w:t>
      </w:r>
      <w:r>
        <w:rPr>
          <w:rFonts w:ascii="Arial" w:cs="Arial" w:hAnsi="Arial" w:eastAsia="Arial"/>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Republik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Arial" w:hAnsi="Arial"/>
        <w:i w:val="1"/>
        <w:iCs w:val="1"/>
        <w:sz w:val="20"/>
        <w:szCs w:val="20"/>
        <w:u w:val="single"/>
        <w:rtl w:val="0"/>
        <w:lang w:val="en-US"/>
      </w:rPr>
      <w:t>Check against delivery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