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0"/>
        <w:spacing w:after="200" w:line="276" w:lineRule="auto"/>
        <w:jc w:val="center"/>
        <w:rPr>
          <w:rFonts w:ascii="Arial" w:hAnsi="Arial"/>
        </w:rPr>
      </w:pPr>
      <w:r>
        <w:rPr>
          <w:rFonts w:ascii="Arial" w:hAnsi="Arial"/>
          <w:outline w:val="0"/>
          <w:color w:val="0000ff"/>
          <w:u w:color="0000ff"/>
          <w14:textFill>
            <w14:solidFill>
              <w14:srgbClr w14:val="0000FF"/>
            </w14:solidFill>
          </w14:textFill>
        </w:rPr>
        <w:drawing xmlns:a="http://schemas.openxmlformats.org/drawingml/2006/main">
          <wp:inline distT="0" distB="0" distL="0" distR="0">
            <wp:extent cx="333375" cy="419100"/>
            <wp:effectExtent l="0" t="0" r="0" b="0"/>
            <wp:docPr id="1073741825" name="officeArt object" descr="http://home.amis.net/btovorni/slike/grb_cgp.png"/>
            <wp:cNvGraphicFramePr/>
            <a:graphic xmlns:a="http://schemas.openxmlformats.org/drawingml/2006/main">
              <a:graphicData uri="http://schemas.openxmlformats.org/drawingml/2006/picture">
                <pic:pic xmlns:pic="http://schemas.openxmlformats.org/drawingml/2006/picture">
                  <pic:nvPicPr>
                    <pic:cNvPr id="1073741825" name="http://home.amis.net/btovorni/slike/grb_cgp.png" descr="http://home.amis.net/btovorni/slike/grb_cgp.png"/>
                    <pic:cNvPicPr>
                      <a:picLocks noChangeAspect="1"/>
                    </pic:cNvPicPr>
                  </pic:nvPicPr>
                  <pic:blipFill>
                    <a:blip r:embed="rId4">
                      <a:extLst/>
                    </a:blip>
                    <a:stretch>
                      <a:fillRect/>
                    </a:stretch>
                  </pic:blipFill>
                  <pic:spPr>
                    <a:xfrm>
                      <a:off x="0" y="0"/>
                      <a:ext cx="333375" cy="419100"/>
                    </a:xfrm>
                    <a:prstGeom prst="rect">
                      <a:avLst/>
                    </a:prstGeom>
                    <a:ln w="12700" cap="flat">
                      <a:noFill/>
                      <a:miter lim="400000"/>
                    </a:ln>
                    <a:effectLst/>
                  </pic:spPr>
                </pic:pic>
              </a:graphicData>
            </a:graphic>
          </wp:inline>
        </w:drawing>
      </w:r>
    </w:p>
    <w:p>
      <w:pPr>
        <w:pStyle w:val="Body A"/>
        <w:suppressAutoHyphens w:val="0"/>
        <w:spacing w:after="60" w:line="276" w:lineRule="auto"/>
        <w:jc w:val="center"/>
        <w:rPr>
          <w:rFonts w:ascii="Arial" w:cs="Arial" w:hAnsi="Arial" w:eastAsia="Arial"/>
        </w:rPr>
      </w:pPr>
      <w:r>
        <w:rPr>
          <w:rFonts w:ascii="Arial" w:hAnsi="Arial"/>
          <w:rtl w:val="0"/>
          <w:lang w:val="en-US"/>
        </w:rPr>
        <w:t xml:space="preserve">Statement by </w:t>
      </w:r>
    </w:p>
    <w:p>
      <w:pPr>
        <w:pStyle w:val="Body A"/>
        <w:suppressAutoHyphens w:val="0"/>
        <w:spacing w:after="200" w:line="276" w:lineRule="auto"/>
        <w:jc w:val="center"/>
        <w:rPr>
          <w:rFonts w:ascii="Arial" w:cs="Arial" w:hAnsi="Arial" w:eastAsia="Arial"/>
          <w:b w:val="1"/>
          <w:bCs w:val="1"/>
        </w:rPr>
      </w:pPr>
      <w:r>
        <w:rPr>
          <w:rFonts w:ascii="Arial" w:hAnsi="Arial"/>
          <w:b w:val="1"/>
          <w:bCs w:val="1"/>
          <w:rtl w:val="0"/>
          <w:lang w:val="en-US"/>
        </w:rPr>
        <w:t xml:space="preserve">the Republic of Slovenia </w:t>
      </w:r>
    </w:p>
    <w:p>
      <w:pPr>
        <w:pStyle w:val="Body A"/>
        <w:suppressAutoHyphens w:val="0"/>
        <w:spacing w:after="60" w:line="276" w:lineRule="auto"/>
        <w:jc w:val="center"/>
        <w:rPr>
          <w:rFonts w:ascii="Arial" w:cs="Arial" w:hAnsi="Arial" w:eastAsia="Arial"/>
          <w:sz w:val="20"/>
          <w:szCs w:val="20"/>
        </w:rPr>
      </w:pPr>
      <w:r>
        <w:rPr>
          <w:rFonts w:ascii="Arial" w:hAnsi="Arial"/>
          <w:sz w:val="20"/>
          <w:szCs w:val="20"/>
          <w:rtl w:val="0"/>
          <w:lang w:val="en-US"/>
        </w:rPr>
        <w:t xml:space="preserve">at the </w:t>
      </w:r>
    </w:p>
    <w:p>
      <w:pPr>
        <w:pStyle w:val="Body A"/>
        <w:suppressAutoHyphens w:val="0"/>
        <w:spacing w:after="200" w:line="276" w:lineRule="auto"/>
        <w:jc w:val="center"/>
        <w:rPr>
          <w:rFonts w:ascii="Arial" w:cs="Arial" w:hAnsi="Arial" w:eastAsia="Arial"/>
          <w:b w:val="1"/>
          <w:bCs w:val="1"/>
          <w:outline w:val="0"/>
          <w:color w:val="31849b"/>
          <w:u w:color="31849b"/>
          <w14:textFill>
            <w14:solidFill>
              <w14:srgbClr w14:val="31849B"/>
            </w14:solidFill>
          </w14:textFill>
        </w:rPr>
      </w:pPr>
      <w:r>
        <w:rPr>
          <w:rFonts w:ascii="Arial" w:hAnsi="Arial"/>
          <w:b w:val="1"/>
          <w:bCs w:val="1"/>
          <w:outline w:val="0"/>
          <w:color w:val="31849b"/>
          <w:u w:color="31849b"/>
          <w:rtl w:val="0"/>
          <w:lang w:val="en-US"/>
          <w14:textFill>
            <w14:solidFill>
              <w14:srgbClr w14:val="31849B"/>
            </w14:solidFill>
          </w14:textFill>
        </w:rPr>
        <w:t>51th Session of the United Nations Human Rights Council</w:t>
      </w:r>
    </w:p>
    <w:p>
      <w:pPr>
        <w:pStyle w:val="Body A"/>
        <w:suppressAutoHyphens w:val="0"/>
        <w:spacing w:after="200" w:line="276" w:lineRule="auto"/>
        <w:jc w:val="center"/>
        <w:rPr>
          <w:rFonts w:ascii="Arial" w:cs="Arial" w:hAnsi="Arial" w:eastAsia="Arial"/>
          <w:b w:val="1"/>
          <w:bCs w:val="1"/>
          <w:outline w:val="0"/>
          <w:color w:val="31849b"/>
          <w:u w:color="31849b"/>
          <w14:textFill>
            <w14:solidFill>
              <w14:srgbClr w14:val="31849B"/>
            </w14:solidFill>
          </w14:textFill>
        </w:rPr>
      </w:pPr>
      <w:r>
        <w:rPr>
          <w:rFonts w:ascii="Arial" w:hAnsi="Arial"/>
          <w:b w:val="1"/>
          <w:bCs w:val="1"/>
          <w:outline w:val="0"/>
          <w:color w:val="31849b"/>
          <w:u w:color="31849b"/>
          <w:rtl w:val="0"/>
          <w:lang w:val="en-US"/>
          <w14:textFill>
            <w14:solidFill>
              <w14:srgbClr w14:val="31849B"/>
            </w14:solidFill>
          </w14:textFill>
        </w:rPr>
        <w:t xml:space="preserve">Interactive Dialogue with the Special Rapporteur on water and sanitation </w:t>
      </w:r>
    </w:p>
    <w:p>
      <w:pPr>
        <w:pStyle w:val="Body A"/>
        <w:suppressAutoHyphens w:val="0"/>
        <w:spacing w:after="200" w:line="276" w:lineRule="auto"/>
        <w:jc w:val="center"/>
        <w:rPr>
          <w:rFonts w:ascii="Arial" w:cs="Arial" w:hAnsi="Arial" w:eastAsia="Arial"/>
          <w:b w:val="1"/>
          <w:bCs w:val="1"/>
          <w:sz w:val="24"/>
          <w:szCs w:val="24"/>
        </w:rPr>
      </w:pPr>
      <w:r>
        <w:rPr>
          <w:rFonts w:ascii="Arial" w:hAnsi="Arial"/>
          <w:sz w:val="20"/>
          <w:szCs w:val="20"/>
          <w:rtl w:val="0"/>
          <w:lang w:val="en-US"/>
        </w:rPr>
        <w:t>Geneva, 14 September 2022</w:t>
      </w:r>
    </w:p>
    <w:p>
      <w:pPr>
        <w:pStyle w:val="Body A"/>
        <w:spacing w:after="0" w:line="240" w:lineRule="auto"/>
        <w:jc w:val="both"/>
        <w:rPr>
          <w:rFonts w:ascii="Arial" w:cs="Arial" w:hAnsi="Arial" w:eastAsia="Arial"/>
          <w:outline w:val="0"/>
          <w:color w:val="000000"/>
          <w:u w:color="000000"/>
          <w14:textFill>
            <w14:solidFill>
              <w14:srgbClr w14:val="000000"/>
            </w14:solidFill>
          </w14:textFill>
        </w:rPr>
      </w:pPr>
    </w:p>
    <w:p>
      <w:pPr>
        <w:pStyle w:val="Body"/>
        <w:spacing w:line="276" w:lineRule="auto"/>
        <w:jc w:val="both"/>
        <w:rPr>
          <w:rFonts w:ascii="Arial" w:cs="Arial" w:hAnsi="Arial" w:eastAsia="Arial"/>
          <w:sz w:val="22"/>
          <w:szCs w:val="22"/>
        </w:rPr>
      </w:pPr>
    </w:p>
    <w:p>
      <w:pPr>
        <w:pStyle w:val="Body"/>
        <w:spacing w:line="276" w:lineRule="auto"/>
        <w:jc w:val="both"/>
        <w:rPr>
          <w:rFonts w:ascii="Arial" w:cs="Arial" w:hAnsi="Arial" w:eastAsia="Arial"/>
          <w:sz w:val="22"/>
          <w:szCs w:val="22"/>
          <w:lang w:val="en-US"/>
        </w:rPr>
      </w:pPr>
    </w:p>
    <w:p>
      <w:pPr>
        <w:pStyle w:val="Body"/>
        <w:spacing w:line="276" w:lineRule="auto"/>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Slovenia aligns itself with the EU statement.</w:t>
      </w:r>
    </w:p>
    <w:p>
      <w:pPr>
        <w:pStyle w:val="Body"/>
        <w:spacing w:line="276" w:lineRule="auto"/>
        <w:jc w:val="both"/>
        <w:rPr>
          <w:rFonts w:ascii="Arial" w:cs="Arial" w:hAnsi="Arial" w:eastAsia="Arial"/>
          <w:sz w:val="22"/>
          <w:szCs w:val="22"/>
          <w:lang w:val="en-US"/>
        </w:rPr>
      </w:pPr>
    </w:p>
    <w:p>
      <w:pPr>
        <w:pStyle w:val="Body"/>
        <w:spacing w:line="276" w:lineRule="auto"/>
        <w:jc w:val="both"/>
        <w:rPr>
          <w:rFonts w:ascii="Arial" w:cs="Arial" w:hAnsi="Arial" w:eastAsia="Arial"/>
          <w:sz w:val="22"/>
          <w:szCs w:val="22"/>
        </w:rPr>
      </w:pPr>
      <w:r>
        <w:rPr>
          <w:rFonts w:ascii="Arial" w:hAnsi="Arial"/>
          <w:sz w:val="22"/>
          <w:szCs w:val="22"/>
          <w:rtl w:val="0"/>
          <w:lang w:val="en-US"/>
        </w:rPr>
        <w:t>Mr Special Rapporteur,</w:t>
      </w:r>
    </w:p>
    <w:p>
      <w:pPr>
        <w:pStyle w:val="Body"/>
        <w:spacing w:line="276" w:lineRule="auto"/>
        <w:jc w:val="both"/>
        <w:rPr>
          <w:rFonts w:ascii="Arial" w:cs="Arial" w:hAnsi="Arial" w:eastAsia="Arial"/>
          <w:sz w:val="22"/>
          <w:szCs w:val="22"/>
          <w:lang w:val="en-US"/>
        </w:rPr>
      </w:pPr>
    </w:p>
    <w:p>
      <w:pPr>
        <w:pStyle w:val="Body"/>
        <w:spacing w:line="276" w:lineRule="auto"/>
        <w:jc w:val="both"/>
        <w:rPr>
          <w:rFonts w:ascii="Arial" w:cs="Arial" w:hAnsi="Arial" w:eastAsia="Arial"/>
          <w:sz w:val="22"/>
          <w:szCs w:val="22"/>
        </w:rPr>
      </w:pPr>
      <w:r>
        <w:rPr>
          <w:rFonts w:ascii="Arial" w:hAnsi="Arial"/>
          <w:sz w:val="22"/>
          <w:szCs w:val="22"/>
          <w:rtl w:val="0"/>
          <w:lang w:val="en-US"/>
        </w:rPr>
        <w:t xml:space="preserve">We thank you for your report and presentation today on human rights to safe drinking water and sanitation of indigenous peoples. </w:t>
      </w:r>
    </w:p>
    <w:p>
      <w:pPr>
        <w:pStyle w:val="Body"/>
        <w:spacing w:line="276" w:lineRule="auto"/>
        <w:jc w:val="both"/>
        <w:rPr>
          <w:rFonts w:ascii="Arial" w:cs="Arial" w:hAnsi="Arial" w:eastAsia="Arial"/>
          <w:sz w:val="22"/>
          <w:szCs w:val="22"/>
          <w:lang w:val="en-US"/>
        </w:rPr>
      </w:pPr>
    </w:p>
    <w:p>
      <w:pPr>
        <w:pStyle w:val="No Spacing"/>
        <w:spacing w:line="276" w:lineRule="auto"/>
        <w:jc w:val="both"/>
        <w:rPr>
          <w:rFonts w:ascii="Arial" w:cs="Arial" w:hAnsi="Arial" w:eastAsia="Arial"/>
        </w:rPr>
      </w:pPr>
      <w:r>
        <w:rPr>
          <w:rFonts w:ascii="Arial" w:hAnsi="Arial"/>
          <w:rtl w:val="0"/>
          <w:lang w:val="en-US"/>
        </w:rPr>
        <w:t xml:space="preserve">We believe that no one should be discriminated against when accessing water and sanitation. </w:t>
      </w:r>
      <w:r>
        <w:rPr>
          <w:rFonts w:ascii="Arial" w:hAnsi="Arial"/>
          <w:outline w:val="0"/>
          <w:color w:val="000000"/>
          <w:u w:color="000000"/>
          <w:rtl w:val="0"/>
          <w:lang w:val="en-US"/>
          <w14:textFill>
            <w14:solidFill>
              <w14:srgbClr w14:val="000000"/>
            </w14:solidFill>
          </w14:textFill>
        </w:rPr>
        <w:t xml:space="preserve">It is upon states to bear in mind the importance of the empowerment and capacity-building of indigenous peoples, including the full and effective participation in decision-making processes in matters that affect them directly, and consultation in order to obtain their free, prior and informed consent. Indigenous human rights defenders play an important role in this regard. </w:t>
      </w:r>
    </w:p>
    <w:p>
      <w:pPr>
        <w:pStyle w:val="Body"/>
        <w:spacing w:line="276" w:lineRule="auto"/>
        <w:jc w:val="both"/>
        <w:rPr>
          <w:rFonts w:ascii="Arial" w:cs="Arial" w:hAnsi="Arial" w:eastAsia="Arial"/>
          <w:sz w:val="22"/>
          <w:szCs w:val="22"/>
          <w:lang w:val="en-US"/>
        </w:rPr>
      </w:pPr>
    </w:p>
    <w:p>
      <w:pPr>
        <w:pStyle w:val="Body"/>
        <w:spacing w:line="276" w:lineRule="auto"/>
        <w:jc w:val="both"/>
        <w:rPr>
          <w:rFonts w:ascii="Arial" w:cs="Arial" w:hAnsi="Arial" w:eastAsia="Arial"/>
          <w:sz w:val="22"/>
          <w:szCs w:val="22"/>
        </w:rPr>
      </w:pPr>
      <w:r>
        <w:rPr>
          <w:rFonts w:ascii="Arial" w:hAnsi="Arial"/>
          <w:sz w:val="22"/>
          <w:szCs w:val="22"/>
          <w:rtl w:val="0"/>
          <w:lang w:val="en-US"/>
        </w:rPr>
        <w:t xml:space="preserve">Nevertheless, we all need to do more, especially by </w:t>
      </w:r>
      <w:r>
        <w:rPr>
          <w:rFonts w:ascii="Arial" w:hAnsi="Arial"/>
          <w:outline w:val="0"/>
          <w:color w:val="000000"/>
          <w:sz w:val="22"/>
          <w:szCs w:val="22"/>
          <w:u w:color="000000"/>
          <w:rtl w:val="0"/>
          <w:lang w:val="en-US"/>
          <w14:textFill>
            <w14:solidFill>
              <w14:srgbClr w14:val="000000"/>
            </w14:solidFill>
          </w14:textFill>
        </w:rPr>
        <w:t xml:space="preserve">raising the level of responsible conduct by the international community as a whole and by </w:t>
      </w:r>
      <w:r>
        <w:rPr>
          <w:rFonts w:ascii="Arial" w:hAnsi="Arial"/>
          <w:sz w:val="22"/>
          <w:szCs w:val="22"/>
          <w:rtl w:val="0"/>
          <w:lang w:val="en-US"/>
        </w:rPr>
        <w:t xml:space="preserve">encouraging the UN Member States to take the necessary steps forward. </w:t>
      </w:r>
    </w:p>
    <w:p>
      <w:pPr>
        <w:pStyle w:val="Body"/>
        <w:spacing w:line="276" w:lineRule="auto"/>
        <w:jc w:val="both"/>
        <w:rPr>
          <w:rFonts w:ascii="Arial" w:cs="Arial" w:hAnsi="Arial" w:eastAsia="Arial"/>
          <w:sz w:val="22"/>
          <w:szCs w:val="22"/>
          <w:lang w:val="en-US"/>
        </w:rPr>
      </w:pPr>
    </w:p>
    <w:p>
      <w:pPr>
        <w:pStyle w:val="Body A"/>
        <w:spacing w:line="276" w:lineRule="auto"/>
        <w:jc w:val="both"/>
        <w:rPr>
          <w:rFonts w:ascii="Arial" w:cs="Arial" w:hAnsi="Arial" w:eastAsia="Arial"/>
          <w:outline w:val="0"/>
          <w:color w:val="000000"/>
          <w:u w:color="000000"/>
          <w14:textFill>
            <w14:solidFill>
              <w14:srgbClr w14:val="000000"/>
            </w14:solidFill>
          </w14:textFill>
        </w:rPr>
      </w:pPr>
      <w:r>
        <w:rPr>
          <w:rFonts w:ascii="Arial" w:hAnsi="Arial"/>
          <w:rtl w:val="0"/>
          <w:lang w:val="en-US"/>
        </w:rPr>
        <w:t>Mr Agudo, in conclusion,</w:t>
      </w:r>
      <w:r>
        <w:rPr>
          <w:rFonts w:ascii="Arial" w:hAnsi="Arial"/>
          <w:outline w:val="0"/>
          <w:color w:val="000000"/>
          <w:u w:color="000000"/>
          <w:rtl w:val="0"/>
          <w:lang w:val="en-US"/>
          <w14:textFill>
            <w14:solidFill>
              <w14:srgbClr w14:val="000000"/>
            </w14:solidFill>
          </w14:textFill>
        </w:rPr>
        <w:t xml:space="preserve"> Slovenia acknowledges that everyone, everywhere, has the right to live in a clean, healthy and sustainable environment, a right, which includes safe drinking water and sanitation, a public good that is essential for life, leaving no one behind.</w:t>
      </w:r>
    </w:p>
    <w:p>
      <w:pPr>
        <w:pStyle w:val="Body A"/>
        <w:spacing w:line="240" w:lineRule="auto"/>
        <w:rPr>
          <w:rFonts w:ascii="Arial" w:cs="Arial" w:hAnsi="Arial" w:eastAsia="Arial"/>
          <w:lang w:val="en-US"/>
        </w:rPr>
      </w:pPr>
    </w:p>
    <w:p>
      <w:pPr>
        <w:pStyle w:val="Body A"/>
        <w:spacing w:line="240" w:lineRule="auto"/>
      </w:pPr>
      <w:r>
        <w:rPr>
          <w:rFonts w:ascii="Arial" w:hAnsi="Arial"/>
          <w:rtl w:val="0"/>
          <w:lang w:val="en-US"/>
        </w:rPr>
        <w:t>Thank you.</w:t>
      </w:r>
    </w:p>
    <w:sectPr>
      <w:headerReference w:type="default" r:id="rId5"/>
      <w:footerReference w:type="default" r:id="rId6"/>
      <w:pgSz w:w="11900" w:h="16840" w:orient="portrait"/>
      <w:pgMar w:top="1440" w:right="1440" w:bottom="144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