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F040" w14:textId="42DFF469" w:rsidR="0077631F" w:rsidRPr="002A4B6B" w:rsidRDefault="0077631F" w:rsidP="0077631F">
      <w:pPr>
        <w:pStyle w:val="Heading"/>
        <w:spacing w:line="276" w:lineRule="auto"/>
        <w:jc w:val="both"/>
        <w:rPr>
          <w:rFonts w:ascii="Republika" w:eastAsia="Arial" w:hAnsi="Republika" w:cs="Arial"/>
          <w:i/>
          <w:iCs/>
          <w:color w:val="000000"/>
          <w:sz w:val="28"/>
          <w:szCs w:val="28"/>
          <w:u w:color="000000"/>
        </w:rPr>
      </w:pPr>
      <w:r w:rsidRPr="002A4B6B">
        <w:rPr>
          <w:rFonts w:ascii="Republika" w:eastAsia="Arial" w:hAnsi="Republika" w:cs="Arial"/>
          <w:noProof/>
          <w:color w:val="000000"/>
          <w:sz w:val="28"/>
          <w:szCs w:val="28"/>
          <w:u w:color="000000"/>
        </w:rPr>
        <w:drawing>
          <wp:anchor distT="57150" distB="57150" distL="57150" distR="57150" simplePos="0" relativeHeight="251659264" behindDoc="0" locked="0" layoutInCell="1" allowOverlap="1" wp14:anchorId="13426EF7" wp14:editId="21CC20B1">
            <wp:simplePos x="0" y="0"/>
            <wp:positionH relativeFrom="margin">
              <wp:align>center</wp:align>
            </wp:positionH>
            <wp:positionV relativeFrom="page">
              <wp:posOffset>756920</wp:posOffset>
            </wp:positionV>
            <wp:extent cx="333375" cy="419100"/>
            <wp:effectExtent l="0" t="0" r="9525" b="0"/>
            <wp:wrapSquare wrapText="bothSides" distT="57150" distB="57150" distL="57150" distR="57150"/>
            <wp:docPr id="1073741825" name="officeArt object" descr="grb RS&#10;&#10;Picture 2"/>
            <wp:cNvGraphicFramePr/>
            <a:graphic xmlns:a="http://schemas.openxmlformats.org/drawingml/2006/main">
              <a:graphicData uri="http://schemas.openxmlformats.org/drawingml/2006/picture">
                <pic:pic xmlns:pic="http://schemas.openxmlformats.org/drawingml/2006/picture">
                  <pic:nvPicPr>
                    <pic:cNvPr id="1073741825" name="grb RSPicture 2" descr="grb RSPicture 2"/>
                    <pic:cNvPicPr>
                      <a:picLocks noChangeAspect="1"/>
                    </pic:cNvPicPr>
                  </pic:nvPicPr>
                  <pic:blipFill>
                    <a:blip r:embed="rId8"/>
                    <a:stretch>
                      <a:fillRect/>
                    </a:stretch>
                  </pic:blipFill>
                  <pic:spPr>
                    <a:xfrm>
                      <a:off x="0" y="0"/>
                      <a:ext cx="333375" cy="419100"/>
                    </a:xfrm>
                    <a:prstGeom prst="rect">
                      <a:avLst/>
                    </a:prstGeom>
                    <a:ln w="12700" cap="flat">
                      <a:noFill/>
                      <a:miter lim="400000"/>
                    </a:ln>
                    <a:effectLst/>
                  </pic:spPr>
                </pic:pic>
              </a:graphicData>
            </a:graphic>
          </wp:anchor>
        </w:drawing>
      </w:r>
    </w:p>
    <w:p w14:paraId="2B78861E" w14:textId="494DA5D7" w:rsidR="0077631F" w:rsidRPr="002A4B6B" w:rsidRDefault="0077631F" w:rsidP="0077631F">
      <w:pPr>
        <w:pStyle w:val="BodyA"/>
        <w:spacing w:after="0" w:line="240" w:lineRule="auto"/>
        <w:jc w:val="center"/>
        <w:rPr>
          <w:rFonts w:ascii="Republika" w:eastAsia="Arial" w:hAnsi="Republika" w:cs="Arial"/>
          <w:sz w:val="28"/>
          <w:szCs w:val="28"/>
          <w:lang w:val="en-US"/>
        </w:rPr>
      </w:pPr>
    </w:p>
    <w:p w14:paraId="49BDEF96" w14:textId="77777777" w:rsidR="0077631F" w:rsidRPr="002A4B6B" w:rsidRDefault="0077631F" w:rsidP="0077631F">
      <w:pPr>
        <w:spacing w:line="240" w:lineRule="auto"/>
        <w:jc w:val="center"/>
        <w:rPr>
          <w:rFonts w:ascii="Republika" w:hAnsi="Republika" w:cs="Arial"/>
          <w:bCs/>
        </w:rPr>
      </w:pPr>
      <w:r w:rsidRPr="002A4B6B">
        <w:rPr>
          <w:rFonts w:ascii="Republika" w:hAnsi="Republika" w:cs="Arial"/>
          <w:bCs/>
        </w:rPr>
        <w:t xml:space="preserve">Statement by </w:t>
      </w:r>
    </w:p>
    <w:p w14:paraId="169D1A4C" w14:textId="77777777" w:rsidR="0077631F" w:rsidRPr="002A4B6B" w:rsidRDefault="0077631F" w:rsidP="0077631F">
      <w:pPr>
        <w:spacing w:line="240" w:lineRule="auto"/>
        <w:jc w:val="center"/>
        <w:rPr>
          <w:rFonts w:ascii="Republika" w:hAnsi="Republika" w:cs="Arial"/>
          <w:bCs/>
        </w:rPr>
      </w:pPr>
    </w:p>
    <w:p w14:paraId="2406900E" w14:textId="0FC23802" w:rsidR="0077631F" w:rsidRPr="002A4B6B" w:rsidRDefault="0077631F" w:rsidP="0077631F">
      <w:pPr>
        <w:spacing w:line="240" w:lineRule="auto"/>
        <w:jc w:val="center"/>
        <w:rPr>
          <w:rFonts w:ascii="Republika" w:hAnsi="Republika" w:cs="Arial"/>
          <w:bCs/>
        </w:rPr>
      </w:pPr>
      <w:r>
        <w:rPr>
          <w:rFonts w:ascii="Republika" w:hAnsi="Republika" w:cs="Arial"/>
          <w:bCs/>
        </w:rPr>
        <w:t>Apolonija Flander Oblak</w:t>
      </w:r>
    </w:p>
    <w:p w14:paraId="2AD136A3" w14:textId="4EC8B5A7" w:rsidR="0077631F" w:rsidRPr="002A4B6B" w:rsidRDefault="0077631F" w:rsidP="0077631F">
      <w:pPr>
        <w:spacing w:line="240" w:lineRule="auto"/>
        <w:jc w:val="center"/>
        <w:rPr>
          <w:rFonts w:ascii="Republika" w:hAnsi="Republika" w:cs="Arial"/>
          <w:bCs/>
        </w:rPr>
      </w:pPr>
      <w:r>
        <w:rPr>
          <w:rFonts w:ascii="Republika" w:hAnsi="Republika" w:cs="Arial"/>
          <w:bCs/>
        </w:rPr>
        <w:t>Director of the Statistical Office of the Republic of Slovenia</w:t>
      </w:r>
    </w:p>
    <w:p w14:paraId="3729E4FB" w14:textId="77777777" w:rsidR="0077631F" w:rsidRPr="002A4B6B" w:rsidRDefault="0077631F" w:rsidP="0077631F">
      <w:pPr>
        <w:spacing w:line="240" w:lineRule="auto"/>
        <w:jc w:val="center"/>
        <w:rPr>
          <w:rFonts w:ascii="Republika" w:hAnsi="Republika" w:cs="Arial"/>
        </w:rPr>
      </w:pPr>
      <w:r w:rsidRPr="002A4B6B">
        <w:rPr>
          <w:rFonts w:ascii="Republika" w:hAnsi="Republika" w:cs="Arial"/>
        </w:rPr>
        <w:t xml:space="preserve">at the </w:t>
      </w:r>
    </w:p>
    <w:p w14:paraId="5D423BE3" w14:textId="77777777" w:rsidR="0077631F" w:rsidRPr="002A4B6B" w:rsidRDefault="0077631F" w:rsidP="0077631F">
      <w:pPr>
        <w:spacing w:line="240" w:lineRule="auto"/>
        <w:jc w:val="center"/>
        <w:rPr>
          <w:rFonts w:ascii="Republika" w:hAnsi="Republika" w:cs="Arial"/>
        </w:rPr>
      </w:pPr>
    </w:p>
    <w:p w14:paraId="142F54AC" w14:textId="7C182192" w:rsidR="0077631F" w:rsidRPr="002A4B6B" w:rsidRDefault="00191CBB" w:rsidP="0077631F">
      <w:pPr>
        <w:spacing w:line="240" w:lineRule="auto"/>
        <w:jc w:val="center"/>
        <w:rPr>
          <w:rFonts w:ascii="Republika" w:hAnsi="Republika" w:cs="Arial"/>
          <w:b/>
          <w:color w:val="31849B"/>
        </w:rPr>
      </w:pPr>
      <w:r>
        <w:rPr>
          <w:rFonts w:ascii="Republika" w:hAnsi="Republika" w:cs="Arial"/>
          <w:b/>
          <w:color w:val="31849B"/>
        </w:rPr>
        <w:t>57</w:t>
      </w:r>
      <w:r w:rsidRPr="00191CBB">
        <w:rPr>
          <w:rFonts w:ascii="Republika" w:hAnsi="Republika" w:cs="Arial"/>
          <w:b/>
          <w:color w:val="31849B"/>
          <w:vertAlign w:val="superscript"/>
        </w:rPr>
        <w:t>th</w:t>
      </w:r>
      <w:r>
        <w:rPr>
          <w:rFonts w:ascii="Republika" w:hAnsi="Republika" w:cs="Arial"/>
          <w:b/>
          <w:color w:val="31849B"/>
        </w:rPr>
        <w:t xml:space="preserve"> session of the </w:t>
      </w:r>
      <w:r w:rsidR="0077631F">
        <w:rPr>
          <w:rFonts w:ascii="Republika" w:hAnsi="Republika" w:cs="Arial"/>
          <w:b/>
          <w:color w:val="31849B"/>
        </w:rPr>
        <w:t>UN Statistical Commission</w:t>
      </w:r>
    </w:p>
    <w:p w14:paraId="76D019C1" w14:textId="77777777" w:rsidR="0077631F" w:rsidRPr="002A4B6B" w:rsidRDefault="0077631F" w:rsidP="0077631F">
      <w:pPr>
        <w:spacing w:line="240" w:lineRule="auto"/>
        <w:jc w:val="center"/>
        <w:rPr>
          <w:rFonts w:ascii="Republika" w:hAnsi="Republika" w:cs="Arial"/>
          <w:b/>
          <w:color w:val="31849B"/>
        </w:rPr>
      </w:pPr>
    </w:p>
    <w:p w14:paraId="28790810" w14:textId="30FFA016" w:rsidR="0077631F" w:rsidRPr="0077631F" w:rsidRDefault="0077631F" w:rsidP="0077631F">
      <w:pPr>
        <w:pStyle w:val="BodyA"/>
        <w:pBdr>
          <w:bottom w:val="single" w:sz="4" w:space="0" w:color="000000"/>
        </w:pBdr>
        <w:spacing w:after="0" w:line="240" w:lineRule="auto"/>
        <w:jc w:val="center"/>
        <w:rPr>
          <w:rFonts w:ascii="Republika" w:eastAsia="Arial" w:hAnsi="Republika" w:cs="Arial"/>
        </w:rPr>
      </w:pPr>
      <w:r w:rsidRPr="0077631F">
        <w:rPr>
          <w:rFonts w:ascii="Republika" w:hAnsi="Republika"/>
          <w:lang w:val="en-US"/>
        </w:rPr>
        <w:t xml:space="preserve">New York, </w:t>
      </w:r>
      <w:r w:rsidRPr="0077631F">
        <w:rPr>
          <w:rFonts w:ascii="Republika" w:hAnsi="Republika"/>
          <w:lang w:val="en-US"/>
        </w:rPr>
        <w:t>5 March</w:t>
      </w:r>
      <w:r w:rsidRPr="0077631F">
        <w:rPr>
          <w:rFonts w:ascii="Republika" w:hAnsi="Republika"/>
          <w:lang w:val="en-US"/>
        </w:rPr>
        <w:t xml:space="preserve"> 2026</w:t>
      </w:r>
    </w:p>
    <w:p w14:paraId="46370688" w14:textId="77777777" w:rsidR="0077631F" w:rsidRPr="002A4B6B" w:rsidRDefault="0077631F" w:rsidP="0077631F">
      <w:pPr>
        <w:pStyle w:val="BodyA"/>
        <w:spacing w:after="0" w:line="276" w:lineRule="auto"/>
        <w:jc w:val="center"/>
        <w:rPr>
          <w:rFonts w:ascii="Republika" w:eastAsia="Arial" w:hAnsi="Republika" w:cs="Arial"/>
          <w:sz w:val="24"/>
          <w:szCs w:val="24"/>
          <w:lang w:val="en-US"/>
        </w:rPr>
      </w:pPr>
    </w:p>
    <w:p w14:paraId="1B8FF4AA" w14:textId="77777777" w:rsidR="00F71B19" w:rsidRPr="00C9301F" w:rsidRDefault="00F71B19" w:rsidP="000C7AF9">
      <w:pPr>
        <w:pStyle w:val="Default"/>
        <w:ind w:right="992"/>
        <w:jc w:val="both"/>
        <w:rPr>
          <w:rFonts w:ascii="Arial" w:hAnsi="Arial" w:cs="Arial"/>
          <w:b/>
          <w:sz w:val="22"/>
          <w:szCs w:val="22"/>
        </w:rPr>
      </w:pPr>
      <w:r w:rsidRPr="00C9301F">
        <w:rPr>
          <w:rFonts w:ascii="Arial" w:hAnsi="Arial" w:cs="Arial"/>
          <w:b/>
          <w:sz w:val="22"/>
          <w:szCs w:val="22"/>
        </w:rPr>
        <w:t>Item 3(l) –</w:t>
      </w:r>
      <w:r w:rsidR="00A43C2D">
        <w:rPr>
          <w:rFonts w:ascii="Arial" w:hAnsi="Arial" w:cs="Arial"/>
          <w:b/>
          <w:sz w:val="22"/>
          <w:szCs w:val="22"/>
        </w:rPr>
        <w:t xml:space="preserve"> </w:t>
      </w:r>
      <w:r w:rsidRPr="00C9301F">
        <w:rPr>
          <w:rFonts w:ascii="Arial" w:hAnsi="Arial" w:cs="Arial"/>
          <w:b/>
          <w:sz w:val="22"/>
          <w:szCs w:val="22"/>
        </w:rPr>
        <w:t xml:space="preserve">Well-being </w:t>
      </w:r>
      <w:r w:rsidR="00A43C2D">
        <w:rPr>
          <w:rFonts w:ascii="Arial" w:hAnsi="Arial" w:cs="Arial"/>
          <w:b/>
          <w:sz w:val="22"/>
          <w:szCs w:val="22"/>
        </w:rPr>
        <w:t>m</w:t>
      </w:r>
      <w:r w:rsidRPr="00C9301F">
        <w:rPr>
          <w:rFonts w:ascii="Arial" w:hAnsi="Arial" w:cs="Arial"/>
          <w:b/>
          <w:sz w:val="22"/>
          <w:szCs w:val="22"/>
        </w:rPr>
        <w:t>easurement</w:t>
      </w:r>
    </w:p>
    <w:p w14:paraId="7CA9F100" w14:textId="77777777" w:rsidR="00C9301F" w:rsidRDefault="00C9301F" w:rsidP="00CF7E2F">
      <w:pPr>
        <w:tabs>
          <w:tab w:val="left" w:pos="1080"/>
        </w:tabs>
        <w:ind w:right="708"/>
        <w:rPr>
          <w:rFonts w:cs="Arial"/>
          <w:szCs w:val="22"/>
        </w:rPr>
      </w:pPr>
    </w:p>
    <w:p w14:paraId="1E8F85A3" w14:textId="77777777" w:rsidR="00F71B19" w:rsidRPr="00C9301F" w:rsidRDefault="00F71B19" w:rsidP="00CF7E2F">
      <w:pPr>
        <w:tabs>
          <w:tab w:val="left" w:pos="1080"/>
        </w:tabs>
        <w:ind w:right="708"/>
        <w:rPr>
          <w:rFonts w:cs="Arial"/>
          <w:szCs w:val="22"/>
        </w:rPr>
      </w:pPr>
      <w:r w:rsidRPr="00C9301F">
        <w:rPr>
          <w:rFonts w:cs="Arial"/>
          <w:szCs w:val="22"/>
        </w:rPr>
        <w:t>Slovenia would like to thank the Expert Group on Well</w:t>
      </w:r>
      <w:r w:rsidRPr="00C9301F">
        <w:rPr>
          <w:rFonts w:ascii="Cambria Math" w:hAnsi="Cambria Math" w:cs="Cambria Math"/>
          <w:szCs w:val="22"/>
        </w:rPr>
        <w:t>‑</w:t>
      </w:r>
      <w:r w:rsidRPr="00C9301F">
        <w:rPr>
          <w:rFonts w:cs="Arial"/>
          <w:szCs w:val="22"/>
        </w:rPr>
        <w:t>being Measurement for their comprehensive and forward</w:t>
      </w:r>
      <w:r w:rsidRPr="00C9301F">
        <w:rPr>
          <w:rFonts w:ascii="Cambria Math" w:hAnsi="Cambria Math" w:cs="Cambria Math"/>
          <w:szCs w:val="22"/>
        </w:rPr>
        <w:t>‑</w:t>
      </w:r>
      <w:r w:rsidRPr="00C9301F">
        <w:rPr>
          <w:rFonts w:cs="Arial"/>
          <w:szCs w:val="22"/>
        </w:rPr>
        <w:t>looking work over the past year. The measurement of inclusive and sustainable well</w:t>
      </w:r>
      <w:r w:rsidRPr="00C9301F">
        <w:rPr>
          <w:rFonts w:ascii="Cambria Math" w:hAnsi="Cambria Math" w:cs="Cambria Math"/>
          <w:szCs w:val="22"/>
        </w:rPr>
        <w:t>‑</w:t>
      </w:r>
      <w:r w:rsidRPr="00C9301F">
        <w:rPr>
          <w:rFonts w:cs="Arial"/>
          <w:szCs w:val="22"/>
        </w:rPr>
        <w:t>being is a crucial step toward modernising global statistical systems and ensuring that public policies reflect what truly matters for people.</w:t>
      </w:r>
    </w:p>
    <w:p w14:paraId="030682C7" w14:textId="77777777" w:rsidR="00F71B19" w:rsidRPr="00C9301F" w:rsidRDefault="00F71B19" w:rsidP="00CF7E2F">
      <w:pPr>
        <w:tabs>
          <w:tab w:val="left" w:pos="1080"/>
        </w:tabs>
        <w:ind w:right="708"/>
        <w:rPr>
          <w:rFonts w:cs="Arial"/>
          <w:szCs w:val="22"/>
        </w:rPr>
      </w:pPr>
      <w:r w:rsidRPr="00C9301F">
        <w:rPr>
          <w:rFonts w:cs="Arial"/>
          <w:szCs w:val="22"/>
        </w:rPr>
        <w:t>We welcome the Group’s strong engagement with key partners, including the Friends of the Chair Group on Social and Demographic Statistics, Experts on Environmental-Economic Accounting (UNCEEA), Working Group on National Accounts (ISWGNA), and the regional commissions. Such cooperation ensures coherence across the global statistical system and strengthens the credibility of the work.</w:t>
      </w:r>
    </w:p>
    <w:p w14:paraId="2BD3C77D" w14:textId="77777777" w:rsidR="00F71B19" w:rsidRPr="00C9301F" w:rsidRDefault="00F71B19" w:rsidP="00CF7E2F">
      <w:pPr>
        <w:tabs>
          <w:tab w:val="left" w:pos="1080"/>
        </w:tabs>
        <w:ind w:right="708"/>
        <w:rPr>
          <w:rFonts w:cs="Arial"/>
          <w:szCs w:val="22"/>
        </w:rPr>
      </w:pPr>
      <w:r w:rsidRPr="00C9301F">
        <w:rPr>
          <w:rFonts w:cs="Arial"/>
          <w:szCs w:val="22"/>
        </w:rPr>
        <w:t xml:space="preserve">Slovenia especially </w:t>
      </w:r>
      <w:r w:rsidR="00CF7E2F" w:rsidRPr="00C9301F">
        <w:rPr>
          <w:rFonts w:cs="Arial"/>
          <w:szCs w:val="22"/>
        </w:rPr>
        <w:t xml:space="preserve">appreciates </w:t>
      </w:r>
      <w:r w:rsidRPr="00C9301F">
        <w:rPr>
          <w:rFonts w:cs="Arial"/>
          <w:szCs w:val="22"/>
        </w:rPr>
        <w:t>the close collaboration with the High</w:t>
      </w:r>
      <w:r w:rsidRPr="00C9301F">
        <w:rPr>
          <w:rFonts w:ascii="Cambria Math" w:hAnsi="Cambria Math" w:cs="Cambria Math"/>
          <w:szCs w:val="22"/>
        </w:rPr>
        <w:t>‑</w:t>
      </w:r>
      <w:r w:rsidRPr="00C9301F">
        <w:rPr>
          <w:rFonts w:cs="Arial"/>
          <w:szCs w:val="22"/>
        </w:rPr>
        <w:t>Level Expert Group on Beyond GDP. The global consensus is clear: GDP alone is not sufficient to assess societal progress. We therefore appreciate the Expert Group’s deep analytical contributions and domain</w:t>
      </w:r>
      <w:r w:rsidRPr="00C9301F">
        <w:rPr>
          <w:rFonts w:ascii="Cambria Math" w:hAnsi="Cambria Math" w:cs="Cambria Math"/>
          <w:szCs w:val="22"/>
        </w:rPr>
        <w:t>‑</w:t>
      </w:r>
      <w:r w:rsidRPr="00C9301F">
        <w:rPr>
          <w:rFonts w:cs="Arial"/>
          <w:szCs w:val="22"/>
        </w:rPr>
        <w:t>specific expertise, which support the design of new measures that capture the richness and complexity of human well</w:t>
      </w:r>
      <w:r w:rsidRPr="00C9301F">
        <w:rPr>
          <w:rFonts w:ascii="Cambria Math" w:hAnsi="Cambria Math" w:cs="Cambria Math"/>
          <w:szCs w:val="22"/>
        </w:rPr>
        <w:t>‑</w:t>
      </w:r>
      <w:r w:rsidRPr="00C9301F">
        <w:rPr>
          <w:rFonts w:cs="Arial"/>
          <w:szCs w:val="22"/>
        </w:rPr>
        <w:t>being.</w:t>
      </w:r>
    </w:p>
    <w:p w14:paraId="7698CCEB" w14:textId="77777777" w:rsidR="00CF7E2F" w:rsidRPr="00C9301F" w:rsidRDefault="00F71B19" w:rsidP="00CF7E2F">
      <w:pPr>
        <w:tabs>
          <w:tab w:val="left" w:pos="1080"/>
        </w:tabs>
        <w:ind w:right="708"/>
        <w:rPr>
          <w:rFonts w:cs="Arial"/>
          <w:szCs w:val="22"/>
        </w:rPr>
      </w:pPr>
      <w:r w:rsidRPr="00C9301F">
        <w:rPr>
          <w:rFonts w:cs="Arial"/>
          <w:szCs w:val="22"/>
        </w:rPr>
        <w:t xml:space="preserve">We </w:t>
      </w:r>
      <w:r w:rsidR="00CF7E2F" w:rsidRPr="00C9301F">
        <w:rPr>
          <w:rFonts w:cs="Arial"/>
          <w:szCs w:val="22"/>
        </w:rPr>
        <w:t xml:space="preserve">are </w:t>
      </w:r>
      <w:r w:rsidRPr="00C9301F">
        <w:rPr>
          <w:rFonts w:cs="Arial"/>
          <w:szCs w:val="22"/>
        </w:rPr>
        <w:t xml:space="preserve">also </w:t>
      </w:r>
      <w:r w:rsidR="00CF7E2F" w:rsidRPr="00C9301F">
        <w:rPr>
          <w:rFonts w:cs="Arial"/>
          <w:szCs w:val="22"/>
        </w:rPr>
        <w:t>in favour of</w:t>
      </w:r>
      <w:r w:rsidRPr="00C9301F">
        <w:rPr>
          <w:rFonts w:cs="Arial"/>
          <w:szCs w:val="22"/>
        </w:rPr>
        <w:t xml:space="preserve"> the proposed </w:t>
      </w:r>
      <w:r w:rsidR="00CF7E2F" w:rsidRPr="00C9301F">
        <w:rPr>
          <w:rFonts w:cs="Arial"/>
          <w:szCs w:val="22"/>
        </w:rPr>
        <w:t>“</w:t>
      </w:r>
      <w:r w:rsidRPr="00C9301F">
        <w:rPr>
          <w:rFonts w:cs="Arial"/>
          <w:szCs w:val="22"/>
        </w:rPr>
        <w:t>bridging tables</w:t>
      </w:r>
      <w:r w:rsidR="00CF7E2F" w:rsidRPr="00C9301F">
        <w:rPr>
          <w:rFonts w:cs="Arial"/>
          <w:szCs w:val="22"/>
        </w:rPr>
        <w:t>”</w:t>
      </w:r>
      <w:r w:rsidRPr="00C9301F">
        <w:rPr>
          <w:rFonts w:cs="Arial"/>
          <w:szCs w:val="22"/>
        </w:rPr>
        <w:t xml:space="preserve"> approach, which provides an elegant link between a concise high</w:t>
      </w:r>
      <w:r w:rsidRPr="00C9301F">
        <w:rPr>
          <w:rFonts w:ascii="Cambria Math" w:hAnsi="Cambria Math" w:cs="Cambria Math"/>
          <w:szCs w:val="22"/>
        </w:rPr>
        <w:t>‑</w:t>
      </w:r>
      <w:r w:rsidRPr="00C9301F">
        <w:rPr>
          <w:rFonts w:cs="Arial"/>
          <w:szCs w:val="22"/>
        </w:rPr>
        <w:t>level dashboard and a more complete set of indicators covering economic, social, environmental, and subjective dimensions of well</w:t>
      </w:r>
      <w:r w:rsidRPr="00C9301F">
        <w:rPr>
          <w:rFonts w:ascii="Cambria Math" w:hAnsi="Cambria Math" w:cs="Cambria Math"/>
          <w:szCs w:val="22"/>
        </w:rPr>
        <w:t>‑</w:t>
      </w:r>
      <w:r w:rsidRPr="00C9301F">
        <w:rPr>
          <w:rFonts w:cs="Arial"/>
          <w:szCs w:val="22"/>
        </w:rPr>
        <w:t xml:space="preserve">being. This ensures that headline indicators remain understandable and actionable, while preserving the depth and nuance required for effective policymaking. </w:t>
      </w:r>
    </w:p>
    <w:p w14:paraId="5EFA414A" w14:textId="77777777" w:rsidR="00F71B19" w:rsidRPr="00C9301F" w:rsidRDefault="00F71B19" w:rsidP="000C7AF9">
      <w:pPr>
        <w:tabs>
          <w:tab w:val="left" w:pos="1080"/>
        </w:tabs>
        <w:ind w:right="708"/>
        <w:rPr>
          <w:rFonts w:cs="Arial"/>
          <w:szCs w:val="22"/>
        </w:rPr>
      </w:pPr>
      <w:r w:rsidRPr="00C9301F">
        <w:rPr>
          <w:rFonts w:cs="Arial"/>
          <w:szCs w:val="22"/>
        </w:rPr>
        <w:t>Slovenia supports the proposed 2026–2027 work programme and the two</w:t>
      </w:r>
      <w:r w:rsidRPr="00C9301F">
        <w:rPr>
          <w:rFonts w:ascii="Cambria Math" w:hAnsi="Cambria Math" w:cs="Cambria Math"/>
          <w:szCs w:val="22"/>
        </w:rPr>
        <w:t>‑</w:t>
      </w:r>
      <w:r w:rsidRPr="00C9301F">
        <w:rPr>
          <w:rFonts w:cs="Arial"/>
          <w:szCs w:val="22"/>
        </w:rPr>
        <w:t>phase development of the Framework for Inclusive and Sustainable Well</w:t>
      </w:r>
      <w:r w:rsidRPr="00C9301F">
        <w:rPr>
          <w:rFonts w:ascii="Cambria Math" w:hAnsi="Cambria Math" w:cs="Cambria Math"/>
          <w:szCs w:val="22"/>
        </w:rPr>
        <w:t>‑</w:t>
      </w:r>
      <w:r w:rsidRPr="00C9301F">
        <w:rPr>
          <w:rFonts w:cs="Arial"/>
          <w:szCs w:val="22"/>
        </w:rPr>
        <w:t>being. We consider the planned global consultation in late 2026 essential to ensuring a transparent, inclusive, and robust framework.</w:t>
      </w:r>
    </w:p>
    <w:p w14:paraId="41A79FB4" w14:textId="77777777" w:rsidR="00F71B19" w:rsidRPr="00C9301F" w:rsidRDefault="00F71B19" w:rsidP="000C7AF9">
      <w:pPr>
        <w:tabs>
          <w:tab w:val="left" w:pos="1080"/>
        </w:tabs>
        <w:ind w:right="708"/>
        <w:rPr>
          <w:rFonts w:cs="Arial"/>
          <w:szCs w:val="22"/>
        </w:rPr>
      </w:pPr>
      <w:r w:rsidRPr="00C9301F">
        <w:rPr>
          <w:rFonts w:cs="Arial"/>
          <w:szCs w:val="22"/>
        </w:rPr>
        <w:lastRenderedPageBreak/>
        <w:t>Finally, Slovenia emphasizes the importance of clear communication and high</w:t>
      </w:r>
      <w:r w:rsidRPr="00C9301F">
        <w:rPr>
          <w:rFonts w:ascii="Cambria Math" w:hAnsi="Cambria Math" w:cs="Cambria Math"/>
          <w:szCs w:val="22"/>
        </w:rPr>
        <w:t>‑</w:t>
      </w:r>
      <w:r w:rsidRPr="00C9301F">
        <w:rPr>
          <w:rFonts w:cs="Arial"/>
          <w:szCs w:val="22"/>
        </w:rPr>
        <w:t>quality methodologies. Well</w:t>
      </w:r>
      <w:r w:rsidRPr="00C9301F">
        <w:rPr>
          <w:rFonts w:ascii="Cambria Math" w:hAnsi="Cambria Math" w:cs="Cambria Math"/>
          <w:szCs w:val="22"/>
        </w:rPr>
        <w:t>‑</w:t>
      </w:r>
      <w:r w:rsidRPr="00C9301F">
        <w:rPr>
          <w:rFonts w:cs="Arial"/>
          <w:szCs w:val="22"/>
        </w:rPr>
        <w:t>being indicators serve their purpose only when they are trusted, well</w:t>
      </w:r>
      <w:r w:rsidRPr="00C9301F">
        <w:rPr>
          <w:rFonts w:ascii="Cambria Math" w:hAnsi="Cambria Math" w:cs="Cambria Math"/>
          <w:szCs w:val="22"/>
        </w:rPr>
        <w:t>‑</w:t>
      </w:r>
      <w:r w:rsidRPr="00C9301F">
        <w:rPr>
          <w:rFonts w:cs="Arial"/>
          <w:szCs w:val="22"/>
        </w:rPr>
        <w:t>understood, and useful for those designing and evaluating public policies.</w:t>
      </w:r>
    </w:p>
    <w:p w14:paraId="56A6A4D7" w14:textId="77777777" w:rsidR="00F71B19" w:rsidRPr="00C9301F" w:rsidRDefault="00CF7E2F" w:rsidP="000C7AF9">
      <w:pPr>
        <w:tabs>
          <w:tab w:val="left" w:pos="1080"/>
        </w:tabs>
        <w:ind w:right="708"/>
        <w:rPr>
          <w:rFonts w:cs="Arial"/>
          <w:szCs w:val="22"/>
        </w:rPr>
      </w:pPr>
      <w:r w:rsidRPr="00C9301F">
        <w:rPr>
          <w:rFonts w:cs="Arial"/>
          <w:szCs w:val="22"/>
        </w:rPr>
        <w:t xml:space="preserve">We remain committed to supporting </w:t>
      </w:r>
      <w:r w:rsidR="00F71B19" w:rsidRPr="00C9301F">
        <w:rPr>
          <w:rFonts w:cs="Arial"/>
          <w:szCs w:val="22"/>
        </w:rPr>
        <w:t>the UN’s efforts to modernize measures of progress and to develop statistical systems that place human well</w:t>
      </w:r>
      <w:r w:rsidR="00F71B19" w:rsidRPr="00C9301F">
        <w:rPr>
          <w:rFonts w:ascii="Cambria Math" w:hAnsi="Cambria Math" w:cs="Cambria Math"/>
          <w:szCs w:val="22"/>
        </w:rPr>
        <w:t>‑</w:t>
      </w:r>
      <w:r w:rsidR="00F71B19" w:rsidRPr="00C9301F">
        <w:rPr>
          <w:rFonts w:cs="Arial"/>
          <w:szCs w:val="22"/>
        </w:rPr>
        <w:t>being, equality, sustainability, and quality of life at the centre of global development.</w:t>
      </w:r>
    </w:p>
    <w:p w14:paraId="7ADE7830" w14:textId="77777777" w:rsidR="00C9301F" w:rsidRDefault="00C9301F" w:rsidP="0073553B">
      <w:pPr>
        <w:pStyle w:val="Default"/>
        <w:ind w:right="992"/>
        <w:jc w:val="both"/>
        <w:rPr>
          <w:rFonts w:ascii="Arial" w:hAnsi="Arial" w:cs="Arial"/>
          <w:b/>
          <w:sz w:val="22"/>
          <w:szCs w:val="22"/>
        </w:rPr>
      </w:pPr>
    </w:p>
    <w:p w14:paraId="43B5B63C" w14:textId="77777777" w:rsidR="00576F19" w:rsidRPr="00C9301F" w:rsidRDefault="00576F19" w:rsidP="0073553B">
      <w:pPr>
        <w:pStyle w:val="Default"/>
        <w:ind w:right="992"/>
        <w:jc w:val="both"/>
        <w:rPr>
          <w:rFonts w:ascii="Arial" w:hAnsi="Arial" w:cs="Arial"/>
          <w:b/>
          <w:sz w:val="22"/>
          <w:szCs w:val="22"/>
        </w:rPr>
      </w:pPr>
      <w:r w:rsidRPr="00C9301F">
        <w:rPr>
          <w:rFonts w:ascii="Arial" w:hAnsi="Arial" w:cs="Arial"/>
          <w:b/>
          <w:sz w:val="22"/>
          <w:szCs w:val="22"/>
        </w:rPr>
        <w:t>Item</w:t>
      </w:r>
      <w:r w:rsidR="0073553B" w:rsidRPr="00C9301F">
        <w:rPr>
          <w:rFonts w:ascii="Arial" w:hAnsi="Arial" w:cs="Arial"/>
          <w:b/>
          <w:sz w:val="22"/>
          <w:szCs w:val="22"/>
        </w:rPr>
        <w:t xml:space="preserve"> 3(m) </w:t>
      </w:r>
      <w:r w:rsidRPr="00C9301F">
        <w:rPr>
          <w:rFonts w:ascii="Arial" w:hAnsi="Arial" w:cs="Arial"/>
          <w:b/>
          <w:sz w:val="22"/>
          <w:szCs w:val="22"/>
        </w:rPr>
        <w:t xml:space="preserve">– </w:t>
      </w:r>
      <w:r w:rsidR="0073553B" w:rsidRPr="00C9301F">
        <w:rPr>
          <w:rFonts w:ascii="Arial" w:hAnsi="Arial" w:cs="Arial"/>
          <w:b/>
          <w:sz w:val="22"/>
          <w:szCs w:val="22"/>
        </w:rPr>
        <w:t>Presentation of statistical data and metadata, dissemination of statistics and its publications and open data</w:t>
      </w:r>
    </w:p>
    <w:p w14:paraId="2D1CEBBF" w14:textId="77777777" w:rsidR="0073553B" w:rsidRPr="00C9301F" w:rsidRDefault="0073553B" w:rsidP="0073553B">
      <w:pPr>
        <w:pStyle w:val="Default"/>
        <w:ind w:right="992"/>
        <w:jc w:val="both"/>
        <w:rPr>
          <w:rFonts w:ascii="Arial" w:hAnsi="Arial" w:cs="Arial"/>
          <w:b/>
          <w:sz w:val="22"/>
          <w:szCs w:val="22"/>
        </w:rPr>
      </w:pPr>
    </w:p>
    <w:p w14:paraId="498CD0F5" w14:textId="77777777" w:rsidR="0073553B" w:rsidRPr="00C9301F" w:rsidRDefault="0073553B" w:rsidP="0073553B">
      <w:pPr>
        <w:pStyle w:val="Default"/>
        <w:ind w:right="992"/>
        <w:jc w:val="both"/>
        <w:rPr>
          <w:rFonts w:ascii="Arial" w:hAnsi="Arial" w:cs="Arial"/>
          <w:b/>
          <w:sz w:val="22"/>
          <w:szCs w:val="22"/>
        </w:rPr>
      </w:pPr>
    </w:p>
    <w:p w14:paraId="3A39274A" w14:textId="77777777" w:rsidR="0073553B" w:rsidRPr="00C9301F" w:rsidRDefault="0073553B" w:rsidP="0073553B">
      <w:pPr>
        <w:tabs>
          <w:tab w:val="left" w:pos="1080"/>
        </w:tabs>
        <w:ind w:right="850"/>
        <w:rPr>
          <w:rFonts w:cs="Arial"/>
          <w:szCs w:val="22"/>
        </w:rPr>
      </w:pPr>
      <w:r w:rsidRPr="00C9301F">
        <w:rPr>
          <w:rFonts w:cs="Arial"/>
          <w:szCs w:val="22"/>
        </w:rPr>
        <w:t>Slovenia welcomes the report of the United Nations Statistics Division and commends the UN for its continued work in promoting open, interoperable and AI-ready official statistics. The work is essential for strengthening transparency, trust and evidence-based policymaking in an increasingly complex data ecosystem. We particularly appreciate the efforts to modernize the UN Data Platform and to advance the UN Data Commons as a shared global infrastructure for accessible and interoperable statistical information.</w:t>
      </w:r>
    </w:p>
    <w:p w14:paraId="3DA50505" w14:textId="77777777" w:rsidR="0073553B" w:rsidRPr="00C9301F" w:rsidRDefault="0073553B" w:rsidP="0073553B">
      <w:pPr>
        <w:tabs>
          <w:tab w:val="left" w:pos="1080"/>
        </w:tabs>
        <w:ind w:right="850"/>
        <w:rPr>
          <w:rFonts w:cs="Arial"/>
          <w:szCs w:val="22"/>
        </w:rPr>
      </w:pPr>
      <w:r w:rsidRPr="00C9301F">
        <w:rPr>
          <w:rFonts w:cs="Arial"/>
          <w:szCs w:val="22"/>
        </w:rPr>
        <w:t>Statistical office of the Republic of Slovenia has made significant progress in data openness. According to the Open Data Inventory (ODIN) 2024, we rank among the top ten countries globally, reflecting a high level of openness, accessibility and reusability of official statistics. This achievement confirms the importance of sustained investment in user-oriented dissemination, machine-readable formats, and high-quality metadata. We also recognize the importance of modern dissemination practices. Digital publication formats, interactive dissemination tools and machine-readable outputs improve accessibility while ensuring cost-effective and user-centred communication of statistics.</w:t>
      </w:r>
    </w:p>
    <w:p w14:paraId="7EBE6110" w14:textId="77777777" w:rsidR="0073553B" w:rsidRPr="00C9301F" w:rsidRDefault="0073553B" w:rsidP="0073553B">
      <w:pPr>
        <w:tabs>
          <w:tab w:val="left" w:pos="1080"/>
        </w:tabs>
        <w:ind w:right="850"/>
        <w:rPr>
          <w:rFonts w:cs="Arial"/>
          <w:szCs w:val="22"/>
        </w:rPr>
      </w:pPr>
      <w:r w:rsidRPr="00C9301F">
        <w:rPr>
          <w:rFonts w:cs="Arial"/>
          <w:szCs w:val="22"/>
        </w:rPr>
        <w:t>At the same time, the increasing use of AI requires careful consideration of legal frameworks and governance mechanisms. Aggregated statistical data can be openly disseminated, but microdata must remain subject to controlled access procedures and strict confidentiality safeguards. Maintaining public trust and protecting respondents must remain a central principle.</w:t>
      </w:r>
    </w:p>
    <w:p w14:paraId="689E9141" w14:textId="77777777" w:rsidR="0073553B" w:rsidRPr="00C9301F" w:rsidRDefault="0073553B" w:rsidP="0073553B">
      <w:pPr>
        <w:tabs>
          <w:tab w:val="left" w:pos="1080"/>
        </w:tabs>
        <w:ind w:right="850"/>
        <w:rPr>
          <w:rFonts w:cs="Arial"/>
          <w:szCs w:val="22"/>
        </w:rPr>
      </w:pPr>
      <w:r w:rsidRPr="00C9301F">
        <w:rPr>
          <w:rFonts w:cs="Arial"/>
          <w:szCs w:val="22"/>
        </w:rPr>
        <w:t>In this context, Slovenia supports a responsible digital transformation of official statistics. This approach should be grounded in clear standards, strong metadata systems, and robust confidentiality protection. It is essential to clearly distinguish between open access to aggregated, statistically protected data and safeguarded access to microdata for approved statistical and research purposes.</w:t>
      </w:r>
    </w:p>
    <w:p w14:paraId="263760ED" w14:textId="77777777" w:rsidR="0073553B" w:rsidRPr="00C9301F" w:rsidRDefault="0073553B" w:rsidP="0073553B">
      <w:pPr>
        <w:tabs>
          <w:tab w:val="left" w:pos="1080"/>
        </w:tabs>
        <w:ind w:right="850"/>
        <w:rPr>
          <w:rFonts w:cs="Arial"/>
          <w:szCs w:val="22"/>
        </w:rPr>
      </w:pPr>
      <w:r w:rsidRPr="00C9301F">
        <w:rPr>
          <w:rFonts w:cs="Arial"/>
          <w:szCs w:val="22"/>
        </w:rPr>
        <w:t>Slovenia would like to express its appreciation to the UN Statistics Division for this important work done and looks forward to continued international cooperation in advancing trustworthy, open and AI-ready official statistics.</w:t>
      </w:r>
    </w:p>
    <w:p w14:paraId="358E36AB" w14:textId="77777777" w:rsidR="00576F19" w:rsidRPr="00C9301F" w:rsidRDefault="00576F19" w:rsidP="0079148D">
      <w:pPr>
        <w:pStyle w:val="Default"/>
        <w:ind w:right="992"/>
        <w:rPr>
          <w:rFonts w:ascii="Arial" w:hAnsi="Arial" w:cs="Arial"/>
          <w:b/>
          <w:sz w:val="22"/>
          <w:szCs w:val="22"/>
        </w:rPr>
      </w:pPr>
    </w:p>
    <w:p w14:paraId="2BD41E68" w14:textId="77777777" w:rsidR="0079148D" w:rsidRPr="00C9301F" w:rsidRDefault="0079148D" w:rsidP="0079148D">
      <w:pPr>
        <w:pStyle w:val="Default"/>
        <w:ind w:right="992"/>
        <w:jc w:val="both"/>
        <w:rPr>
          <w:rFonts w:ascii="Arial" w:hAnsi="Arial" w:cs="Arial"/>
          <w:b/>
          <w:sz w:val="22"/>
          <w:szCs w:val="22"/>
        </w:rPr>
      </w:pPr>
    </w:p>
    <w:p w14:paraId="039F3EEC" w14:textId="77777777" w:rsidR="0079148D" w:rsidRPr="00C9301F" w:rsidRDefault="0079148D" w:rsidP="0079148D">
      <w:pPr>
        <w:pStyle w:val="Default"/>
        <w:ind w:right="992"/>
        <w:jc w:val="both"/>
        <w:rPr>
          <w:rFonts w:ascii="Arial" w:hAnsi="Arial" w:cs="Arial"/>
          <w:b/>
          <w:sz w:val="22"/>
          <w:szCs w:val="22"/>
        </w:rPr>
      </w:pPr>
    </w:p>
    <w:p w14:paraId="0F3D8D9F" w14:textId="77777777" w:rsidR="0079148D" w:rsidRPr="00C9301F" w:rsidRDefault="0079148D" w:rsidP="0079148D">
      <w:pPr>
        <w:pStyle w:val="Default"/>
        <w:ind w:right="992"/>
        <w:jc w:val="both"/>
        <w:rPr>
          <w:rFonts w:ascii="Arial" w:hAnsi="Arial" w:cs="Arial"/>
          <w:b/>
          <w:sz w:val="22"/>
          <w:szCs w:val="22"/>
        </w:rPr>
      </w:pPr>
    </w:p>
    <w:p w14:paraId="2E744D7A" w14:textId="77777777" w:rsidR="0073553B" w:rsidRPr="00C9301F" w:rsidRDefault="0073553B" w:rsidP="0079148D">
      <w:pPr>
        <w:pStyle w:val="Default"/>
        <w:ind w:right="992"/>
        <w:jc w:val="both"/>
        <w:rPr>
          <w:rFonts w:ascii="Arial" w:hAnsi="Arial" w:cs="Arial"/>
          <w:b/>
          <w:sz w:val="22"/>
          <w:szCs w:val="22"/>
        </w:rPr>
      </w:pPr>
    </w:p>
    <w:p w14:paraId="3ECD16F7" w14:textId="77777777" w:rsidR="00A74BB4" w:rsidRPr="00C9301F" w:rsidRDefault="00A74BB4" w:rsidP="00A25A47">
      <w:pPr>
        <w:pStyle w:val="Default"/>
        <w:rPr>
          <w:rFonts w:ascii="Arial" w:hAnsi="Arial" w:cs="Arial"/>
          <w:b/>
          <w:sz w:val="22"/>
          <w:szCs w:val="22"/>
        </w:rPr>
      </w:pPr>
      <w:r w:rsidRPr="00C9301F">
        <w:rPr>
          <w:rFonts w:ascii="Arial" w:hAnsi="Arial" w:cs="Arial"/>
          <w:b/>
          <w:sz w:val="22"/>
          <w:szCs w:val="22"/>
        </w:rPr>
        <w:lastRenderedPageBreak/>
        <w:t>Item 4(f) –</w:t>
      </w:r>
      <w:r w:rsidR="00A43C2D">
        <w:rPr>
          <w:rFonts w:ascii="Arial" w:hAnsi="Arial" w:cs="Arial"/>
          <w:b/>
          <w:sz w:val="22"/>
          <w:szCs w:val="22"/>
        </w:rPr>
        <w:t xml:space="preserve"> </w:t>
      </w:r>
      <w:r w:rsidR="00A25A47" w:rsidRPr="00C9301F">
        <w:rPr>
          <w:rFonts w:ascii="Arial" w:hAnsi="Arial" w:cs="Arial"/>
          <w:b/>
          <w:sz w:val="22"/>
          <w:szCs w:val="22"/>
        </w:rPr>
        <w:t xml:space="preserve">Integration of </w:t>
      </w:r>
      <w:r w:rsidR="00A43C2D">
        <w:rPr>
          <w:rFonts w:ascii="Arial" w:hAnsi="Arial" w:cs="Arial"/>
          <w:b/>
          <w:sz w:val="22"/>
          <w:szCs w:val="22"/>
        </w:rPr>
        <w:t>s</w:t>
      </w:r>
      <w:r w:rsidR="00A25A47" w:rsidRPr="00C9301F">
        <w:rPr>
          <w:rFonts w:ascii="Arial" w:hAnsi="Arial" w:cs="Arial"/>
          <w:b/>
          <w:sz w:val="22"/>
          <w:szCs w:val="22"/>
        </w:rPr>
        <w:t xml:space="preserve">tatistical and </w:t>
      </w:r>
      <w:r w:rsidR="00A43C2D">
        <w:rPr>
          <w:rFonts w:ascii="Arial" w:hAnsi="Arial" w:cs="Arial"/>
          <w:b/>
          <w:sz w:val="22"/>
          <w:szCs w:val="22"/>
        </w:rPr>
        <w:t>g</w:t>
      </w:r>
      <w:r w:rsidR="00A25A47" w:rsidRPr="00C9301F">
        <w:rPr>
          <w:rFonts w:ascii="Arial" w:hAnsi="Arial" w:cs="Arial"/>
          <w:b/>
          <w:sz w:val="22"/>
          <w:szCs w:val="22"/>
        </w:rPr>
        <w:t xml:space="preserve">eospatial </w:t>
      </w:r>
      <w:r w:rsidR="00A43C2D">
        <w:rPr>
          <w:rFonts w:ascii="Arial" w:hAnsi="Arial" w:cs="Arial"/>
          <w:b/>
          <w:sz w:val="22"/>
          <w:szCs w:val="22"/>
        </w:rPr>
        <w:t>i</w:t>
      </w:r>
      <w:r w:rsidR="00A25A47" w:rsidRPr="00C9301F">
        <w:rPr>
          <w:rFonts w:ascii="Arial" w:hAnsi="Arial" w:cs="Arial"/>
          <w:b/>
          <w:sz w:val="22"/>
          <w:szCs w:val="22"/>
        </w:rPr>
        <w:t>nformation</w:t>
      </w:r>
    </w:p>
    <w:p w14:paraId="5CF6CCCF" w14:textId="77777777" w:rsidR="00A74BB4" w:rsidRPr="00C9301F" w:rsidRDefault="00A74BB4" w:rsidP="00A74BB4">
      <w:pPr>
        <w:pStyle w:val="Default"/>
        <w:ind w:right="992"/>
        <w:jc w:val="both"/>
        <w:rPr>
          <w:rFonts w:ascii="Arial" w:hAnsi="Arial" w:cs="Arial"/>
          <w:b/>
          <w:sz w:val="22"/>
          <w:szCs w:val="22"/>
        </w:rPr>
      </w:pPr>
    </w:p>
    <w:p w14:paraId="031BFB31" w14:textId="77777777" w:rsidR="006C7082" w:rsidRPr="00C9301F" w:rsidRDefault="006C7082" w:rsidP="00A74BB4">
      <w:pPr>
        <w:pStyle w:val="Default"/>
        <w:ind w:right="992"/>
        <w:jc w:val="both"/>
        <w:rPr>
          <w:rFonts w:ascii="Arial" w:hAnsi="Arial" w:cs="Arial"/>
          <w:b/>
          <w:sz w:val="22"/>
          <w:szCs w:val="22"/>
        </w:rPr>
      </w:pPr>
    </w:p>
    <w:p w14:paraId="6380400B" w14:textId="77777777" w:rsidR="00A74BB4" w:rsidRPr="00C9301F" w:rsidRDefault="00A74BB4" w:rsidP="006C7082">
      <w:pPr>
        <w:tabs>
          <w:tab w:val="left" w:pos="1080"/>
          <w:tab w:val="left" w:pos="8080"/>
          <w:tab w:val="left" w:pos="8222"/>
        </w:tabs>
        <w:ind w:right="708"/>
        <w:rPr>
          <w:rFonts w:cs="Arial"/>
          <w:szCs w:val="22"/>
        </w:rPr>
      </w:pPr>
      <w:r w:rsidRPr="00C9301F">
        <w:rPr>
          <w:rFonts w:cs="Arial"/>
          <w:szCs w:val="22"/>
        </w:rPr>
        <w:t>Slovenia welcomes the report of the Expert Group on the Integration of Statistical and Geospatial Information and fully supports the endorsement of the second edition of the Global Statistical Geospatial Framework (GSFG) together with strengthened alignment with the UN Integrated Geospatial Information Framework (UN-IGIF).</w:t>
      </w:r>
    </w:p>
    <w:p w14:paraId="4A25DD82" w14:textId="77777777" w:rsidR="00A74BB4" w:rsidRPr="00C9301F" w:rsidRDefault="00A74BB4" w:rsidP="006C7082">
      <w:pPr>
        <w:tabs>
          <w:tab w:val="left" w:pos="1080"/>
          <w:tab w:val="left" w:pos="8080"/>
          <w:tab w:val="left" w:pos="8222"/>
        </w:tabs>
        <w:ind w:right="708"/>
        <w:rPr>
          <w:rFonts w:cs="Arial"/>
          <w:szCs w:val="22"/>
        </w:rPr>
      </w:pPr>
      <w:r w:rsidRPr="00C9301F">
        <w:rPr>
          <w:rFonts w:cs="Arial"/>
          <w:szCs w:val="22"/>
        </w:rPr>
        <w:t>We particularly welcome the emphasis placed on data disaggregation to support the 2030 Agenda. Without adequate geographic disaggregation, vulnerable populations and local realities remain statistically invisible. Location-based integration enables small-area estimation, hybrid methodologies combining surveys, administrative sources and Earth observation, and more targeted policy interventions.</w:t>
      </w:r>
    </w:p>
    <w:p w14:paraId="29AFAA35" w14:textId="77777777" w:rsidR="00A74BB4" w:rsidRPr="00C9301F" w:rsidRDefault="00A74BB4" w:rsidP="006C7082">
      <w:pPr>
        <w:tabs>
          <w:tab w:val="left" w:pos="1080"/>
          <w:tab w:val="left" w:pos="8080"/>
          <w:tab w:val="left" w:pos="8222"/>
        </w:tabs>
        <w:ind w:right="708"/>
        <w:rPr>
          <w:rFonts w:cs="Arial"/>
          <w:szCs w:val="22"/>
        </w:rPr>
      </w:pPr>
      <w:r w:rsidRPr="00C9301F">
        <w:rPr>
          <w:rFonts w:cs="Arial"/>
          <w:szCs w:val="22"/>
        </w:rPr>
        <w:t>The Statistical Office of the Republic of Slovenia applies the GSGF at various levels of statistical production in close cooperation with the Surveying and Mapping Authority of the Republic of Slovenia through shared infrastructures and coordinated implementation of both frameworks. This experience confirms a central principle: integration enhances quality.</w:t>
      </w:r>
    </w:p>
    <w:p w14:paraId="53216EE5" w14:textId="77777777" w:rsidR="00A74BB4" w:rsidRPr="00C9301F" w:rsidRDefault="00A74BB4" w:rsidP="006C7082">
      <w:pPr>
        <w:tabs>
          <w:tab w:val="left" w:pos="1080"/>
          <w:tab w:val="left" w:pos="8080"/>
          <w:tab w:val="left" w:pos="8222"/>
        </w:tabs>
        <w:ind w:right="708"/>
        <w:rPr>
          <w:rFonts w:cs="Arial"/>
          <w:szCs w:val="22"/>
        </w:rPr>
      </w:pPr>
      <w:r w:rsidRPr="00C9301F">
        <w:rPr>
          <w:rFonts w:cs="Arial"/>
          <w:szCs w:val="22"/>
        </w:rPr>
        <w:t>The GSGF provides us with a structured and consistent framework to assess current integration, to guide complex data linkages —such as microdata on electricity and water consumption — and to strengthen dissemination through interoperable platforms and machine-readable services.</w:t>
      </w:r>
    </w:p>
    <w:p w14:paraId="44A83782" w14:textId="77777777" w:rsidR="00A74BB4" w:rsidRPr="00C9301F" w:rsidRDefault="00A74BB4" w:rsidP="006C7082">
      <w:pPr>
        <w:tabs>
          <w:tab w:val="left" w:pos="1080"/>
          <w:tab w:val="left" w:pos="8080"/>
          <w:tab w:val="left" w:pos="8222"/>
        </w:tabs>
        <w:ind w:right="708"/>
        <w:rPr>
          <w:rFonts w:cs="Arial"/>
          <w:szCs w:val="22"/>
        </w:rPr>
      </w:pPr>
      <w:r w:rsidRPr="00C9301F">
        <w:rPr>
          <w:rFonts w:cs="Arial"/>
          <w:szCs w:val="22"/>
        </w:rPr>
        <w:t xml:space="preserve">In our view one of the central messages is that the geospatial dimension of statistical data is not an optional enhancement. It is an essential component of data quality. Without a structured framework such as the GSGF, quality remains uneven and difficult to sustain across institutions and domains. </w:t>
      </w:r>
    </w:p>
    <w:p w14:paraId="04665AC9" w14:textId="77777777" w:rsidR="00A74BB4" w:rsidRPr="00C9301F" w:rsidRDefault="00A74BB4" w:rsidP="006C7082">
      <w:pPr>
        <w:tabs>
          <w:tab w:val="left" w:pos="1080"/>
          <w:tab w:val="left" w:pos="8080"/>
        </w:tabs>
        <w:ind w:right="850"/>
        <w:rPr>
          <w:rFonts w:cs="Arial"/>
          <w:szCs w:val="22"/>
        </w:rPr>
      </w:pPr>
      <w:r w:rsidRPr="00C9301F">
        <w:rPr>
          <w:rFonts w:cs="Arial"/>
          <w:szCs w:val="22"/>
        </w:rPr>
        <w:t>High-quality data are the foundation of trusted official statistics. Consistency, transparency, and reproducibility are indispensable in maintaining credibility in an increasingly complex data environment. By strengthening the way in which data are linked, managed, and disseminated, the GSGF directly reinforces these quality dimensions.</w:t>
      </w:r>
    </w:p>
    <w:p w14:paraId="65B57B5A" w14:textId="77777777" w:rsidR="00A74BB4" w:rsidRPr="00C9301F" w:rsidRDefault="00A74BB4" w:rsidP="006C7082">
      <w:pPr>
        <w:tabs>
          <w:tab w:val="left" w:pos="1080"/>
          <w:tab w:val="left" w:pos="8080"/>
        </w:tabs>
        <w:ind w:right="850"/>
        <w:rPr>
          <w:rFonts w:cs="Arial"/>
          <w:szCs w:val="22"/>
        </w:rPr>
      </w:pPr>
      <w:r w:rsidRPr="00C9301F">
        <w:rPr>
          <w:rFonts w:cs="Arial"/>
          <w:szCs w:val="22"/>
        </w:rPr>
        <w:t>Trusted statistics are a prerequisite for effective policy-making. Decision-makers require coherent, comparable, and spatially meaningful information to understand societal challenges, evaluate policy impacts, and design targeted interventions. Location provides the context that transforms data into actionable knowledge.</w:t>
      </w:r>
    </w:p>
    <w:p w14:paraId="7E4A1D95" w14:textId="77777777" w:rsidR="00A74BB4" w:rsidRPr="00C9301F" w:rsidRDefault="00A74BB4" w:rsidP="006C7082">
      <w:pPr>
        <w:tabs>
          <w:tab w:val="left" w:pos="1080"/>
          <w:tab w:val="left" w:pos="8080"/>
        </w:tabs>
        <w:ind w:right="850"/>
        <w:rPr>
          <w:rFonts w:cs="Arial"/>
          <w:szCs w:val="22"/>
        </w:rPr>
      </w:pPr>
      <w:r w:rsidRPr="00C9301F">
        <w:rPr>
          <w:rFonts w:cs="Arial"/>
          <w:szCs w:val="22"/>
        </w:rPr>
        <w:t>In a data-rich but trust-poor environment, statistics lacking spatial clarity are more vulnerable to misinterpretation and misuse. Geospatially enabled statistics enhance resilience — resilience of data, resilience of institutions, and resilience of public trust.</w:t>
      </w:r>
    </w:p>
    <w:p w14:paraId="7C5DE0ED" w14:textId="77777777" w:rsidR="00A74BB4" w:rsidRPr="00C9301F" w:rsidRDefault="00A74BB4" w:rsidP="006C7082">
      <w:pPr>
        <w:tabs>
          <w:tab w:val="left" w:pos="1080"/>
          <w:tab w:val="left" w:pos="8080"/>
        </w:tabs>
        <w:ind w:right="850"/>
        <w:rPr>
          <w:rFonts w:cs="Arial"/>
          <w:szCs w:val="22"/>
        </w:rPr>
      </w:pPr>
      <w:r w:rsidRPr="00C9301F">
        <w:rPr>
          <w:rFonts w:cs="Arial"/>
          <w:szCs w:val="22"/>
        </w:rPr>
        <w:t>Furthermore, Slovenia is pleased to inform the Commission that the Statistical Office of the Republic of Slovenia</w:t>
      </w:r>
      <w:r w:rsidR="00C50949" w:rsidRPr="00C9301F">
        <w:rPr>
          <w:rFonts w:cs="Arial"/>
          <w:szCs w:val="22"/>
        </w:rPr>
        <w:t xml:space="preserve"> —</w:t>
      </w:r>
      <w:r w:rsidRPr="00C9301F">
        <w:rPr>
          <w:rFonts w:cs="Arial"/>
          <w:szCs w:val="22"/>
        </w:rPr>
        <w:t xml:space="preserve"> together with the Surveying and Mapping Authority of the Republic of Slovenia</w:t>
      </w:r>
      <w:r w:rsidR="00C50949" w:rsidRPr="00C9301F">
        <w:rPr>
          <w:rFonts w:cs="Arial"/>
          <w:szCs w:val="22"/>
        </w:rPr>
        <w:t xml:space="preserve"> —</w:t>
      </w:r>
      <w:r w:rsidRPr="00C9301F">
        <w:rPr>
          <w:rFonts w:cs="Arial"/>
          <w:szCs w:val="22"/>
        </w:rPr>
        <w:t xml:space="preserve"> will organise and lead a seminar within the framework of the 2026 plenary session of the Conference of European Statisticians, dedicated to the integration of statistical and geospatial information</w:t>
      </w:r>
      <w:r w:rsidR="00C50949" w:rsidRPr="00C9301F">
        <w:rPr>
          <w:rFonts w:cs="Arial"/>
          <w:szCs w:val="22"/>
        </w:rPr>
        <w:t>.</w:t>
      </w:r>
    </w:p>
    <w:sectPr w:rsidR="00A74BB4" w:rsidRPr="00C9301F" w:rsidSect="006C7082">
      <w:footerReference w:type="default" r:id="rId9"/>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FBC8" w14:textId="77777777" w:rsidR="006761DB" w:rsidRDefault="006761DB" w:rsidP="00320594">
      <w:pPr>
        <w:spacing w:after="0" w:line="240" w:lineRule="auto"/>
      </w:pPr>
      <w:r>
        <w:separator/>
      </w:r>
    </w:p>
  </w:endnote>
  <w:endnote w:type="continuationSeparator" w:id="0">
    <w:p w14:paraId="22DBFFC0" w14:textId="77777777" w:rsidR="006761DB" w:rsidRDefault="006761DB" w:rsidP="0032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11514"/>
      <w:docPartObj>
        <w:docPartGallery w:val="Page Numbers (Bottom of Page)"/>
        <w:docPartUnique/>
      </w:docPartObj>
    </w:sdtPr>
    <w:sdtEndPr/>
    <w:sdtContent>
      <w:p w14:paraId="2F67C8B9" w14:textId="77777777" w:rsidR="00320594" w:rsidRDefault="00320594">
        <w:pPr>
          <w:pStyle w:val="Footer"/>
          <w:jc w:val="center"/>
        </w:pPr>
        <w:r>
          <w:fldChar w:fldCharType="begin"/>
        </w:r>
        <w:r>
          <w:instrText>PAGE   \* MERGEFORMAT</w:instrText>
        </w:r>
        <w:r>
          <w:fldChar w:fldCharType="separate"/>
        </w:r>
        <w:r w:rsidR="00A43C2D" w:rsidRPr="00A43C2D">
          <w:rPr>
            <w:noProof/>
            <w:lang w:val="sl-SI"/>
          </w:rPr>
          <w:t>3</w:t>
        </w:r>
        <w:r>
          <w:fldChar w:fldCharType="end"/>
        </w:r>
      </w:p>
    </w:sdtContent>
  </w:sdt>
  <w:p w14:paraId="3B8C2445" w14:textId="77777777" w:rsidR="00320594" w:rsidRDefault="0032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D16B" w14:textId="77777777" w:rsidR="006761DB" w:rsidRDefault="006761DB" w:rsidP="00320594">
      <w:pPr>
        <w:spacing w:after="0" w:line="240" w:lineRule="auto"/>
      </w:pPr>
      <w:r>
        <w:separator/>
      </w:r>
    </w:p>
  </w:footnote>
  <w:footnote w:type="continuationSeparator" w:id="0">
    <w:p w14:paraId="0E9449C2" w14:textId="77777777" w:rsidR="006761DB" w:rsidRDefault="006761DB" w:rsidP="00320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C61C83"/>
    <w:multiLevelType w:val="hybridMultilevel"/>
    <w:tmpl w:val="87591FE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4E2464"/>
    <w:multiLevelType w:val="hybridMultilevel"/>
    <w:tmpl w:val="490A831E"/>
    <w:lvl w:ilvl="0" w:tplc="3CAC1F68">
      <w:start w:val="6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AC"/>
    <w:rsid w:val="0001032A"/>
    <w:rsid w:val="00074C2A"/>
    <w:rsid w:val="000C7AF9"/>
    <w:rsid w:val="00191CBB"/>
    <w:rsid w:val="00320594"/>
    <w:rsid w:val="00527E43"/>
    <w:rsid w:val="00576F19"/>
    <w:rsid w:val="006761DB"/>
    <w:rsid w:val="006C7082"/>
    <w:rsid w:val="0073553B"/>
    <w:rsid w:val="0077631F"/>
    <w:rsid w:val="0079148D"/>
    <w:rsid w:val="008E20C4"/>
    <w:rsid w:val="009A3CD9"/>
    <w:rsid w:val="00A25A47"/>
    <w:rsid w:val="00A43C2D"/>
    <w:rsid w:val="00A74BB4"/>
    <w:rsid w:val="00C26632"/>
    <w:rsid w:val="00C50949"/>
    <w:rsid w:val="00C9301F"/>
    <w:rsid w:val="00CA7353"/>
    <w:rsid w:val="00CF7E2F"/>
    <w:rsid w:val="00E105AC"/>
    <w:rsid w:val="00F30A6D"/>
    <w:rsid w:val="00F71B19"/>
    <w:rsid w:val="00FA0343"/>
    <w:rsid w:val="00FD4B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9752"/>
  <w15:chartTrackingRefBased/>
  <w15:docId w15:val="{247BEA96-CF9A-4DBE-B1AD-276FFEA7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AC"/>
    <w:pPr>
      <w:jc w:val="both"/>
    </w:pPr>
    <w:rPr>
      <w:rFonts w:ascii="Arial" w:eastAsia="Times New Roman" w:hAnsi="Arial" w:cs="Times New Roman"/>
      <w:szCs w:val="20"/>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05AC"/>
    <w:rPr>
      <w:b/>
      <w:bCs/>
    </w:rPr>
  </w:style>
  <w:style w:type="paragraph" w:customStyle="1" w:styleId="Default">
    <w:name w:val="Default"/>
    <w:rsid w:val="00FA0343"/>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ListParagraph">
    <w:name w:val="List Paragraph"/>
    <w:basedOn w:val="Normal"/>
    <w:uiPriority w:val="34"/>
    <w:qFormat/>
    <w:rsid w:val="008E20C4"/>
    <w:pPr>
      <w:ind w:left="720"/>
      <w:contextualSpacing/>
    </w:pPr>
  </w:style>
  <w:style w:type="paragraph" w:styleId="Header">
    <w:name w:val="header"/>
    <w:basedOn w:val="Normal"/>
    <w:link w:val="HeaderChar"/>
    <w:uiPriority w:val="99"/>
    <w:unhideWhenUsed/>
    <w:rsid w:val="003205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0594"/>
    <w:rPr>
      <w:rFonts w:ascii="Arial" w:eastAsia="Times New Roman" w:hAnsi="Arial" w:cs="Times New Roman"/>
      <w:szCs w:val="20"/>
      <w:lang w:val="en-GB" w:eastAsia="sl-SI"/>
    </w:rPr>
  </w:style>
  <w:style w:type="paragraph" w:styleId="Footer">
    <w:name w:val="footer"/>
    <w:basedOn w:val="Normal"/>
    <w:link w:val="FooterChar"/>
    <w:uiPriority w:val="99"/>
    <w:unhideWhenUsed/>
    <w:rsid w:val="003205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0594"/>
    <w:rPr>
      <w:rFonts w:ascii="Arial" w:eastAsia="Times New Roman" w:hAnsi="Arial" w:cs="Times New Roman"/>
      <w:szCs w:val="20"/>
      <w:lang w:val="en-GB" w:eastAsia="sl-SI"/>
    </w:rPr>
  </w:style>
  <w:style w:type="paragraph" w:customStyle="1" w:styleId="Heading">
    <w:name w:val="Heading"/>
    <w:next w:val="BodyA"/>
    <w:rsid w:val="0077631F"/>
    <w:pPr>
      <w:keepNext/>
      <w:keepLines/>
      <w:pBdr>
        <w:top w:val="nil"/>
        <w:left w:val="nil"/>
        <w:bottom w:val="nil"/>
        <w:right w:val="nil"/>
        <w:between w:val="nil"/>
        <w:bar w:val="nil"/>
      </w:pBdr>
      <w:spacing w:before="240" w:after="0" w:line="259" w:lineRule="auto"/>
      <w:outlineLvl w:val="0"/>
    </w:pPr>
    <w:rPr>
      <w:rFonts w:ascii="Calibri Light" w:eastAsia="Calibri Light" w:hAnsi="Calibri Light" w:cs="Calibri Light"/>
      <w:color w:val="2F5496"/>
      <w:sz w:val="32"/>
      <w:szCs w:val="32"/>
      <w:u w:color="2F5496"/>
      <w:bdr w:val="nil"/>
      <w:lang w:eastAsia="sl-SI"/>
      <w14:textOutline w14:w="12700" w14:cap="flat" w14:cmpd="sng" w14:algn="ctr">
        <w14:noFill/>
        <w14:prstDash w14:val="solid"/>
        <w14:miter w14:lim="400000"/>
      </w14:textOutline>
    </w:rPr>
  </w:style>
  <w:style w:type="paragraph" w:customStyle="1" w:styleId="BodyA">
    <w:name w:val="Body A"/>
    <w:rsid w:val="0077631F"/>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sl-SI"/>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6755">
      <w:bodyDiv w:val="1"/>
      <w:marLeft w:val="0"/>
      <w:marRight w:val="0"/>
      <w:marTop w:val="0"/>
      <w:marBottom w:val="0"/>
      <w:divBdr>
        <w:top w:val="none" w:sz="0" w:space="0" w:color="auto"/>
        <w:left w:val="none" w:sz="0" w:space="0" w:color="auto"/>
        <w:bottom w:val="none" w:sz="0" w:space="0" w:color="auto"/>
        <w:right w:val="none" w:sz="0" w:space="0" w:color="auto"/>
      </w:divBdr>
    </w:div>
    <w:div w:id="1511216440">
      <w:bodyDiv w:val="1"/>
      <w:marLeft w:val="0"/>
      <w:marRight w:val="0"/>
      <w:marTop w:val="0"/>
      <w:marBottom w:val="0"/>
      <w:divBdr>
        <w:top w:val="none" w:sz="0" w:space="0" w:color="auto"/>
        <w:left w:val="none" w:sz="0" w:space="0" w:color="auto"/>
        <w:bottom w:val="none" w:sz="0" w:space="0" w:color="auto"/>
        <w:right w:val="none" w:sz="0" w:space="0" w:color="auto"/>
      </w:divBdr>
    </w:div>
    <w:div w:id="1602450284">
      <w:bodyDiv w:val="1"/>
      <w:marLeft w:val="0"/>
      <w:marRight w:val="0"/>
      <w:marTop w:val="0"/>
      <w:marBottom w:val="0"/>
      <w:divBdr>
        <w:top w:val="none" w:sz="0" w:space="0" w:color="auto"/>
        <w:left w:val="none" w:sz="0" w:space="0" w:color="auto"/>
        <w:bottom w:val="none" w:sz="0" w:space="0" w:color="auto"/>
        <w:right w:val="none" w:sz="0" w:space="0" w:color="auto"/>
      </w:divBdr>
    </w:div>
    <w:div w:id="1969776963">
      <w:bodyDiv w:val="1"/>
      <w:marLeft w:val="0"/>
      <w:marRight w:val="0"/>
      <w:marTop w:val="0"/>
      <w:marBottom w:val="0"/>
      <w:divBdr>
        <w:top w:val="none" w:sz="0" w:space="0" w:color="auto"/>
        <w:left w:val="none" w:sz="0" w:space="0" w:color="auto"/>
        <w:bottom w:val="none" w:sz="0" w:space="0" w:color="auto"/>
        <w:right w:val="none" w:sz="0" w:space="0" w:color="auto"/>
      </w:divBdr>
    </w:div>
    <w:div w:id="1979459172">
      <w:bodyDiv w:val="1"/>
      <w:marLeft w:val="0"/>
      <w:marRight w:val="0"/>
      <w:marTop w:val="0"/>
      <w:marBottom w:val="0"/>
      <w:divBdr>
        <w:top w:val="none" w:sz="0" w:space="0" w:color="auto"/>
        <w:left w:val="none" w:sz="0" w:space="0" w:color="auto"/>
        <w:bottom w:val="none" w:sz="0" w:space="0" w:color="auto"/>
        <w:right w:val="none" w:sz="0" w:space="0" w:color="auto"/>
      </w:divBdr>
    </w:div>
    <w:div w:id="208452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3E4474-8BA5-42E9-89B1-C837E1AD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1176</Words>
  <Characters>6709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Hocevar</dc:creator>
  <cp:keywords/>
  <dc:description/>
  <cp:lastModifiedBy>Sabina Carli Sitar</cp:lastModifiedBy>
  <cp:revision>3</cp:revision>
  <dcterms:created xsi:type="dcterms:W3CDTF">2026-03-04T22:30:00Z</dcterms:created>
  <dcterms:modified xsi:type="dcterms:W3CDTF">2026-03-04T22:30:00Z</dcterms:modified>
</cp:coreProperties>
</file>