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1D7F" w14:textId="77777777" w:rsidR="0046266B" w:rsidRDefault="0046266B" w:rsidP="000C2537">
      <w:pPr>
        <w:jc w:val="both"/>
        <w:rPr>
          <w:rFonts w:ascii="Arial" w:hAnsi="Arial" w:cs="Arial"/>
          <w:b/>
          <w:sz w:val="20"/>
          <w:szCs w:val="20"/>
        </w:rPr>
      </w:pPr>
    </w:p>
    <w:p w14:paraId="400C1E59" w14:textId="4624B5BF" w:rsidR="003E4AD1" w:rsidRPr="003E4AD1" w:rsidRDefault="003E4AD1" w:rsidP="000C2537">
      <w:pPr>
        <w:jc w:val="both"/>
        <w:rPr>
          <w:rFonts w:ascii="Arial" w:hAnsi="Arial" w:cs="Arial"/>
          <w:sz w:val="20"/>
          <w:szCs w:val="20"/>
        </w:rPr>
      </w:pPr>
      <w:r w:rsidRPr="003E4AD1">
        <w:rPr>
          <w:rFonts w:ascii="Arial" w:hAnsi="Arial" w:cs="Arial"/>
          <w:sz w:val="20"/>
          <w:szCs w:val="20"/>
        </w:rPr>
        <w:t>Številka: U0611-9/2022</w:t>
      </w:r>
    </w:p>
    <w:p w14:paraId="73E1ED58" w14:textId="706F419C" w:rsidR="003E4AD1" w:rsidRDefault="003E4AD1" w:rsidP="000C2537">
      <w:pPr>
        <w:jc w:val="both"/>
        <w:rPr>
          <w:rFonts w:ascii="Arial" w:hAnsi="Arial" w:cs="Arial"/>
          <w:sz w:val="20"/>
          <w:szCs w:val="20"/>
        </w:rPr>
      </w:pPr>
      <w:r w:rsidRPr="003E4AD1">
        <w:rPr>
          <w:rFonts w:ascii="Arial" w:hAnsi="Arial" w:cs="Arial"/>
          <w:sz w:val="20"/>
          <w:szCs w:val="20"/>
        </w:rPr>
        <w:t>Datum: 24.1.2022</w:t>
      </w:r>
    </w:p>
    <w:p w14:paraId="095D3C07" w14:textId="77777777" w:rsidR="003E4AD1" w:rsidRPr="003E4AD1" w:rsidRDefault="003E4AD1" w:rsidP="000C2537">
      <w:pPr>
        <w:jc w:val="both"/>
        <w:rPr>
          <w:rFonts w:ascii="Arial" w:hAnsi="Arial" w:cs="Arial"/>
          <w:sz w:val="20"/>
          <w:szCs w:val="20"/>
        </w:rPr>
      </w:pPr>
    </w:p>
    <w:p w14:paraId="797E8292" w14:textId="0C095043" w:rsidR="0001133E" w:rsidRDefault="00934EE8" w:rsidP="000C2537">
      <w:pPr>
        <w:jc w:val="both"/>
        <w:rPr>
          <w:rFonts w:ascii="Arial" w:hAnsi="Arial" w:cs="Arial"/>
          <w:b/>
          <w:sz w:val="20"/>
          <w:szCs w:val="20"/>
        </w:rPr>
      </w:pPr>
      <w:r>
        <w:rPr>
          <w:rFonts w:ascii="Arial" w:hAnsi="Arial" w:cs="Arial"/>
          <w:b/>
          <w:sz w:val="20"/>
          <w:szCs w:val="20"/>
        </w:rPr>
        <w:t>NADZOR</w:t>
      </w:r>
      <w:r w:rsidR="004B1539" w:rsidRPr="00897DA7">
        <w:rPr>
          <w:rFonts w:ascii="Arial" w:hAnsi="Arial" w:cs="Arial"/>
          <w:b/>
          <w:sz w:val="20"/>
          <w:szCs w:val="20"/>
        </w:rPr>
        <w:t xml:space="preserve"> IZVEDBE UKREPOV </w:t>
      </w:r>
      <w:r>
        <w:rPr>
          <w:rFonts w:ascii="Arial" w:hAnsi="Arial" w:cs="Arial"/>
          <w:b/>
          <w:sz w:val="20"/>
          <w:szCs w:val="20"/>
        </w:rPr>
        <w:t>ZA IZKORENINJENJE VIROIDNIH ZAKRNELOSTI HMELJA</w:t>
      </w:r>
      <w:r w:rsidR="00033DF4">
        <w:rPr>
          <w:rFonts w:ascii="Arial" w:hAnsi="Arial" w:cs="Arial"/>
          <w:b/>
          <w:sz w:val="20"/>
          <w:szCs w:val="20"/>
        </w:rPr>
        <w:t xml:space="preserve"> </w:t>
      </w:r>
      <w:r w:rsidR="004B1539" w:rsidRPr="00897DA7">
        <w:rPr>
          <w:rFonts w:ascii="Arial" w:hAnsi="Arial" w:cs="Arial"/>
          <w:b/>
          <w:sz w:val="20"/>
          <w:szCs w:val="20"/>
        </w:rPr>
        <w:t>V LETU 202</w:t>
      </w:r>
      <w:r w:rsidR="00DD206A" w:rsidRPr="00897DA7">
        <w:rPr>
          <w:rFonts w:ascii="Arial" w:hAnsi="Arial" w:cs="Arial"/>
          <w:b/>
          <w:sz w:val="20"/>
          <w:szCs w:val="20"/>
        </w:rPr>
        <w:t>1</w:t>
      </w:r>
      <w:r w:rsidR="00A97CD5" w:rsidRPr="00897DA7">
        <w:rPr>
          <w:rFonts w:ascii="Arial" w:hAnsi="Arial" w:cs="Arial"/>
          <w:b/>
          <w:sz w:val="20"/>
          <w:szCs w:val="20"/>
        </w:rPr>
        <w:t xml:space="preserve">  </w:t>
      </w:r>
    </w:p>
    <w:p w14:paraId="25C10038" w14:textId="76AFA0AF" w:rsidR="00895A9A" w:rsidRDefault="00895A9A" w:rsidP="00895A9A">
      <w:pPr>
        <w:pStyle w:val="Odstavekseznama"/>
        <w:numPr>
          <w:ilvl w:val="0"/>
          <w:numId w:val="2"/>
        </w:numPr>
        <w:jc w:val="both"/>
        <w:rPr>
          <w:rFonts w:ascii="Arial" w:hAnsi="Arial" w:cs="Arial"/>
          <w:b/>
          <w:sz w:val="20"/>
          <w:szCs w:val="20"/>
        </w:rPr>
      </w:pPr>
      <w:r>
        <w:rPr>
          <w:rFonts w:ascii="Arial" w:hAnsi="Arial" w:cs="Arial"/>
          <w:b/>
          <w:sz w:val="20"/>
          <w:szCs w:val="20"/>
        </w:rPr>
        <w:t>Namen uradnega nadzora</w:t>
      </w:r>
    </w:p>
    <w:p w14:paraId="0EA4B6BC" w14:textId="77777777" w:rsidR="00895A9A" w:rsidRDefault="00895A9A" w:rsidP="00895A9A">
      <w:pPr>
        <w:pStyle w:val="Odstavekseznama"/>
        <w:jc w:val="both"/>
        <w:rPr>
          <w:rFonts w:ascii="Arial" w:hAnsi="Arial" w:cs="Arial"/>
          <w:b/>
          <w:sz w:val="20"/>
          <w:szCs w:val="20"/>
        </w:rPr>
      </w:pPr>
    </w:p>
    <w:p w14:paraId="348C2815" w14:textId="27ACE834" w:rsidR="00033DF4" w:rsidRDefault="00033DF4" w:rsidP="00895A9A">
      <w:pPr>
        <w:pStyle w:val="Odstavekseznama"/>
        <w:jc w:val="both"/>
        <w:rPr>
          <w:rFonts w:ascii="Arial" w:hAnsi="Arial" w:cs="Arial"/>
          <w:sz w:val="20"/>
          <w:szCs w:val="20"/>
        </w:rPr>
      </w:pPr>
      <w:r w:rsidRPr="00033DF4">
        <w:rPr>
          <w:rFonts w:ascii="Arial" w:hAnsi="Arial" w:cs="Arial"/>
          <w:sz w:val="20"/>
          <w:szCs w:val="20"/>
        </w:rPr>
        <w:t xml:space="preserve">Akcijski načrt ukrepov za izkoreninjenje viroidnih zakrnelosti hmelja v Republiki Sloveniji v letu 2021 podrobneje določa program in organizacijo ugotavljanja navzočnosti in razširjenosti </w:t>
      </w:r>
      <w:r w:rsidR="00C654ED">
        <w:rPr>
          <w:rFonts w:ascii="Arial" w:hAnsi="Arial" w:cs="Arial"/>
          <w:sz w:val="20"/>
          <w:szCs w:val="20"/>
        </w:rPr>
        <w:t xml:space="preserve">hude </w:t>
      </w:r>
      <w:proofErr w:type="spellStart"/>
      <w:r w:rsidR="00C654ED">
        <w:rPr>
          <w:rFonts w:ascii="Arial" w:hAnsi="Arial" w:cs="Arial"/>
          <w:sz w:val="20"/>
          <w:szCs w:val="20"/>
        </w:rPr>
        <w:t>viroidne</w:t>
      </w:r>
      <w:proofErr w:type="spellEnd"/>
      <w:r w:rsidR="00C654ED">
        <w:rPr>
          <w:rFonts w:ascii="Arial" w:hAnsi="Arial" w:cs="Arial"/>
          <w:sz w:val="20"/>
          <w:szCs w:val="20"/>
        </w:rPr>
        <w:t xml:space="preserve"> </w:t>
      </w:r>
      <w:proofErr w:type="spellStart"/>
      <w:r w:rsidR="00C654ED">
        <w:rPr>
          <w:rFonts w:ascii="Arial" w:hAnsi="Arial" w:cs="Arial"/>
          <w:sz w:val="20"/>
          <w:szCs w:val="20"/>
        </w:rPr>
        <w:t>zakrnelisti</w:t>
      </w:r>
      <w:proofErr w:type="spellEnd"/>
      <w:r w:rsidR="00C654ED">
        <w:rPr>
          <w:rFonts w:ascii="Arial" w:hAnsi="Arial" w:cs="Arial"/>
          <w:sz w:val="20"/>
          <w:szCs w:val="20"/>
        </w:rPr>
        <w:t xml:space="preserve"> hmelja (</w:t>
      </w:r>
      <w:proofErr w:type="spellStart"/>
      <w:r w:rsidRPr="00033DF4">
        <w:rPr>
          <w:rFonts w:ascii="Arial" w:hAnsi="Arial" w:cs="Arial"/>
          <w:sz w:val="20"/>
          <w:szCs w:val="20"/>
        </w:rPr>
        <w:t>CBCVd</w:t>
      </w:r>
      <w:proofErr w:type="spellEnd"/>
      <w:r w:rsidR="00C654ED">
        <w:rPr>
          <w:rFonts w:ascii="Arial" w:hAnsi="Arial" w:cs="Arial"/>
          <w:sz w:val="20"/>
          <w:szCs w:val="20"/>
        </w:rPr>
        <w:t>)</w:t>
      </w:r>
      <w:r w:rsidRPr="00033DF4">
        <w:rPr>
          <w:rFonts w:ascii="Arial" w:hAnsi="Arial" w:cs="Arial"/>
          <w:sz w:val="20"/>
          <w:szCs w:val="20"/>
        </w:rPr>
        <w:t xml:space="preserve"> ter inšpekcijski nadzor na podlagi Programa izvedbe ukrepov za preprečevanje širjenja in zatiranje viroidnih zakrnelosti hmelja za obdobje 2019–2021, št. 34300-1/2019/6, ki ga je sprejel</w:t>
      </w:r>
      <w:r>
        <w:rPr>
          <w:rFonts w:ascii="Arial" w:hAnsi="Arial" w:cs="Arial"/>
          <w:sz w:val="20"/>
          <w:szCs w:val="20"/>
        </w:rPr>
        <w:t xml:space="preserve">a Vlada RS dne 17.10.2019 in </w:t>
      </w:r>
      <w:r w:rsidRPr="00033DF4">
        <w:rPr>
          <w:rFonts w:ascii="Arial" w:hAnsi="Arial" w:cs="Arial"/>
          <w:sz w:val="20"/>
          <w:szCs w:val="20"/>
        </w:rPr>
        <w:t>spremembe programa št. 34300-1/2021/3 z dne 11.2.2021 (https://www.gov.si/teme/huda-viroidna-zakrnelost-hmelja-citrus-bark-cracking-viroid/) ter na podlagi Načrta izrednih ukrepov za izkoreninjenje viroidnih zakrnelosti hmelja v Republiki Sloveniji, št. U3430-30/2019-11 z dne 2.6.2021.</w:t>
      </w:r>
    </w:p>
    <w:p w14:paraId="24122A82" w14:textId="77777777" w:rsidR="00617075" w:rsidRDefault="00617075" w:rsidP="00895A9A">
      <w:pPr>
        <w:pStyle w:val="Odstavekseznama"/>
        <w:jc w:val="both"/>
        <w:rPr>
          <w:rFonts w:ascii="Arial" w:hAnsi="Arial" w:cs="Arial"/>
          <w:sz w:val="20"/>
          <w:szCs w:val="20"/>
        </w:rPr>
      </w:pPr>
    </w:p>
    <w:p w14:paraId="56DE6F95" w14:textId="62F74E0F" w:rsidR="00033DF4" w:rsidRPr="00033DF4" w:rsidRDefault="00033DF4" w:rsidP="00895A9A">
      <w:pPr>
        <w:pStyle w:val="Odstavekseznama"/>
        <w:jc w:val="both"/>
        <w:rPr>
          <w:rFonts w:ascii="Arial" w:hAnsi="Arial" w:cs="Arial"/>
          <w:sz w:val="20"/>
          <w:szCs w:val="20"/>
        </w:rPr>
      </w:pPr>
      <w:r>
        <w:rPr>
          <w:rFonts w:ascii="Arial" w:hAnsi="Arial" w:cs="Arial"/>
          <w:sz w:val="20"/>
          <w:szCs w:val="20"/>
        </w:rPr>
        <w:t>To poročilo zajema aktivnosti Inšpekcije za varno hrano, veterinarstvo in varstvo rastlin pri nadz</w:t>
      </w:r>
      <w:r w:rsidR="00580083">
        <w:rPr>
          <w:rFonts w:ascii="Arial" w:hAnsi="Arial" w:cs="Arial"/>
          <w:sz w:val="20"/>
          <w:szCs w:val="20"/>
        </w:rPr>
        <w:t>oru izvedbe ukrepov za izkoreni</w:t>
      </w:r>
      <w:r>
        <w:rPr>
          <w:rFonts w:ascii="Arial" w:hAnsi="Arial" w:cs="Arial"/>
          <w:sz w:val="20"/>
          <w:szCs w:val="20"/>
        </w:rPr>
        <w:t>njenje</w:t>
      </w:r>
      <w:r w:rsidR="00C654ED">
        <w:rPr>
          <w:rFonts w:ascii="Arial" w:hAnsi="Arial" w:cs="Arial"/>
          <w:sz w:val="20"/>
          <w:szCs w:val="20"/>
        </w:rPr>
        <w:t xml:space="preserve"> </w:t>
      </w:r>
      <w:proofErr w:type="spellStart"/>
      <w:r w:rsidR="00C654ED">
        <w:rPr>
          <w:rFonts w:ascii="Arial" w:hAnsi="Arial" w:cs="Arial"/>
          <w:sz w:val="20"/>
          <w:szCs w:val="20"/>
        </w:rPr>
        <w:t>CBCVd</w:t>
      </w:r>
      <w:proofErr w:type="spellEnd"/>
      <w:r w:rsidR="00C654ED">
        <w:rPr>
          <w:rFonts w:ascii="Arial" w:hAnsi="Arial" w:cs="Arial"/>
          <w:sz w:val="20"/>
          <w:szCs w:val="20"/>
        </w:rPr>
        <w:t>.</w:t>
      </w:r>
    </w:p>
    <w:p w14:paraId="6C615706" w14:textId="77777777" w:rsidR="00895A9A" w:rsidRDefault="00895A9A" w:rsidP="00895A9A">
      <w:pPr>
        <w:pStyle w:val="Odstavekseznama"/>
        <w:jc w:val="both"/>
        <w:rPr>
          <w:rFonts w:ascii="Arial" w:hAnsi="Arial" w:cs="Arial"/>
          <w:b/>
          <w:sz w:val="20"/>
          <w:szCs w:val="20"/>
        </w:rPr>
      </w:pPr>
    </w:p>
    <w:p w14:paraId="7CAF9337" w14:textId="512C3348" w:rsidR="00895A9A" w:rsidRDefault="00895A9A" w:rsidP="00895A9A">
      <w:pPr>
        <w:pStyle w:val="Odstavekseznama"/>
        <w:numPr>
          <w:ilvl w:val="0"/>
          <w:numId w:val="2"/>
        </w:numPr>
        <w:jc w:val="both"/>
        <w:rPr>
          <w:rFonts w:ascii="Arial" w:hAnsi="Arial" w:cs="Arial"/>
          <w:b/>
          <w:sz w:val="20"/>
          <w:szCs w:val="20"/>
        </w:rPr>
      </w:pPr>
      <w:r>
        <w:rPr>
          <w:rFonts w:ascii="Arial" w:hAnsi="Arial" w:cs="Arial"/>
          <w:b/>
          <w:sz w:val="20"/>
          <w:szCs w:val="20"/>
        </w:rPr>
        <w:t xml:space="preserve">Vsebina </w:t>
      </w:r>
      <w:r w:rsidR="00C654ED">
        <w:rPr>
          <w:rFonts w:ascii="Arial" w:hAnsi="Arial" w:cs="Arial"/>
          <w:b/>
          <w:sz w:val="20"/>
          <w:szCs w:val="20"/>
        </w:rPr>
        <w:t>uradnega nadzora</w:t>
      </w:r>
    </w:p>
    <w:p w14:paraId="38B9F657" w14:textId="77777777" w:rsidR="00C654ED" w:rsidRDefault="00C654ED" w:rsidP="00C654ED">
      <w:pPr>
        <w:pStyle w:val="Odstavekseznama"/>
        <w:jc w:val="both"/>
        <w:rPr>
          <w:rFonts w:ascii="Arial" w:hAnsi="Arial" w:cs="Arial"/>
          <w:b/>
          <w:sz w:val="20"/>
          <w:szCs w:val="20"/>
        </w:rPr>
      </w:pPr>
    </w:p>
    <w:p w14:paraId="27B83C88" w14:textId="34AA80F1" w:rsidR="00C654ED" w:rsidRDefault="00C654ED" w:rsidP="00C654ED">
      <w:pPr>
        <w:pStyle w:val="Odstavekseznama"/>
        <w:jc w:val="both"/>
        <w:rPr>
          <w:rFonts w:ascii="Arial" w:hAnsi="Arial" w:cs="Arial"/>
          <w:sz w:val="20"/>
          <w:szCs w:val="20"/>
        </w:rPr>
      </w:pPr>
      <w:r w:rsidRPr="00C654ED">
        <w:rPr>
          <w:rFonts w:ascii="Arial" w:hAnsi="Arial" w:cs="Arial"/>
          <w:sz w:val="20"/>
          <w:szCs w:val="20"/>
        </w:rPr>
        <w:t xml:space="preserve">V primeru laboratorijske potrditve </w:t>
      </w:r>
      <w:proofErr w:type="spellStart"/>
      <w:r w:rsidRPr="00C654ED">
        <w:rPr>
          <w:rFonts w:ascii="Arial" w:hAnsi="Arial" w:cs="Arial"/>
          <w:sz w:val="20"/>
          <w:szCs w:val="20"/>
        </w:rPr>
        <w:t>CBCVd</w:t>
      </w:r>
      <w:proofErr w:type="spellEnd"/>
      <w:r>
        <w:rPr>
          <w:rFonts w:ascii="Arial" w:hAnsi="Arial" w:cs="Arial"/>
          <w:sz w:val="20"/>
          <w:szCs w:val="20"/>
        </w:rPr>
        <w:t xml:space="preserve"> </w:t>
      </w:r>
      <w:r w:rsidR="00580083">
        <w:rPr>
          <w:rFonts w:ascii="Arial" w:hAnsi="Arial" w:cs="Arial"/>
          <w:sz w:val="20"/>
          <w:szCs w:val="20"/>
        </w:rPr>
        <w:t>v hmeljišču</w:t>
      </w:r>
      <w:r>
        <w:rPr>
          <w:rFonts w:ascii="Arial" w:hAnsi="Arial" w:cs="Arial"/>
          <w:sz w:val="20"/>
          <w:szCs w:val="20"/>
        </w:rPr>
        <w:t xml:space="preserve"> fitosanitarni inšpektor </w:t>
      </w:r>
      <w:r w:rsidR="00580083">
        <w:rPr>
          <w:rFonts w:ascii="Arial" w:hAnsi="Arial" w:cs="Arial"/>
          <w:sz w:val="20"/>
          <w:szCs w:val="20"/>
        </w:rPr>
        <w:t xml:space="preserve">imetniku </w:t>
      </w:r>
      <w:r>
        <w:rPr>
          <w:rFonts w:ascii="Arial" w:hAnsi="Arial" w:cs="Arial"/>
          <w:sz w:val="20"/>
          <w:szCs w:val="20"/>
        </w:rPr>
        <w:t xml:space="preserve">odredi ukrepe </w:t>
      </w:r>
      <w:r w:rsidR="00C331A9">
        <w:rPr>
          <w:rFonts w:ascii="Arial" w:hAnsi="Arial" w:cs="Arial"/>
          <w:sz w:val="20"/>
          <w:szCs w:val="20"/>
        </w:rPr>
        <w:t xml:space="preserve">z inšpekcijsko odločbo na podlagi </w:t>
      </w:r>
      <w:r>
        <w:rPr>
          <w:rFonts w:ascii="Arial" w:hAnsi="Arial" w:cs="Arial"/>
          <w:sz w:val="20"/>
          <w:szCs w:val="20"/>
        </w:rPr>
        <w:t>Odločb</w:t>
      </w:r>
      <w:r w:rsidR="00C331A9">
        <w:rPr>
          <w:rFonts w:ascii="Arial" w:hAnsi="Arial" w:cs="Arial"/>
          <w:sz w:val="20"/>
          <w:szCs w:val="20"/>
        </w:rPr>
        <w:t>e</w:t>
      </w:r>
      <w:r>
        <w:rPr>
          <w:rFonts w:ascii="Arial" w:hAnsi="Arial" w:cs="Arial"/>
          <w:sz w:val="20"/>
          <w:szCs w:val="20"/>
        </w:rPr>
        <w:t xml:space="preserve"> o nujnih ukrepih za preprečevanje vnosa in širjenja viroidnih zakrnelosti hmelja. Ukrepi obsegajo:</w:t>
      </w:r>
    </w:p>
    <w:p w14:paraId="41B61F57" w14:textId="18028E1B"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uničenje okuženih rastlin hmelja v skladu z X. točko Odločbe;</w:t>
      </w:r>
    </w:p>
    <w:p w14:paraId="02DD1849" w14:textId="351258BB"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prepoved sajenja gostiteljskih rastlin iz II. točke Odločbe za dve naslednji rastni dobi na mestu uničenih rastlin hmelja; </w:t>
      </w:r>
    </w:p>
    <w:p w14:paraId="76F96D87" w14:textId="1BE2DD3F"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prepoved sajenja rastlin hmelja na okuženem območju;</w:t>
      </w:r>
    </w:p>
    <w:p w14:paraId="59EBB90C" w14:textId="694E6F29"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prepoved pridelave razmnoževalnega materiala in sadik hmelja na okuženem območju;  </w:t>
      </w:r>
    </w:p>
    <w:p w14:paraId="4326EC95" w14:textId="010B575B"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prepoved vračanja hmeljevine in drugih delov rastlin hmelja iz okuženega območja v hmeljišča; </w:t>
      </w:r>
    </w:p>
    <w:p w14:paraId="474EE732" w14:textId="2B230145"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odvoz sveže ali kompostirane hmeljevine z okuženega hmeljišča na način, ki onemogoča širjenje </w:t>
      </w:r>
      <w:proofErr w:type="spellStart"/>
      <w:r w:rsidRPr="00C654ED">
        <w:rPr>
          <w:rFonts w:ascii="Arial" w:hAnsi="Arial" w:cs="Arial"/>
          <w:sz w:val="20"/>
          <w:szCs w:val="20"/>
        </w:rPr>
        <w:t>CBCVd</w:t>
      </w:r>
      <w:proofErr w:type="spellEnd"/>
      <w:r w:rsidRPr="00C654ED">
        <w:rPr>
          <w:rFonts w:ascii="Arial" w:hAnsi="Arial" w:cs="Arial"/>
          <w:sz w:val="20"/>
          <w:szCs w:val="20"/>
        </w:rPr>
        <w:t xml:space="preserve"> in </w:t>
      </w:r>
      <w:proofErr w:type="spellStart"/>
      <w:r w:rsidRPr="00C654ED">
        <w:rPr>
          <w:rFonts w:ascii="Arial" w:hAnsi="Arial" w:cs="Arial"/>
          <w:sz w:val="20"/>
          <w:szCs w:val="20"/>
        </w:rPr>
        <w:t>HSVd</w:t>
      </w:r>
      <w:proofErr w:type="spellEnd"/>
      <w:r w:rsidRPr="00C654ED">
        <w:rPr>
          <w:rFonts w:ascii="Arial" w:hAnsi="Arial" w:cs="Arial"/>
          <w:sz w:val="20"/>
          <w:szCs w:val="20"/>
        </w:rPr>
        <w:t xml:space="preserve"> med prevozom;</w:t>
      </w:r>
    </w:p>
    <w:p w14:paraId="3908458D" w14:textId="78F48B48"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čiščenje in razkuževanje rok, orodja, strojev, traktorskih koles, obutve in ostale opreme, ki se uporablja na okuženem hmeljišču, pred njihovo uporabo na drugih hmeljiščih v okviru istega okuženega območja; </w:t>
      </w:r>
    </w:p>
    <w:p w14:paraId="0D610AA4" w14:textId="58903EFB"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 xml:space="preserve">prepoved uporabe orodja, strojev in ostale opreme izven okuženega območja brez dovoljenja fitosanitarnega inšpektorja; </w:t>
      </w:r>
    </w:p>
    <w:p w14:paraId="5EE1F5F1" w14:textId="30CD021E"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lastRenderedPageBreak/>
        <w:t>vodenje evidenc o odvozu sveže ali kompostirane hmeljevine iz 6. točke tega odstavka;</w:t>
      </w:r>
    </w:p>
    <w:p w14:paraId="1DA4F984" w14:textId="270334FC" w:rsidR="00C654ED" w:rsidRPr="00C654ED" w:rsidRDefault="00C654ED" w:rsidP="00617075">
      <w:pPr>
        <w:pStyle w:val="Odstavekseznama"/>
        <w:numPr>
          <w:ilvl w:val="0"/>
          <w:numId w:val="4"/>
        </w:numPr>
        <w:jc w:val="both"/>
        <w:rPr>
          <w:rFonts w:ascii="Arial" w:hAnsi="Arial" w:cs="Arial"/>
          <w:sz w:val="20"/>
          <w:szCs w:val="20"/>
        </w:rPr>
      </w:pPr>
      <w:r w:rsidRPr="00C654ED">
        <w:rPr>
          <w:rFonts w:ascii="Arial" w:hAnsi="Arial" w:cs="Arial"/>
          <w:sz w:val="20"/>
          <w:szCs w:val="20"/>
        </w:rPr>
        <w:t>vodenje evidenc o izvajanju higienskih ukrepov iz 7. točke tega odstavka, najmanj s podatki o datumu izvedbe, uporabljenemu sredstvu in orodju, strojih in opremi na kateri so</w:t>
      </w:r>
      <w:r w:rsidR="00533CF7">
        <w:rPr>
          <w:rFonts w:ascii="Arial" w:hAnsi="Arial" w:cs="Arial"/>
          <w:sz w:val="20"/>
          <w:szCs w:val="20"/>
        </w:rPr>
        <w:t xml:space="preserve"> bili izvedeni higienski ukrepi.</w:t>
      </w:r>
      <w:r w:rsidRPr="00C654ED">
        <w:rPr>
          <w:rFonts w:ascii="Arial" w:hAnsi="Arial" w:cs="Arial"/>
          <w:sz w:val="20"/>
          <w:szCs w:val="20"/>
        </w:rPr>
        <w:t xml:space="preserve"> </w:t>
      </w:r>
    </w:p>
    <w:p w14:paraId="41147C71" w14:textId="77777777" w:rsidR="00533CF7" w:rsidRDefault="00533CF7" w:rsidP="00C654ED">
      <w:pPr>
        <w:pStyle w:val="Odstavekseznama"/>
        <w:jc w:val="both"/>
        <w:rPr>
          <w:rFonts w:ascii="Arial" w:hAnsi="Arial" w:cs="Arial"/>
          <w:sz w:val="20"/>
          <w:szCs w:val="20"/>
        </w:rPr>
      </w:pPr>
    </w:p>
    <w:p w14:paraId="0A6AB6E6" w14:textId="7D5113C5" w:rsidR="00C654ED" w:rsidRPr="00C654ED" w:rsidRDefault="00617075" w:rsidP="00C654ED">
      <w:pPr>
        <w:pStyle w:val="Odstavekseznama"/>
        <w:jc w:val="both"/>
        <w:rPr>
          <w:rFonts w:ascii="Arial" w:hAnsi="Arial" w:cs="Arial"/>
          <w:sz w:val="20"/>
          <w:szCs w:val="20"/>
        </w:rPr>
      </w:pPr>
      <w:r>
        <w:rPr>
          <w:rFonts w:ascii="Arial" w:hAnsi="Arial" w:cs="Arial"/>
          <w:sz w:val="20"/>
          <w:szCs w:val="20"/>
        </w:rPr>
        <w:t xml:space="preserve">Fitosanitarni inšpektor v okviru uradnega nazora preverja izvrševanje odrejenih ukrepov </w:t>
      </w:r>
      <w:r w:rsidR="00C331A9">
        <w:rPr>
          <w:rFonts w:ascii="Arial" w:hAnsi="Arial" w:cs="Arial"/>
          <w:sz w:val="20"/>
          <w:szCs w:val="20"/>
        </w:rPr>
        <w:t>i</w:t>
      </w:r>
      <w:r>
        <w:rPr>
          <w:rFonts w:ascii="Arial" w:hAnsi="Arial" w:cs="Arial"/>
          <w:sz w:val="20"/>
          <w:szCs w:val="20"/>
        </w:rPr>
        <w:t>z inšpekcijsk</w:t>
      </w:r>
      <w:r w:rsidR="00C331A9">
        <w:rPr>
          <w:rFonts w:ascii="Arial" w:hAnsi="Arial" w:cs="Arial"/>
          <w:sz w:val="20"/>
          <w:szCs w:val="20"/>
        </w:rPr>
        <w:t xml:space="preserve">ih </w:t>
      </w:r>
      <w:r>
        <w:rPr>
          <w:rFonts w:ascii="Arial" w:hAnsi="Arial" w:cs="Arial"/>
          <w:sz w:val="20"/>
          <w:szCs w:val="20"/>
        </w:rPr>
        <w:t>odločb</w:t>
      </w:r>
      <w:r w:rsidR="00C331A9">
        <w:rPr>
          <w:rFonts w:ascii="Arial" w:hAnsi="Arial" w:cs="Arial"/>
          <w:sz w:val="20"/>
          <w:szCs w:val="20"/>
        </w:rPr>
        <w:t>.</w:t>
      </w:r>
    </w:p>
    <w:p w14:paraId="61F6EC0B" w14:textId="77777777" w:rsidR="00C654ED" w:rsidRDefault="00C654ED" w:rsidP="00C654ED">
      <w:pPr>
        <w:pStyle w:val="Odstavekseznama"/>
        <w:jc w:val="both"/>
        <w:rPr>
          <w:rFonts w:ascii="Arial" w:hAnsi="Arial" w:cs="Arial"/>
          <w:b/>
          <w:sz w:val="20"/>
          <w:szCs w:val="20"/>
        </w:rPr>
      </w:pPr>
    </w:p>
    <w:p w14:paraId="4AB45595" w14:textId="3837E324" w:rsidR="00895A9A" w:rsidRDefault="00895A9A" w:rsidP="00895A9A">
      <w:pPr>
        <w:pStyle w:val="Odstavekseznama"/>
        <w:numPr>
          <w:ilvl w:val="0"/>
          <w:numId w:val="2"/>
        </w:numPr>
        <w:jc w:val="both"/>
        <w:rPr>
          <w:rFonts w:ascii="Arial" w:hAnsi="Arial" w:cs="Arial"/>
          <w:b/>
          <w:sz w:val="20"/>
          <w:szCs w:val="20"/>
        </w:rPr>
      </w:pPr>
      <w:r>
        <w:rPr>
          <w:rFonts w:ascii="Arial" w:hAnsi="Arial" w:cs="Arial"/>
          <w:b/>
          <w:sz w:val="20"/>
          <w:szCs w:val="20"/>
        </w:rPr>
        <w:t>Podatki o pregledih in ugotovitve</w:t>
      </w:r>
    </w:p>
    <w:p w14:paraId="711910CA" w14:textId="77777777" w:rsidR="00617075" w:rsidRDefault="00617075" w:rsidP="00617075">
      <w:pPr>
        <w:pStyle w:val="Odstavekseznama"/>
        <w:jc w:val="both"/>
        <w:rPr>
          <w:rFonts w:ascii="Arial" w:hAnsi="Arial" w:cs="Arial"/>
          <w:b/>
          <w:sz w:val="20"/>
          <w:szCs w:val="20"/>
        </w:rPr>
      </w:pPr>
    </w:p>
    <w:p w14:paraId="4E9DC4A1" w14:textId="1E288CCF" w:rsidR="00617075" w:rsidRDefault="00617075" w:rsidP="00933068">
      <w:pPr>
        <w:ind w:left="708"/>
        <w:jc w:val="both"/>
        <w:rPr>
          <w:rFonts w:ascii="Arial" w:hAnsi="Arial" w:cs="Arial"/>
          <w:sz w:val="20"/>
          <w:szCs w:val="20"/>
        </w:rPr>
      </w:pPr>
      <w:r>
        <w:rPr>
          <w:rFonts w:ascii="Arial" w:hAnsi="Arial" w:cs="Arial"/>
          <w:sz w:val="20"/>
          <w:szCs w:val="20"/>
        </w:rPr>
        <w:t>V letu 2021 so fitosanitarni</w:t>
      </w:r>
      <w:r w:rsidRPr="00897DA7">
        <w:rPr>
          <w:rFonts w:ascii="Arial" w:hAnsi="Arial" w:cs="Arial"/>
          <w:sz w:val="20"/>
          <w:szCs w:val="20"/>
        </w:rPr>
        <w:t xml:space="preserve"> i</w:t>
      </w:r>
      <w:r>
        <w:rPr>
          <w:rFonts w:ascii="Arial" w:hAnsi="Arial" w:cs="Arial"/>
          <w:sz w:val="20"/>
          <w:szCs w:val="20"/>
        </w:rPr>
        <w:t>nšpektorji opravljali</w:t>
      </w:r>
      <w:r w:rsidRPr="00897DA7">
        <w:rPr>
          <w:rFonts w:ascii="Arial" w:hAnsi="Arial" w:cs="Arial"/>
          <w:sz w:val="20"/>
          <w:szCs w:val="20"/>
        </w:rPr>
        <w:t xml:space="preserve"> nadzor izvrševanja ukrepov </w:t>
      </w:r>
      <w:r>
        <w:rPr>
          <w:rFonts w:ascii="Arial" w:hAnsi="Arial" w:cs="Arial"/>
          <w:sz w:val="20"/>
          <w:szCs w:val="20"/>
        </w:rPr>
        <w:t>pri hmeljarjih, kjer je bila izdana inšpekcijska odločba zaradi okužbe v letu 2021 oz. v preteklih letih</w:t>
      </w:r>
      <w:r w:rsidRPr="00897DA7">
        <w:rPr>
          <w:rFonts w:ascii="Arial" w:hAnsi="Arial" w:cs="Arial"/>
          <w:sz w:val="20"/>
          <w:szCs w:val="20"/>
        </w:rPr>
        <w:t xml:space="preserve">. Pri nadzoru  odločb iz l. 2021 je bil opravljen nadzor pri uničenju nadzemnih </w:t>
      </w:r>
      <w:r w:rsidR="003A4F68">
        <w:rPr>
          <w:rFonts w:ascii="Arial" w:hAnsi="Arial" w:cs="Arial"/>
          <w:sz w:val="20"/>
          <w:szCs w:val="20"/>
        </w:rPr>
        <w:t xml:space="preserve">in podzemnih </w:t>
      </w:r>
      <w:r w:rsidRPr="00897DA7">
        <w:rPr>
          <w:rFonts w:ascii="Arial" w:hAnsi="Arial" w:cs="Arial"/>
          <w:sz w:val="20"/>
          <w:szCs w:val="20"/>
        </w:rPr>
        <w:t>delov okuženih rastlin ter izvajanja higienskih ukrepov, kot je razkuževanje mehanizacije in orodja. Pri nadzoru odločb iz preteklih let (2019, 2020) pa je bil opravljen nadzor karantenskih premen</w:t>
      </w:r>
      <w:r w:rsidR="003A4F68">
        <w:rPr>
          <w:rFonts w:ascii="Arial" w:hAnsi="Arial" w:cs="Arial"/>
          <w:sz w:val="20"/>
          <w:szCs w:val="20"/>
        </w:rPr>
        <w:t xml:space="preserve"> kjer se je preverilo redno uničevanje morebitnih ponovno </w:t>
      </w:r>
      <w:proofErr w:type="spellStart"/>
      <w:r w:rsidR="003A4F68">
        <w:rPr>
          <w:rFonts w:ascii="Arial" w:hAnsi="Arial" w:cs="Arial"/>
          <w:sz w:val="20"/>
          <w:szCs w:val="20"/>
        </w:rPr>
        <w:t>odgnalih</w:t>
      </w:r>
      <w:proofErr w:type="spellEnd"/>
      <w:r w:rsidR="003A4F68">
        <w:rPr>
          <w:rFonts w:ascii="Arial" w:hAnsi="Arial" w:cs="Arial"/>
          <w:sz w:val="20"/>
          <w:szCs w:val="20"/>
        </w:rPr>
        <w:t xml:space="preserve"> rastlin hmelja</w:t>
      </w:r>
      <w:r w:rsidRPr="00897DA7">
        <w:rPr>
          <w:rFonts w:ascii="Arial" w:hAnsi="Arial" w:cs="Arial"/>
          <w:sz w:val="20"/>
          <w:szCs w:val="20"/>
        </w:rPr>
        <w:t>, razkuževanja mehanizacije, nadzor premika mehanizacije ter način uničenja podzemnih delov okuže</w:t>
      </w:r>
      <w:r>
        <w:rPr>
          <w:rFonts w:ascii="Arial" w:hAnsi="Arial" w:cs="Arial"/>
          <w:sz w:val="20"/>
          <w:szCs w:val="20"/>
        </w:rPr>
        <w:t xml:space="preserve">nih rastlin (zakop ali sežig). Opravljenih je bilo </w:t>
      </w:r>
      <w:r w:rsidRPr="00897DA7">
        <w:rPr>
          <w:rFonts w:ascii="Arial" w:hAnsi="Arial" w:cs="Arial"/>
          <w:sz w:val="20"/>
          <w:szCs w:val="20"/>
        </w:rPr>
        <w:t>102 inšpekcijsk</w:t>
      </w:r>
      <w:r>
        <w:rPr>
          <w:rFonts w:ascii="Arial" w:hAnsi="Arial" w:cs="Arial"/>
          <w:sz w:val="20"/>
          <w:szCs w:val="20"/>
        </w:rPr>
        <w:t>ih</w:t>
      </w:r>
      <w:r w:rsidRPr="00897DA7">
        <w:rPr>
          <w:rFonts w:ascii="Arial" w:hAnsi="Arial" w:cs="Arial"/>
          <w:sz w:val="20"/>
          <w:szCs w:val="20"/>
        </w:rPr>
        <w:t xml:space="preserve"> pregled</w:t>
      </w:r>
      <w:r>
        <w:rPr>
          <w:rFonts w:ascii="Arial" w:hAnsi="Arial" w:cs="Arial"/>
          <w:sz w:val="20"/>
          <w:szCs w:val="20"/>
        </w:rPr>
        <w:t>ov</w:t>
      </w:r>
      <w:r w:rsidRPr="00897DA7">
        <w:rPr>
          <w:rFonts w:ascii="Arial" w:hAnsi="Arial" w:cs="Arial"/>
          <w:sz w:val="20"/>
          <w:szCs w:val="20"/>
        </w:rPr>
        <w:t xml:space="preserve">. </w:t>
      </w:r>
      <w:r>
        <w:rPr>
          <w:rFonts w:ascii="Arial" w:hAnsi="Arial" w:cs="Arial"/>
          <w:sz w:val="20"/>
          <w:szCs w:val="20"/>
        </w:rPr>
        <w:t xml:space="preserve">Skupno je bilo pregledanih </w:t>
      </w:r>
      <w:r w:rsidRPr="00897DA7">
        <w:rPr>
          <w:rFonts w:ascii="Arial" w:hAnsi="Arial" w:cs="Arial"/>
          <w:sz w:val="20"/>
          <w:szCs w:val="20"/>
        </w:rPr>
        <w:t xml:space="preserve">240 hmeljišč v skupni izmeri 343 ha, na 48 kmetijskih gospodarstvih. V spodnji tabeli so prikazani podatki o opravljenih pregledih v skladu z akcijskim načrtom ukrepov. </w:t>
      </w:r>
    </w:p>
    <w:tbl>
      <w:tblPr>
        <w:tblStyle w:val="Tabelamrea"/>
        <w:tblpPr w:leftFromText="142" w:rightFromText="142" w:vertAnchor="page" w:horzAnchor="margin" w:tblpXSpec="center" w:tblpY="10276"/>
        <w:tblW w:w="4455" w:type="pct"/>
        <w:tblLayout w:type="fixed"/>
        <w:tblLook w:val="04A0" w:firstRow="1" w:lastRow="0" w:firstColumn="1" w:lastColumn="0" w:noHBand="0" w:noVBand="1"/>
      </w:tblPr>
      <w:tblGrid>
        <w:gridCol w:w="1840"/>
        <w:gridCol w:w="991"/>
        <w:gridCol w:w="991"/>
        <w:gridCol w:w="1134"/>
        <w:gridCol w:w="1276"/>
        <w:gridCol w:w="1842"/>
      </w:tblGrid>
      <w:tr w:rsidR="003E4AD1" w:rsidRPr="00897DA7" w14:paraId="04BDEBEF" w14:textId="77777777" w:rsidTr="00F61C77">
        <w:trPr>
          <w:cantSplit/>
          <w:trHeight w:val="680"/>
          <w:tblHeader/>
        </w:trPr>
        <w:tc>
          <w:tcPr>
            <w:tcW w:w="1139" w:type="pct"/>
            <w:noWrap/>
            <w:hideMark/>
          </w:tcPr>
          <w:p w14:paraId="40EA1162" w14:textId="77777777" w:rsidR="003E4AD1" w:rsidRPr="00C86CB5" w:rsidRDefault="003E4AD1" w:rsidP="003E4AD1">
            <w:pPr>
              <w:jc w:val="center"/>
              <w:rPr>
                <w:rFonts w:ascii="Arial" w:hAnsi="Arial" w:cs="Arial"/>
                <w:b/>
                <w:sz w:val="20"/>
                <w:szCs w:val="20"/>
              </w:rPr>
            </w:pPr>
            <w:bookmarkStart w:id="0" w:name="_Hlk92894235"/>
            <w:r w:rsidRPr="00C86CB5">
              <w:rPr>
                <w:rFonts w:ascii="Arial" w:hAnsi="Arial" w:cs="Arial"/>
                <w:b/>
                <w:sz w:val="20"/>
                <w:szCs w:val="20"/>
              </w:rPr>
              <w:t>Naloge inšpekcijskega nadzora</w:t>
            </w:r>
          </w:p>
        </w:tc>
        <w:tc>
          <w:tcPr>
            <w:tcW w:w="614" w:type="pct"/>
            <w:hideMark/>
          </w:tcPr>
          <w:p w14:paraId="6EA9BCBB"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 xml:space="preserve">Prioriteta glede na tveganje </w:t>
            </w:r>
          </w:p>
        </w:tc>
        <w:tc>
          <w:tcPr>
            <w:tcW w:w="614" w:type="pct"/>
            <w:hideMark/>
          </w:tcPr>
          <w:p w14:paraId="00BA53DD"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Število posestev</w:t>
            </w:r>
          </w:p>
          <w:p w14:paraId="072FF791"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(KMG-MID)</w:t>
            </w:r>
          </w:p>
        </w:tc>
        <w:tc>
          <w:tcPr>
            <w:tcW w:w="702" w:type="pct"/>
            <w:hideMark/>
          </w:tcPr>
          <w:p w14:paraId="56392495"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Število</w:t>
            </w:r>
          </w:p>
          <w:p w14:paraId="693D423A"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GERK-ov</w:t>
            </w:r>
          </w:p>
        </w:tc>
        <w:tc>
          <w:tcPr>
            <w:tcW w:w="790" w:type="pct"/>
            <w:noWrap/>
            <w:hideMark/>
          </w:tcPr>
          <w:p w14:paraId="6E22A859"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Skupna površina BRUTO HMELJIŠČ GERK-ov</w:t>
            </w:r>
          </w:p>
          <w:p w14:paraId="42A15325"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(ha)</w:t>
            </w:r>
          </w:p>
        </w:tc>
        <w:tc>
          <w:tcPr>
            <w:tcW w:w="1141" w:type="pct"/>
          </w:tcPr>
          <w:p w14:paraId="41FF932D" w14:textId="77777777" w:rsidR="003E4AD1" w:rsidRPr="00C86CB5" w:rsidRDefault="003E4AD1" w:rsidP="003E4AD1">
            <w:pPr>
              <w:jc w:val="center"/>
              <w:rPr>
                <w:rFonts w:ascii="Arial" w:hAnsi="Arial" w:cs="Arial"/>
                <w:b/>
                <w:sz w:val="20"/>
                <w:szCs w:val="20"/>
              </w:rPr>
            </w:pPr>
            <w:r w:rsidRPr="00C86CB5">
              <w:rPr>
                <w:rFonts w:ascii="Arial" w:hAnsi="Arial" w:cs="Arial"/>
                <w:b/>
                <w:sz w:val="20"/>
                <w:szCs w:val="20"/>
              </w:rPr>
              <w:t>Št. pregledov (Zapisnik o izvedbi odrejenih ukrepov)/ odločb</w:t>
            </w:r>
          </w:p>
        </w:tc>
      </w:tr>
      <w:tr w:rsidR="003E4AD1" w:rsidRPr="00897DA7" w14:paraId="22366BD7" w14:textId="77777777" w:rsidTr="00F61C77">
        <w:trPr>
          <w:trHeight w:val="680"/>
        </w:trPr>
        <w:tc>
          <w:tcPr>
            <w:tcW w:w="1139" w:type="pct"/>
            <w:noWrap/>
          </w:tcPr>
          <w:p w14:paraId="0510E75A" w14:textId="77777777" w:rsidR="003E4AD1" w:rsidRPr="00C86CB5" w:rsidRDefault="003E4AD1" w:rsidP="003E4AD1">
            <w:pPr>
              <w:rPr>
                <w:rFonts w:ascii="Arial" w:hAnsi="Arial" w:cs="Arial"/>
                <w:b/>
                <w:sz w:val="20"/>
                <w:szCs w:val="20"/>
              </w:rPr>
            </w:pPr>
            <w:r w:rsidRPr="00C86CB5">
              <w:rPr>
                <w:rFonts w:ascii="Arial" w:hAnsi="Arial" w:cs="Arial"/>
                <w:sz w:val="20"/>
                <w:szCs w:val="20"/>
              </w:rPr>
              <w:t>Izdajanje inšpekcijskih odločb o ukrepih (najvišja prioriteta)</w:t>
            </w:r>
          </w:p>
        </w:tc>
        <w:tc>
          <w:tcPr>
            <w:tcW w:w="614" w:type="pct"/>
            <w:vAlign w:val="center"/>
          </w:tcPr>
          <w:p w14:paraId="74880BA8" w14:textId="6F131853" w:rsidR="003E4AD1" w:rsidRPr="00C86CB5" w:rsidRDefault="003E4AD1" w:rsidP="00C86CB5">
            <w:pPr>
              <w:jc w:val="center"/>
              <w:rPr>
                <w:rFonts w:ascii="Arial" w:hAnsi="Arial" w:cs="Arial"/>
                <w:b/>
                <w:sz w:val="20"/>
                <w:szCs w:val="20"/>
              </w:rPr>
            </w:pPr>
            <w:r w:rsidRPr="00C86CB5">
              <w:rPr>
                <w:rFonts w:ascii="Arial" w:hAnsi="Arial" w:cs="Arial"/>
                <w:b/>
                <w:sz w:val="20"/>
                <w:szCs w:val="20"/>
              </w:rPr>
              <w:t>1</w:t>
            </w:r>
          </w:p>
        </w:tc>
        <w:tc>
          <w:tcPr>
            <w:tcW w:w="614" w:type="pct"/>
            <w:vMerge w:val="restart"/>
            <w:vAlign w:val="center"/>
          </w:tcPr>
          <w:p w14:paraId="58F61059" w14:textId="77777777" w:rsidR="00C86CB5" w:rsidRDefault="00C86CB5" w:rsidP="00C86CB5">
            <w:pPr>
              <w:jc w:val="center"/>
              <w:rPr>
                <w:rFonts w:ascii="Arial" w:hAnsi="Arial" w:cs="Arial"/>
                <w:b/>
                <w:bCs/>
                <w:noProof/>
                <w:sz w:val="20"/>
                <w:szCs w:val="20"/>
              </w:rPr>
            </w:pPr>
          </w:p>
          <w:p w14:paraId="2234336E" w14:textId="798E08D7" w:rsidR="003E4AD1" w:rsidRPr="00C86CB5" w:rsidRDefault="003E4AD1" w:rsidP="00C86CB5">
            <w:pPr>
              <w:jc w:val="center"/>
              <w:rPr>
                <w:rFonts w:ascii="Arial" w:hAnsi="Arial" w:cs="Arial"/>
                <w:b/>
                <w:bCs/>
                <w:noProof/>
                <w:sz w:val="20"/>
                <w:szCs w:val="20"/>
              </w:rPr>
            </w:pPr>
            <w:r w:rsidRPr="00C86CB5">
              <w:rPr>
                <w:rFonts w:ascii="Arial" w:hAnsi="Arial" w:cs="Arial"/>
                <w:b/>
                <w:bCs/>
                <w:noProof/>
                <w:sz w:val="20"/>
                <w:szCs w:val="20"/>
              </w:rPr>
              <w:t>48</w:t>
            </w:r>
          </w:p>
          <w:p w14:paraId="47A5BF21" w14:textId="77777777" w:rsidR="003E4AD1" w:rsidRPr="00C86CB5" w:rsidRDefault="003E4AD1" w:rsidP="00C86CB5">
            <w:pPr>
              <w:jc w:val="center"/>
              <w:rPr>
                <w:rFonts w:ascii="Arial" w:hAnsi="Arial" w:cs="Arial"/>
                <w:b/>
                <w:sz w:val="20"/>
                <w:szCs w:val="20"/>
              </w:rPr>
            </w:pPr>
          </w:p>
        </w:tc>
        <w:tc>
          <w:tcPr>
            <w:tcW w:w="702" w:type="pct"/>
            <w:vMerge w:val="restart"/>
            <w:vAlign w:val="center"/>
          </w:tcPr>
          <w:p w14:paraId="3CA2295C" w14:textId="77777777" w:rsidR="003E4AD1" w:rsidRPr="00C86CB5" w:rsidRDefault="003E4AD1" w:rsidP="00C86CB5">
            <w:pPr>
              <w:jc w:val="center"/>
              <w:rPr>
                <w:rFonts w:ascii="Arial" w:hAnsi="Arial" w:cs="Arial"/>
                <w:b/>
                <w:sz w:val="20"/>
                <w:szCs w:val="20"/>
              </w:rPr>
            </w:pPr>
            <w:r w:rsidRPr="00C86CB5">
              <w:rPr>
                <w:rFonts w:ascii="Arial" w:hAnsi="Arial" w:cs="Arial"/>
                <w:b/>
                <w:sz w:val="20"/>
                <w:szCs w:val="20"/>
              </w:rPr>
              <w:t>240</w:t>
            </w:r>
          </w:p>
        </w:tc>
        <w:tc>
          <w:tcPr>
            <w:tcW w:w="790" w:type="pct"/>
            <w:vMerge w:val="restart"/>
            <w:vAlign w:val="center"/>
          </w:tcPr>
          <w:p w14:paraId="34197621" w14:textId="1DCD7BCD" w:rsidR="003E4AD1" w:rsidRPr="00C86CB5" w:rsidRDefault="003E4AD1" w:rsidP="00C86CB5">
            <w:pPr>
              <w:jc w:val="center"/>
              <w:rPr>
                <w:rFonts w:ascii="Arial" w:hAnsi="Arial" w:cs="Arial"/>
                <w:b/>
                <w:sz w:val="20"/>
                <w:szCs w:val="20"/>
              </w:rPr>
            </w:pPr>
            <w:r w:rsidRPr="00C86CB5">
              <w:rPr>
                <w:rFonts w:ascii="Arial" w:hAnsi="Arial" w:cs="Arial"/>
                <w:b/>
                <w:sz w:val="20"/>
                <w:szCs w:val="20"/>
              </w:rPr>
              <w:t>343 ha</w:t>
            </w:r>
          </w:p>
        </w:tc>
        <w:tc>
          <w:tcPr>
            <w:tcW w:w="1141" w:type="pct"/>
            <w:vAlign w:val="center"/>
          </w:tcPr>
          <w:p w14:paraId="4FD5A34F" w14:textId="77777777" w:rsidR="003E4AD1" w:rsidRPr="00C86CB5" w:rsidRDefault="003E4AD1" w:rsidP="00C86CB5">
            <w:pPr>
              <w:jc w:val="center"/>
              <w:rPr>
                <w:rFonts w:ascii="Arial" w:hAnsi="Arial" w:cs="Arial"/>
                <w:b/>
                <w:sz w:val="20"/>
                <w:szCs w:val="20"/>
              </w:rPr>
            </w:pPr>
          </w:p>
          <w:p w14:paraId="51E6E6F0" w14:textId="77777777" w:rsidR="003E4AD1" w:rsidRPr="00C86CB5" w:rsidRDefault="003E4AD1" w:rsidP="00C86CB5">
            <w:pPr>
              <w:jc w:val="center"/>
              <w:rPr>
                <w:rFonts w:ascii="Arial" w:hAnsi="Arial" w:cs="Arial"/>
                <w:b/>
                <w:sz w:val="20"/>
                <w:szCs w:val="20"/>
              </w:rPr>
            </w:pPr>
            <w:r w:rsidRPr="00C86CB5">
              <w:rPr>
                <w:rFonts w:ascii="Arial" w:hAnsi="Arial" w:cs="Arial"/>
                <w:b/>
                <w:sz w:val="20"/>
                <w:szCs w:val="20"/>
              </w:rPr>
              <w:t>19</w:t>
            </w:r>
          </w:p>
        </w:tc>
      </w:tr>
      <w:tr w:rsidR="003E4AD1" w:rsidRPr="00897DA7" w14:paraId="7AE6EF41" w14:textId="77777777" w:rsidTr="00F61C77">
        <w:trPr>
          <w:trHeight w:val="642"/>
        </w:trPr>
        <w:tc>
          <w:tcPr>
            <w:tcW w:w="1139" w:type="pct"/>
            <w:noWrap/>
          </w:tcPr>
          <w:p w14:paraId="1CD3EB1A" w14:textId="77777777" w:rsidR="003E4AD1" w:rsidRPr="00C86CB5" w:rsidRDefault="003E4AD1" w:rsidP="003E4AD1">
            <w:pPr>
              <w:rPr>
                <w:rFonts w:ascii="Arial" w:hAnsi="Arial" w:cs="Arial"/>
                <w:sz w:val="20"/>
                <w:szCs w:val="20"/>
              </w:rPr>
            </w:pPr>
            <w:r w:rsidRPr="00C86CB5">
              <w:rPr>
                <w:rFonts w:ascii="Arial" w:hAnsi="Arial" w:cs="Arial"/>
                <w:sz w:val="20"/>
                <w:szCs w:val="20"/>
              </w:rPr>
              <w:t>Preverjanje izvedbe predpisanih in odrejenih ukrepov (druga prioriteta)</w:t>
            </w:r>
          </w:p>
        </w:tc>
        <w:tc>
          <w:tcPr>
            <w:tcW w:w="614" w:type="pct"/>
            <w:vAlign w:val="center"/>
          </w:tcPr>
          <w:p w14:paraId="08EF0FAD" w14:textId="77777777" w:rsidR="003E4AD1" w:rsidRPr="00C86CB5" w:rsidRDefault="003E4AD1" w:rsidP="00C86CB5">
            <w:pPr>
              <w:jc w:val="center"/>
              <w:rPr>
                <w:rFonts w:ascii="Arial" w:hAnsi="Arial" w:cs="Arial"/>
                <w:b/>
                <w:sz w:val="20"/>
                <w:szCs w:val="20"/>
              </w:rPr>
            </w:pPr>
            <w:r w:rsidRPr="00C86CB5">
              <w:rPr>
                <w:rFonts w:ascii="Arial" w:hAnsi="Arial" w:cs="Arial"/>
                <w:b/>
                <w:sz w:val="20"/>
                <w:szCs w:val="20"/>
              </w:rPr>
              <w:t>2</w:t>
            </w:r>
          </w:p>
        </w:tc>
        <w:tc>
          <w:tcPr>
            <w:tcW w:w="614" w:type="pct"/>
            <w:vMerge/>
          </w:tcPr>
          <w:p w14:paraId="56392169" w14:textId="77777777" w:rsidR="003E4AD1" w:rsidRPr="00C86CB5" w:rsidRDefault="003E4AD1" w:rsidP="003E4AD1">
            <w:pPr>
              <w:jc w:val="center"/>
              <w:rPr>
                <w:rFonts w:ascii="Arial" w:hAnsi="Arial" w:cs="Arial"/>
                <w:b/>
                <w:sz w:val="20"/>
                <w:szCs w:val="20"/>
              </w:rPr>
            </w:pPr>
          </w:p>
        </w:tc>
        <w:tc>
          <w:tcPr>
            <w:tcW w:w="702" w:type="pct"/>
            <w:vMerge/>
          </w:tcPr>
          <w:p w14:paraId="68C39082" w14:textId="77777777" w:rsidR="003E4AD1" w:rsidRPr="00C86CB5" w:rsidRDefault="003E4AD1" w:rsidP="003E4AD1">
            <w:pPr>
              <w:jc w:val="center"/>
              <w:rPr>
                <w:rFonts w:ascii="Arial" w:hAnsi="Arial" w:cs="Arial"/>
                <w:b/>
                <w:sz w:val="20"/>
                <w:szCs w:val="20"/>
              </w:rPr>
            </w:pPr>
          </w:p>
        </w:tc>
        <w:tc>
          <w:tcPr>
            <w:tcW w:w="790" w:type="pct"/>
            <w:vMerge/>
          </w:tcPr>
          <w:p w14:paraId="318BC37D" w14:textId="77777777" w:rsidR="003E4AD1" w:rsidRPr="00C86CB5" w:rsidRDefault="003E4AD1" w:rsidP="003E4AD1">
            <w:pPr>
              <w:jc w:val="center"/>
              <w:rPr>
                <w:rFonts w:ascii="Arial" w:hAnsi="Arial" w:cs="Arial"/>
                <w:b/>
                <w:sz w:val="20"/>
                <w:szCs w:val="20"/>
              </w:rPr>
            </w:pPr>
          </w:p>
        </w:tc>
        <w:tc>
          <w:tcPr>
            <w:tcW w:w="1141" w:type="pct"/>
            <w:vAlign w:val="center"/>
          </w:tcPr>
          <w:p w14:paraId="59D75A57" w14:textId="77777777" w:rsidR="003E4AD1" w:rsidRPr="00C86CB5" w:rsidRDefault="003E4AD1" w:rsidP="00C86CB5">
            <w:pPr>
              <w:jc w:val="center"/>
              <w:rPr>
                <w:rFonts w:ascii="Arial" w:hAnsi="Arial" w:cs="Arial"/>
                <w:b/>
                <w:sz w:val="20"/>
                <w:szCs w:val="20"/>
              </w:rPr>
            </w:pPr>
          </w:p>
          <w:p w14:paraId="35B1A3D5" w14:textId="4A99127A" w:rsidR="003E4AD1" w:rsidRPr="00C86CB5" w:rsidRDefault="003E4AD1" w:rsidP="00C86CB5">
            <w:pPr>
              <w:jc w:val="center"/>
              <w:rPr>
                <w:rFonts w:ascii="Arial" w:hAnsi="Arial" w:cs="Arial"/>
                <w:b/>
                <w:sz w:val="20"/>
                <w:szCs w:val="20"/>
              </w:rPr>
            </w:pPr>
            <w:r w:rsidRPr="00C86CB5">
              <w:rPr>
                <w:rFonts w:ascii="Arial" w:hAnsi="Arial" w:cs="Arial"/>
                <w:b/>
                <w:sz w:val="20"/>
                <w:szCs w:val="20"/>
              </w:rPr>
              <w:t>102</w:t>
            </w:r>
          </w:p>
        </w:tc>
      </w:tr>
    </w:tbl>
    <w:bookmarkEnd w:id="0"/>
    <w:p w14:paraId="0AE501D1" w14:textId="77777777" w:rsidR="003E4AD1" w:rsidRPr="00617075" w:rsidRDefault="003E4AD1" w:rsidP="003E4AD1">
      <w:pPr>
        <w:ind w:firstLine="708"/>
        <w:jc w:val="both"/>
        <w:rPr>
          <w:rFonts w:ascii="Arial" w:hAnsi="Arial" w:cs="Arial"/>
          <w:i/>
          <w:sz w:val="20"/>
          <w:szCs w:val="20"/>
        </w:rPr>
      </w:pPr>
      <w:r w:rsidRPr="00617075">
        <w:rPr>
          <w:rFonts w:ascii="Arial" w:hAnsi="Arial" w:cs="Arial"/>
          <w:i/>
          <w:sz w:val="20"/>
          <w:szCs w:val="20"/>
        </w:rPr>
        <w:t>Preglednica: Opravljeni uradni nadzori v 2021 v skladu z akcijskim načrtom ukrepov.</w:t>
      </w:r>
    </w:p>
    <w:p w14:paraId="14A7F815" w14:textId="77777777" w:rsidR="003E4AD1" w:rsidRDefault="003E4AD1" w:rsidP="00933068">
      <w:pPr>
        <w:ind w:left="708"/>
        <w:jc w:val="both"/>
        <w:rPr>
          <w:rFonts w:ascii="Arial" w:hAnsi="Arial" w:cs="Arial"/>
          <w:sz w:val="20"/>
          <w:szCs w:val="20"/>
        </w:rPr>
      </w:pPr>
    </w:p>
    <w:p w14:paraId="5E495F08" w14:textId="77777777" w:rsidR="00617075" w:rsidRDefault="00617075" w:rsidP="00617075">
      <w:pPr>
        <w:pStyle w:val="Odstavekseznama"/>
        <w:jc w:val="both"/>
        <w:rPr>
          <w:rFonts w:ascii="Arial" w:hAnsi="Arial" w:cs="Arial"/>
          <w:b/>
          <w:sz w:val="20"/>
          <w:szCs w:val="20"/>
        </w:rPr>
      </w:pPr>
    </w:p>
    <w:p w14:paraId="29843C74" w14:textId="2D0F4CB1" w:rsidR="00617075" w:rsidRPr="00897DA7" w:rsidRDefault="003E4AD1" w:rsidP="003E4AD1">
      <w:pPr>
        <w:ind w:left="708"/>
        <w:jc w:val="both"/>
        <w:rPr>
          <w:rFonts w:ascii="Arial" w:hAnsi="Arial" w:cs="Arial"/>
          <w:sz w:val="20"/>
          <w:szCs w:val="20"/>
        </w:rPr>
      </w:pPr>
      <w:r>
        <w:rPr>
          <w:rFonts w:ascii="Arial" w:hAnsi="Arial" w:cs="Arial"/>
          <w:sz w:val="20"/>
          <w:szCs w:val="20"/>
        </w:rPr>
        <w:t>O</w:t>
      </w:r>
      <w:r w:rsidR="00617075" w:rsidRPr="00897DA7">
        <w:rPr>
          <w:rFonts w:ascii="Arial" w:hAnsi="Arial" w:cs="Arial"/>
          <w:sz w:val="20"/>
          <w:szCs w:val="20"/>
        </w:rPr>
        <w:t xml:space="preserve">kužba s </w:t>
      </w:r>
      <w:proofErr w:type="spellStart"/>
      <w:r w:rsidR="00617075" w:rsidRPr="00897DA7">
        <w:rPr>
          <w:rFonts w:ascii="Arial" w:hAnsi="Arial" w:cs="Arial"/>
          <w:sz w:val="20"/>
          <w:szCs w:val="20"/>
        </w:rPr>
        <w:t>CBCVd</w:t>
      </w:r>
      <w:proofErr w:type="spellEnd"/>
      <w:r w:rsidR="00617075" w:rsidRPr="00897DA7">
        <w:rPr>
          <w:rFonts w:ascii="Arial" w:hAnsi="Arial" w:cs="Arial"/>
          <w:sz w:val="20"/>
          <w:szCs w:val="20"/>
        </w:rPr>
        <w:t xml:space="preserve"> je v letu 2021 bila potrjena na 9 kmetijskih gospodarstvih, od tega je bila okužba prvič potrjena na 4 kmetijskih g</w:t>
      </w:r>
      <w:r w:rsidR="002B418B">
        <w:rPr>
          <w:rFonts w:ascii="Arial" w:hAnsi="Arial" w:cs="Arial"/>
          <w:sz w:val="20"/>
          <w:szCs w:val="20"/>
        </w:rPr>
        <w:t xml:space="preserve">ospodarstvih. Ponovno potrjena </w:t>
      </w:r>
      <w:r w:rsidR="00617075" w:rsidRPr="00897DA7">
        <w:rPr>
          <w:rFonts w:ascii="Arial" w:hAnsi="Arial" w:cs="Arial"/>
          <w:sz w:val="20"/>
          <w:szCs w:val="20"/>
        </w:rPr>
        <w:t xml:space="preserve">okužba je bila na 5 kmetijskih gospodarstvih, to je tam kjer se je okužba pojavljala že v preteklosti, </w:t>
      </w:r>
      <w:proofErr w:type="spellStart"/>
      <w:r w:rsidR="00617075" w:rsidRPr="00897DA7">
        <w:rPr>
          <w:rFonts w:ascii="Arial" w:hAnsi="Arial" w:cs="Arial"/>
          <w:sz w:val="20"/>
          <w:szCs w:val="20"/>
        </w:rPr>
        <w:t>eradikacija</w:t>
      </w:r>
      <w:proofErr w:type="spellEnd"/>
      <w:r w:rsidR="00617075" w:rsidRPr="00897DA7">
        <w:rPr>
          <w:rFonts w:ascii="Arial" w:hAnsi="Arial" w:cs="Arial"/>
          <w:sz w:val="20"/>
          <w:szCs w:val="20"/>
        </w:rPr>
        <w:t xml:space="preserve"> </w:t>
      </w:r>
      <w:r w:rsidR="00617075" w:rsidRPr="00897DA7">
        <w:rPr>
          <w:rFonts w:ascii="Arial" w:hAnsi="Arial" w:cs="Arial"/>
          <w:sz w:val="20"/>
          <w:szCs w:val="20"/>
        </w:rPr>
        <w:lastRenderedPageBreak/>
        <w:t>okužbe</w:t>
      </w:r>
      <w:r w:rsidR="00617075">
        <w:rPr>
          <w:rFonts w:ascii="Arial" w:hAnsi="Arial" w:cs="Arial"/>
          <w:sz w:val="20"/>
          <w:szCs w:val="20"/>
        </w:rPr>
        <w:t xml:space="preserve"> pa</w:t>
      </w:r>
      <w:r w:rsidR="00617075" w:rsidRPr="00897DA7">
        <w:rPr>
          <w:rFonts w:ascii="Arial" w:hAnsi="Arial" w:cs="Arial"/>
          <w:sz w:val="20"/>
          <w:szCs w:val="20"/>
        </w:rPr>
        <w:t xml:space="preserve"> ni bila </w:t>
      </w:r>
      <w:r w:rsidR="003A4F68">
        <w:rPr>
          <w:rFonts w:ascii="Arial" w:hAnsi="Arial" w:cs="Arial"/>
          <w:sz w:val="20"/>
          <w:szCs w:val="20"/>
        </w:rPr>
        <w:t xml:space="preserve">uspešno </w:t>
      </w:r>
      <w:r w:rsidR="00617075" w:rsidRPr="00897DA7">
        <w:rPr>
          <w:rFonts w:ascii="Arial" w:hAnsi="Arial" w:cs="Arial"/>
          <w:sz w:val="20"/>
          <w:szCs w:val="20"/>
        </w:rPr>
        <w:t>izvršena</w:t>
      </w:r>
      <w:r w:rsidR="00464E68">
        <w:rPr>
          <w:rFonts w:ascii="Arial" w:hAnsi="Arial" w:cs="Arial"/>
          <w:sz w:val="20"/>
          <w:szCs w:val="20"/>
        </w:rPr>
        <w:t>.</w:t>
      </w:r>
      <w:r w:rsidR="00617075" w:rsidRPr="00897DA7">
        <w:rPr>
          <w:rFonts w:ascii="Arial" w:hAnsi="Arial" w:cs="Arial"/>
          <w:sz w:val="20"/>
          <w:szCs w:val="20"/>
        </w:rPr>
        <w:t xml:space="preserve"> Skupno število vseh potrjenih okuženih rastlin je bilo 602 v 9 hmeljiščih v skupni izmeri 26,7 ha. Število okuženih rastlin je bilo po posameznem hmeljišču nizko (1-4 rastline/hmeljišče), razen na dveh hmeljiščih na dveh kmetijskih gospodarstvih, kjer je bilo potrjeno večje število okuženih rastlin in je predstavljalo glavnino vseh potrjenih okuženih rastlin</w:t>
      </w:r>
      <w:r w:rsidR="003A4F68">
        <w:rPr>
          <w:rFonts w:ascii="Arial" w:hAnsi="Arial" w:cs="Arial"/>
          <w:sz w:val="20"/>
          <w:szCs w:val="20"/>
        </w:rPr>
        <w:t xml:space="preserve"> v letu 2021</w:t>
      </w:r>
      <w:r w:rsidR="00617075" w:rsidRPr="00897DA7">
        <w:rPr>
          <w:rFonts w:ascii="Arial" w:hAnsi="Arial" w:cs="Arial"/>
          <w:sz w:val="20"/>
          <w:szCs w:val="20"/>
        </w:rPr>
        <w:t xml:space="preserve">.  </w:t>
      </w:r>
    </w:p>
    <w:p w14:paraId="60B46325" w14:textId="77777777" w:rsidR="00617075" w:rsidRDefault="00617075" w:rsidP="00617075">
      <w:pPr>
        <w:pStyle w:val="Odstavekseznama"/>
        <w:jc w:val="both"/>
        <w:rPr>
          <w:rFonts w:ascii="Arial" w:hAnsi="Arial" w:cs="Arial"/>
          <w:b/>
          <w:sz w:val="20"/>
          <w:szCs w:val="20"/>
        </w:rPr>
      </w:pPr>
    </w:p>
    <w:p w14:paraId="022DF5B5" w14:textId="691B2571" w:rsidR="00895A9A" w:rsidRDefault="00895A9A" w:rsidP="00895A9A">
      <w:pPr>
        <w:pStyle w:val="Odstavekseznama"/>
        <w:numPr>
          <w:ilvl w:val="0"/>
          <w:numId w:val="2"/>
        </w:numPr>
        <w:jc w:val="both"/>
        <w:rPr>
          <w:rFonts w:ascii="Arial" w:hAnsi="Arial" w:cs="Arial"/>
          <w:b/>
          <w:sz w:val="20"/>
          <w:szCs w:val="20"/>
        </w:rPr>
      </w:pPr>
      <w:r>
        <w:rPr>
          <w:rFonts w:ascii="Arial" w:hAnsi="Arial" w:cs="Arial"/>
          <w:b/>
          <w:sz w:val="20"/>
          <w:szCs w:val="20"/>
        </w:rPr>
        <w:t>Ukrepi</w:t>
      </w:r>
    </w:p>
    <w:p w14:paraId="7F3E0D89" w14:textId="5A624A78" w:rsidR="00617075" w:rsidRPr="00897DA7" w:rsidRDefault="00617075" w:rsidP="00933068">
      <w:pPr>
        <w:ind w:left="708"/>
        <w:jc w:val="both"/>
        <w:rPr>
          <w:rFonts w:ascii="Arial" w:hAnsi="Arial" w:cs="Arial"/>
          <w:sz w:val="20"/>
          <w:szCs w:val="20"/>
        </w:rPr>
      </w:pPr>
      <w:r w:rsidRPr="00897DA7">
        <w:rPr>
          <w:rFonts w:ascii="Arial" w:hAnsi="Arial" w:cs="Arial"/>
          <w:sz w:val="20"/>
          <w:szCs w:val="20"/>
        </w:rPr>
        <w:t xml:space="preserve">Zaradi potrditve okužbe s </w:t>
      </w:r>
      <w:proofErr w:type="spellStart"/>
      <w:r w:rsidRPr="00897DA7">
        <w:rPr>
          <w:rFonts w:ascii="Arial" w:hAnsi="Arial" w:cs="Arial"/>
          <w:sz w:val="20"/>
          <w:szCs w:val="20"/>
        </w:rPr>
        <w:t>CBCVd</w:t>
      </w:r>
      <w:proofErr w:type="spellEnd"/>
      <w:r w:rsidRPr="00897DA7">
        <w:rPr>
          <w:rFonts w:ascii="Arial" w:hAnsi="Arial" w:cs="Arial"/>
          <w:sz w:val="20"/>
          <w:szCs w:val="20"/>
        </w:rPr>
        <w:t xml:space="preserve"> v letu 2021 je inšpekcija odredila ukrepe in izdala 10 inšpekcijskih odločb (uničenje okuženih rastlin, higienski ukrepi in karantenske premene za hmeljišča, ki so jih hmeljarji izkrčili po lastni volj). Nekateri hmeljarji so zaradi okužbe po lastni volji uničili del ali celo okuženo hmeljišč</w:t>
      </w:r>
      <w:r w:rsidR="002B418B">
        <w:rPr>
          <w:rFonts w:ascii="Arial" w:hAnsi="Arial" w:cs="Arial"/>
          <w:sz w:val="20"/>
          <w:szCs w:val="20"/>
        </w:rPr>
        <w:t>e, zato je</w:t>
      </w:r>
      <w:r w:rsidRPr="00897DA7">
        <w:rPr>
          <w:rFonts w:ascii="Arial" w:hAnsi="Arial" w:cs="Arial"/>
          <w:sz w:val="20"/>
          <w:szCs w:val="20"/>
        </w:rPr>
        <w:t xml:space="preserve"> inšpekcija odredila karantensko premeno za izkrčeni del hmeljišča, za kar je bilo izdanih še 9 dopolnilnih odločb.  </w:t>
      </w:r>
    </w:p>
    <w:p w14:paraId="0A9A4BEA" w14:textId="6E49BD1B" w:rsidR="00617075" w:rsidRPr="00897DA7" w:rsidRDefault="00617075" w:rsidP="00933068">
      <w:pPr>
        <w:ind w:left="708"/>
        <w:jc w:val="both"/>
        <w:rPr>
          <w:rFonts w:ascii="Arial" w:hAnsi="Arial" w:cs="Arial"/>
          <w:sz w:val="20"/>
          <w:szCs w:val="20"/>
        </w:rPr>
      </w:pPr>
      <w:r w:rsidRPr="00897DA7">
        <w:rPr>
          <w:rFonts w:ascii="Arial" w:hAnsi="Arial" w:cs="Arial"/>
          <w:sz w:val="20"/>
          <w:szCs w:val="20"/>
        </w:rPr>
        <w:t xml:space="preserve">Z inšpekcijskim nadzorom je inšpekcija pričela spomladi, ko je bil opravljen nadzor uničenja podzemnih delov rastlin po odločbah iz leta 2020. Vsi hmeljarji so opravili uničenje </w:t>
      </w:r>
      <w:r w:rsidR="00933068">
        <w:rPr>
          <w:rFonts w:ascii="Arial" w:hAnsi="Arial" w:cs="Arial"/>
          <w:sz w:val="20"/>
          <w:szCs w:val="20"/>
        </w:rPr>
        <w:t>v skladu z inšpekcijsk</w:t>
      </w:r>
      <w:r w:rsidR="003A4F68">
        <w:rPr>
          <w:rFonts w:ascii="Arial" w:hAnsi="Arial" w:cs="Arial"/>
          <w:sz w:val="20"/>
          <w:szCs w:val="20"/>
        </w:rPr>
        <w:t xml:space="preserve">imi </w:t>
      </w:r>
      <w:r w:rsidR="00933068">
        <w:rPr>
          <w:rFonts w:ascii="Arial" w:hAnsi="Arial" w:cs="Arial"/>
          <w:sz w:val="20"/>
          <w:szCs w:val="20"/>
        </w:rPr>
        <w:t>odločb</w:t>
      </w:r>
      <w:r w:rsidR="003A4F68">
        <w:rPr>
          <w:rFonts w:ascii="Arial" w:hAnsi="Arial" w:cs="Arial"/>
          <w:sz w:val="20"/>
          <w:szCs w:val="20"/>
        </w:rPr>
        <w:t>ami.</w:t>
      </w:r>
      <w:r w:rsidRPr="00897DA7">
        <w:rPr>
          <w:rFonts w:ascii="Arial" w:hAnsi="Arial" w:cs="Arial"/>
          <w:sz w:val="20"/>
          <w:szCs w:val="20"/>
        </w:rPr>
        <w:t xml:space="preserve">.  </w:t>
      </w:r>
    </w:p>
    <w:p w14:paraId="5C5F0F52" w14:textId="77777777" w:rsidR="00617075" w:rsidRPr="00897DA7" w:rsidRDefault="00617075" w:rsidP="00933068">
      <w:pPr>
        <w:ind w:left="708"/>
        <w:jc w:val="both"/>
        <w:rPr>
          <w:rFonts w:ascii="Arial" w:hAnsi="Arial" w:cs="Arial"/>
          <w:sz w:val="20"/>
          <w:szCs w:val="20"/>
        </w:rPr>
      </w:pPr>
      <w:r w:rsidRPr="00897DA7">
        <w:rPr>
          <w:rFonts w:ascii="Arial" w:hAnsi="Arial" w:cs="Arial"/>
          <w:sz w:val="20"/>
          <w:szCs w:val="20"/>
        </w:rPr>
        <w:t xml:space="preserve">Pri nadzoru hmeljišč v karantenski premeni (julij-oktober) je bilo ugotovljeno, da so bile v posameznih hmeljiščih, le pri določenih hmeljarjih, še vedno navzoče posamezne ponovno odgnale rastline hmelja, kar pomeni, da hmeljarji niso redno uničevali ponovno </w:t>
      </w:r>
      <w:proofErr w:type="spellStart"/>
      <w:r w:rsidRPr="00897DA7">
        <w:rPr>
          <w:rFonts w:ascii="Arial" w:hAnsi="Arial" w:cs="Arial"/>
          <w:sz w:val="20"/>
          <w:szCs w:val="20"/>
        </w:rPr>
        <w:t>odgnalih</w:t>
      </w:r>
      <w:proofErr w:type="spellEnd"/>
      <w:r w:rsidRPr="00897DA7">
        <w:rPr>
          <w:rFonts w:ascii="Arial" w:hAnsi="Arial" w:cs="Arial"/>
          <w:sz w:val="20"/>
          <w:szCs w:val="20"/>
        </w:rPr>
        <w:t xml:space="preserve"> rastlin hmelja. Zaradi tega je inšpekcija izdala 8 sklepov o dovolitvi izvršbe z določitvijo naknadnega roka za izvršitev ukrepov. V jesenskem času je bil opravljen tudi nadzor izvršitve teh ukrepov, pri čemer je bilo ugotovljeno, da so hmeljarji ponovno odgnale rastline hmelja uničili v naknadnem roku.  </w:t>
      </w:r>
    </w:p>
    <w:p w14:paraId="10EB967C" w14:textId="77777777" w:rsidR="00933068" w:rsidRPr="00897DA7" w:rsidRDefault="00933068" w:rsidP="00933068">
      <w:pPr>
        <w:ind w:left="708"/>
        <w:jc w:val="both"/>
        <w:rPr>
          <w:rFonts w:ascii="Arial" w:hAnsi="Arial" w:cs="Arial"/>
          <w:color w:val="FF0000"/>
          <w:sz w:val="20"/>
          <w:szCs w:val="20"/>
        </w:rPr>
      </w:pPr>
      <w:r w:rsidRPr="00897DA7">
        <w:rPr>
          <w:rFonts w:ascii="Arial" w:hAnsi="Arial" w:cs="Arial"/>
          <w:sz w:val="20"/>
          <w:szCs w:val="20"/>
        </w:rPr>
        <w:t xml:space="preserve">Pri izbiri načina uničenja okuženih rastlin so se hmeljarji, ki so imeli manjše število okuženih rastlin odločili za sežig, tisti, ki pa so imeli večje število okuženih rastlin, so uničili rastline hmelja z zakopom na odobreni lokaciji. </w:t>
      </w:r>
    </w:p>
    <w:p w14:paraId="6AD55443" w14:textId="77777777" w:rsidR="000E4280" w:rsidRDefault="00AD3AC3" w:rsidP="00580083">
      <w:pPr>
        <w:ind w:left="708"/>
        <w:jc w:val="both"/>
        <w:rPr>
          <w:rFonts w:ascii="Arial" w:hAnsi="Arial" w:cs="Arial"/>
          <w:sz w:val="20"/>
          <w:szCs w:val="20"/>
        </w:rPr>
      </w:pPr>
      <w:r>
        <w:rPr>
          <w:rFonts w:ascii="Arial" w:hAnsi="Arial" w:cs="Arial"/>
          <w:sz w:val="20"/>
          <w:szCs w:val="20"/>
        </w:rPr>
        <w:t>V letu 2021 je bil opravljen n</w:t>
      </w:r>
      <w:r w:rsidR="00933068" w:rsidRPr="00897DA7">
        <w:rPr>
          <w:rFonts w:ascii="Arial" w:hAnsi="Arial" w:cs="Arial"/>
          <w:sz w:val="20"/>
          <w:szCs w:val="20"/>
        </w:rPr>
        <w:t>adzor uničenj</w:t>
      </w:r>
      <w:r w:rsidR="00DE28B7">
        <w:rPr>
          <w:rFonts w:ascii="Arial" w:hAnsi="Arial" w:cs="Arial"/>
          <w:sz w:val="20"/>
          <w:szCs w:val="20"/>
        </w:rPr>
        <w:t>a</w:t>
      </w:r>
      <w:r w:rsidR="00933068" w:rsidRPr="00897DA7">
        <w:rPr>
          <w:rFonts w:ascii="Arial" w:hAnsi="Arial" w:cs="Arial"/>
          <w:sz w:val="20"/>
          <w:szCs w:val="20"/>
        </w:rPr>
        <w:t xml:space="preserve"> nadzemnih delov okuženih rastlin </w:t>
      </w:r>
      <w:r>
        <w:rPr>
          <w:rFonts w:ascii="Arial" w:hAnsi="Arial" w:cs="Arial"/>
          <w:sz w:val="20"/>
          <w:szCs w:val="20"/>
        </w:rPr>
        <w:t xml:space="preserve">na vseh novo okuženih hmeljiščih. </w:t>
      </w:r>
    </w:p>
    <w:p w14:paraId="3A1B9D68" w14:textId="150E8F98" w:rsidR="00933068" w:rsidRPr="00897DA7" w:rsidRDefault="00933068" w:rsidP="00580083">
      <w:pPr>
        <w:ind w:left="708"/>
        <w:jc w:val="both"/>
        <w:rPr>
          <w:rFonts w:ascii="Arial" w:hAnsi="Arial" w:cs="Arial"/>
          <w:i/>
          <w:sz w:val="20"/>
          <w:szCs w:val="20"/>
        </w:rPr>
      </w:pPr>
      <w:r w:rsidRPr="00897DA7">
        <w:rPr>
          <w:rFonts w:ascii="Arial" w:hAnsi="Arial" w:cs="Arial"/>
          <w:sz w:val="20"/>
          <w:szCs w:val="20"/>
        </w:rPr>
        <w:t>Za vse ugotovljene kršitve inšpekcijskih odločb je bilo uve</w:t>
      </w:r>
      <w:r w:rsidR="00580083">
        <w:rPr>
          <w:rFonts w:ascii="Arial" w:hAnsi="Arial" w:cs="Arial"/>
          <w:sz w:val="20"/>
          <w:szCs w:val="20"/>
        </w:rPr>
        <w:t xml:space="preserve">denih 10 </w:t>
      </w:r>
      <w:proofErr w:type="spellStart"/>
      <w:r w:rsidR="00580083">
        <w:rPr>
          <w:rFonts w:ascii="Arial" w:hAnsi="Arial" w:cs="Arial"/>
          <w:sz w:val="20"/>
          <w:szCs w:val="20"/>
        </w:rPr>
        <w:t>prekrškovnih</w:t>
      </w:r>
      <w:proofErr w:type="spellEnd"/>
      <w:r w:rsidR="00580083">
        <w:rPr>
          <w:rFonts w:ascii="Arial" w:hAnsi="Arial" w:cs="Arial"/>
          <w:sz w:val="20"/>
          <w:szCs w:val="20"/>
        </w:rPr>
        <w:t xml:space="preserve"> postopkov</w:t>
      </w:r>
      <w:r w:rsidR="00A66787">
        <w:rPr>
          <w:rFonts w:ascii="Arial" w:hAnsi="Arial" w:cs="Arial"/>
          <w:sz w:val="20"/>
          <w:szCs w:val="20"/>
        </w:rPr>
        <w:t xml:space="preserve"> oz.</w:t>
      </w:r>
      <w:r w:rsidRPr="00897DA7">
        <w:rPr>
          <w:rFonts w:ascii="Arial" w:hAnsi="Arial" w:cs="Arial"/>
          <w:sz w:val="20"/>
          <w:szCs w:val="20"/>
        </w:rPr>
        <w:t xml:space="preserve"> so bila izrečena le opozorila za kršitve neznatnega pomena.  </w:t>
      </w:r>
    </w:p>
    <w:p w14:paraId="507265BD" w14:textId="49F6CD2C" w:rsidR="00933068" w:rsidRPr="00897DA7" w:rsidRDefault="00933068" w:rsidP="00580083">
      <w:pPr>
        <w:ind w:left="708"/>
        <w:jc w:val="both"/>
        <w:rPr>
          <w:rFonts w:ascii="Arial" w:hAnsi="Arial" w:cs="Arial"/>
          <w:sz w:val="20"/>
          <w:szCs w:val="20"/>
        </w:rPr>
      </w:pPr>
      <w:r w:rsidRPr="00897DA7">
        <w:rPr>
          <w:rFonts w:ascii="Arial" w:hAnsi="Arial" w:cs="Arial"/>
          <w:sz w:val="20"/>
          <w:szCs w:val="20"/>
        </w:rPr>
        <w:t xml:space="preserve">Pri nadzoru razkuževanja mehanizacije na terenu (12 nadzorov) </w:t>
      </w:r>
      <w:r w:rsidR="008C2AC0">
        <w:rPr>
          <w:rFonts w:ascii="Arial" w:hAnsi="Arial" w:cs="Arial"/>
          <w:sz w:val="20"/>
          <w:szCs w:val="20"/>
        </w:rPr>
        <w:t xml:space="preserve">je bilo </w:t>
      </w:r>
      <w:r w:rsidRPr="00897DA7">
        <w:rPr>
          <w:rFonts w:ascii="Arial" w:hAnsi="Arial" w:cs="Arial"/>
          <w:sz w:val="20"/>
          <w:szCs w:val="20"/>
        </w:rPr>
        <w:t>ugotovl</w:t>
      </w:r>
      <w:r w:rsidR="008C2AC0">
        <w:rPr>
          <w:rFonts w:ascii="Arial" w:hAnsi="Arial" w:cs="Arial"/>
          <w:sz w:val="20"/>
          <w:szCs w:val="20"/>
        </w:rPr>
        <w:t>jeno</w:t>
      </w:r>
      <w:r w:rsidRPr="00897DA7">
        <w:rPr>
          <w:rFonts w:ascii="Arial" w:hAnsi="Arial" w:cs="Arial"/>
          <w:sz w:val="20"/>
          <w:szCs w:val="20"/>
        </w:rPr>
        <w:t>, da hmeljarji zadovoljivo opravljajo razkuževanje orodja in mehanizacije v času po</w:t>
      </w:r>
      <w:r w:rsidR="002B418B">
        <w:rPr>
          <w:rFonts w:ascii="Arial" w:hAnsi="Arial" w:cs="Arial"/>
          <w:sz w:val="20"/>
          <w:szCs w:val="20"/>
        </w:rPr>
        <w:t>mladanskih del v hmeljiščih ter</w:t>
      </w:r>
      <w:r w:rsidRPr="00897DA7">
        <w:rPr>
          <w:rFonts w:ascii="Arial" w:hAnsi="Arial" w:cs="Arial"/>
          <w:sz w:val="20"/>
          <w:szCs w:val="20"/>
        </w:rPr>
        <w:t xml:space="preserve"> razkužujejo tr</w:t>
      </w:r>
      <w:r w:rsidR="002B418B">
        <w:rPr>
          <w:rFonts w:ascii="Arial" w:hAnsi="Arial" w:cs="Arial"/>
          <w:sz w:val="20"/>
          <w:szCs w:val="20"/>
        </w:rPr>
        <w:t>galnike v času obiranja hmelja.</w:t>
      </w:r>
      <w:r w:rsidRPr="00897DA7">
        <w:rPr>
          <w:rFonts w:ascii="Arial" w:hAnsi="Arial" w:cs="Arial"/>
          <w:sz w:val="20"/>
          <w:szCs w:val="20"/>
        </w:rPr>
        <w:t xml:space="preserve"> </w:t>
      </w:r>
      <w:r w:rsidR="00DE28B7">
        <w:rPr>
          <w:rFonts w:ascii="Arial" w:hAnsi="Arial" w:cs="Arial"/>
          <w:sz w:val="20"/>
          <w:szCs w:val="20"/>
        </w:rPr>
        <w:t xml:space="preserve">Nekoliko slabše </w:t>
      </w:r>
      <w:r w:rsidRPr="00897DA7">
        <w:rPr>
          <w:rFonts w:ascii="Arial" w:hAnsi="Arial" w:cs="Arial"/>
          <w:sz w:val="20"/>
          <w:szCs w:val="20"/>
        </w:rPr>
        <w:t xml:space="preserve">je razkuževanje mehanizacije </w:t>
      </w:r>
      <w:r w:rsidR="00DE28B7">
        <w:rPr>
          <w:rFonts w:ascii="Arial" w:hAnsi="Arial" w:cs="Arial"/>
          <w:sz w:val="20"/>
          <w:szCs w:val="20"/>
        </w:rPr>
        <w:t>pri</w:t>
      </w:r>
      <w:r w:rsidR="00DE28B7" w:rsidRPr="00897DA7">
        <w:rPr>
          <w:rFonts w:ascii="Arial" w:hAnsi="Arial" w:cs="Arial"/>
          <w:sz w:val="20"/>
          <w:szCs w:val="20"/>
        </w:rPr>
        <w:t xml:space="preserve"> </w:t>
      </w:r>
      <w:r w:rsidRPr="00897DA7">
        <w:rPr>
          <w:rFonts w:ascii="Arial" w:hAnsi="Arial" w:cs="Arial"/>
          <w:sz w:val="20"/>
          <w:szCs w:val="20"/>
        </w:rPr>
        <w:t>poletn</w:t>
      </w:r>
      <w:r w:rsidR="00DE28B7">
        <w:rPr>
          <w:rFonts w:ascii="Arial" w:hAnsi="Arial" w:cs="Arial"/>
          <w:sz w:val="20"/>
          <w:szCs w:val="20"/>
        </w:rPr>
        <w:t>i</w:t>
      </w:r>
      <w:r w:rsidRPr="00897DA7">
        <w:rPr>
          <w:rFonts w:ascii="Arial" w:hAnsi="Arial" w:cs="Arial"/>
          <w:sz w:val="20"/>
          <w:szCs w:val="20"/>
        </w:rPr>
        <w:t xml:space="preserve"> obdelav</w:t>
      </w:r>
      <w:r w:rsidR="00DE28B7">
        <w:rPr>
          <w:rFonts w:ascii="Arial" w:hAnsi="Arial" w:cs="Arial"/>
          <w:sz w:val="20"/>
          <w:szCs w:val="20"/>
        </w:rPr>
        <w:t>i</w:t>
      </w:r>
      <w:r w:rsidR="002B418B">
        <w:rPr>
          <w:rFonts w:ascii="Arial" w:hAnsi="Arial" w:cs="Arial"/>
          <w:sz w:val="20"/>
          <w:szCs w:val="20"/>
        </w:rPr>
        <w:t xml:space="preserve"> hmeljišč in</w:t>
      </w:r>
      <w:r w:rsidRPr="00897DA7">
        <w:rPr>
          <w:rFonts w:ascii="Arial" w:hAnsi="Arial" w:cs="Arial"/>
          <w:sz w:val="20"/>
          <w:szCs w:val="20"/>
        </w:rPr>
        <w:t xml:space="preserve"> hmeljišč v karantenski premeni (škropilnice, traktorji z delovnim orodjem), </w:t>
      </w:r>
      <w:r w:rsidR="008C2AC0">
        <w:rPr>
          <w:rFonts w:ascii="Arial" w:hAnsi="Arial" w:cs="Arial"/>
          <w:sz w:val="20"/>
          <w:szCs w:val="20"/>
        </w:rPr>
        <w:t xml:space="preserve">slabo razkuževanje pa je </w:t>
      </w:r>
      <w:r w:rsidRPr="00897DA7">
        <w:rPr>
          <w:rFonts w:ascii="Arial" w:hAnsi="Arial" w:cs="Arial"/>
          <w:sz w:val="20"/>
          <w:szCs w:val="20"/>
        </w:rPr>
        <w:t xml:space="preserve">predvsem </w:t>
      </w:r>
      <w:r w:rsidR="00DE28B7">
        <w:rPr>
          <w:rFonts w:ascii="Arial" w:hAnsi="Arial" w:cs="Arial"/>
          <w:sz w:val="20"/>
          <w:szCs w:val="20"/>
        </w:rPr>
        <w:t>pri</w:t>
      </w:r>
      <w:r w:rsidRPr="00897DA7">
        <w:rPr>
          <w:rFonts w:ascii="Arial" w:hAnsi="Arial" w:cs="Arial"/>
          <w:sz w:val="20"/>
          <w:szCs w:val="20"/>
        </w:rPr>
        <w:t xml:space="preserve"> prevoz</w:t>
      </w:r>
      <w:r w:rsidR="00DE28B7">
        <w:rPr>
          <w:rFonts w:ascii="Arial" w:hAnsi="Arial" w:cs="Arial"/>
          <w:sz w:val="20"/>
          <w:szCs w:val="20"/>
        </w:rPr>
        <w:t>u</w:t>
      </w:r>
      <w:r w:rsidRPr="00897DA7">
        <w:rPr>
          <w:rFonts w:ascii="Arial" w:hAnsi="Arial" w:cs="Arial"/>
          <w:sz w:val="20"/>
          <w:szCs w:val="20"/>
        </w:rPr>
        <w:t xml:space="preserve"> hmelja v času obiranja</w:t>
      </w:r>
      <w:r w:rsidR="00DE28B7">
        <w:rPr>
          <w:rFonts w:ascii="Arial" w:hAnsi="Arial" w:cs="Arial"/>
          <w:sz w:val="20"/>
          <w:szCs w:val="20"/>
        </w:rPr>
        <w:t>, ko je časovna stiska</w:t>
      </w:r>
      <w:r w:rsidRPr="00897DA7">
        <w:rPr>
          <w:rFonts w:ascii="Arial" w:hAnsi="Arial" w:cs="Arial"/>
          <w:sz w:val="20"/>
          <w:szCs w:val="20"/>
        </w:rPr>
        <w:t xml:space="preserve">. V letu 2021 je bilo s strani hmeljarjev javljenih tudi 5 premikov mehanizacije iz okuženega posestva na neokuženo posestvo, inšpekcija pa je opravila nadzor nad izvedbo razkuževanja. </w:t>
      </w:r>
    </w:p>
    <w:p w14:paraId="4FB5DE06" w14:textId="7D565C2D" w:rsidR="00933068" w:rsidRPr="00897DA7" w:rsidRDefault="00933068" w:rsidP="00933068">
      <w:pPr>
        <w:ind w:left="708"/>
        <w:jc w:val="both"/>
        <w:rPr>
          <w:rFonts w:ascii="Arial" w:hAnsi="Arial" w:cs="Arial"/>
          <w:sz w:val="20"/>
          <w:szCs w:val="20"/>
        </w:rPr>
      </w:pPr>
      <w:r w:rsidRPr="00897DA7">
        <w:rPr>
          <w:rFonts w:ascii="Arial" w:hAnsi="Arial" w:cs="Arial"/>
          <w:sz w:val="20"/>
          <w:szCs w:val="20"/>
        </w:rPr>
        <w:lastRenderedPageBreak/>
        <w:t xml:space="preserve">Pri inšpekcijskem nadzoru je </w:t>
      </w:r>
      <w:r w:rsidR="002B418B">
        <w:rPr>
          <w:rFonts w:ascii="Arial" w:hAnsi="Arial" w:cs="Arial"/>
          <w:sz w:val="20"/>
          <w:szCs w:val="20"/>
        </w:rPr>
        <w:t>bilo tudi ugotovljeno, da je en lastnik okuženega posestva</w:t>
      </w:r>
      <w:r w:rsidRPr="00897DA7">
        <w:rPr>
          <w:rFonts w:ascii="Arial" w:hAnsi="Arial" w:cs="Arial"/>
          <w:sz w:val="20"/>
          <w:szCs w:val="20"/>
        </w:rPr>
        <w:t xml:space="preserve"> sadil hmelj na tujem neokuženem kmetijskem gospodarstvu, zatem pa je posajeno hmeljišče prepisal na svoje kmetijsko gospodarstvo (administrativna sprememba-prepis v RKG). </w:t>
      </w:r>
    </w:p>
    <w:p w14:paraId="0F136845" w14:textId="12DF6BAF" w:rsidR="00933068" w:rsidRPr="00897DA7" w:rsidRDefault="00933068" w:rsidP="00933068">
      <w:pPr>
        <w:ind w:left="708"/>
        <w:jc w:val="both"/>
        <w:rPr>
          <w:rFonts w:ascii="Arial" w:hAnsi="Arial" w:cs="Arial"/>
          <w:sz w:val="20"/>
          <w:szCs w:val="20"/>
        </w:rPr>
      </w:pPr>
      <w:r w:rsidRPr="00897DA7">
        <w:rPr>
          <w:rFonts w:ascii="Arial" w:hAnsi="Arial" w:cs="Arial"/>
          <w:sz w:val="20"/>
          <w:szCs w:val="20"/>
        </w:rPr>
        <w:t xml:space="preserve">Pri nadzoru izvora posajenih sadik hmelja na 11 kmetijskih gospodarstvih ni bilo ugotovljenih nepravilnosti, vse posajene sadike so </w:t>
      </w:r>
      <w:r>
        <w:rPr>
          <w:rFonts w:ascii="Arial" w:hAnsi="Arial" w:cs="Arial"/>
          <w:sz w:val="20"/>
          <w:szCs w:val="20"/>
        </w:rPr>
        <w:t xml:space="preserve">bile </w:t>
      </w:r>
      <w:r w:rsidRPr="00897DA7">
        <w:rPr>
          <w:rFonts w:ascii="Arial" w:hAnsi="Arial" w:cs="Arial"/>
          <w:sz w:val="20"/>
          <w:szCs w:val="20"/>
        </w:rPr>
        <w:t xml:space="preserve">certificirane. </w:t>
      </w:r>
    </w:p>
    <w:p w14:paraId="6A8BD15C" w14:textId="77777777" w:rsidR="00933068" w:rsidRDefault="00933068" w:rsidP="00617075">
      <w:pPr>
        <w:pStyle w:val="Odstavekseznama"/>
        <w:jc w:val="both"/>
        <w:rPr>
          <w:rFonts w:ascii="Arial" w:hAnsi="Arial" w:cs="Arial"/>
          <w:b/>
          <w:sz w:val="20"/>
          <w:szCs w:val="20"/>
        </w:rPr>
      </w:pPr>
    </w:p>
    <w:p w14:paraId="5311B35F" w14:textId="51784966" w:rsidR="00895A9A" w:rsidRPr="00895A9A" w:rsidRDefault="00895A9A" w:rsidP="00895A9A">
      <w:pPr>
        <w:pStyle w:val="Odstavekseznama"/>
        <w:numPr>
          <w:ilvl w:val="0"/>
          <w:numId w:val="2"/>
        </w:numPr>
        <w:jc w:val="both"/>
        <w:rPr>
          <w:rFonts w:ascii="Arial" w:hAnsi="Arial" w:cs="Arial"/>
          <w:b/>
          <w:sz w:val="20"/>
          <w:szCs w:val="20"/>
        </w:rPr>
      </w:pPr>
      <w:r>
        <w:rPr>
          <w:rFonts w:ascii="Arial" w:hAnsi="Arial" w:cs="Arial"/>
          <w:b/>
          <w:sz w:val="20"/>
          <w:szCs w:val="20"/>
        </w:rPr>
        <w:t>Zaključki</w:t>
      </w:r>
    </w:p>
    <w:p w14:paraId="4647E461" w14:textId="5B2850A4" w:rsidR="00ED36E0" w:rsidRPr="00897DA7" w:rsidRDefault="00525C1C" w:rsidP="00933068">
      <w:pPr>
        <w:ind w:left="708"/>
        <w:jc w:val="both"/>
        <w:rPr>
          <w:rFonts w:ascii="Arial" w:hAnsi="Arial" w:cs="Arial"/>
          <w:sz w:val="20"/>
          <w:szCs w:val="20"/>
        </w:rPr>
      </w:pPr>
      <w:r w:rsidRPr="00897DA7">
        <w:rPr>
          <w:rFonts w:ascii="Arial" w:hAnsi="Arial" w:cs="Arial"/>
          <w:sz w:val="20"/>
          <w:szCs w:val="20"/>
        </w:rPr>
        <w:t xml:space="preserve">O pojavu in </w:t>
      </w:r>
      <w:r w:rsidR="00DE28B7">
        <w:rPr>
          <w:rFonts w:ascii="Arial" w:hAnsi="Arial" w:cs="Arial"/>
          <w:sz w:val="20"/>
          <w:szCs w:val="20"/>
        </w:rPr>
        <w:t xml:space="preserve">hudih škodah zaradi </w:t>
      </w:r>
      <w:r w:rsidRPr="00897DA7">
        <w:rPr>
          <w:rFonts w:ascii="Arial" w:hAnsi="Arial" w:cs="Arial"/>
          <w:sz w:val="20"/>
          <w:szCs w:val="20"/>
        </w:rPr>
        <w:t xml:space="preserve">okužbe </w:t>
      </w:r>
      <w:r w:rsidR="00DE28B7">
        <w:rPr>
          <w:rFonts w:ascii="Arial" w:hAnsi="Arial" w:cs="Arial"/>
          <w:sz w:val="20"/>
          <w:szCs w:val="20"/>
        </w:rPr>
        <w:t xml:space="preserve">s </w:t>
      </w:r>
      <w:proofErr w:type="spellStart"/>
      <w:r w:rsidR="00DE28B7">
        <w:rPr>
          <w:rFonts w:ascii="Arial" w:hAnsi="Arial" w:cs="Arial"/>
          <w:sz w:val="20"/>
          <w:szCs w:val="20"/>
        </w:rPr>
        <w:t>CBCVd</w:t>
      </w:r>
      <w:proofErr w:type="spellEnd"/>
      <w:r w:rsidR="00DE28B7">
        <w:rPr>
          <w:rFonts w:ascii="Arial" w:hAnsi="Arial" w:cs="Arial"/>
          <w:sz w:val="20"/>
          <w:szCs w:val="20"/>
        </w:rPr>
        <w:t xml:space="preserve"> </w:t>
      </w:r>
      <w:r w:rsidR="00715FB0">
        <w:rPr>
          <w:rFonts w:ascii="Arial" w:hAnsi="Arial" w:cs="Arial"/>
          <w:sz w:val="20"/>
          <w:szCs w:val="20"/>
        </w:rPr>
        <w:t xml:space="preserve">ter ukrepih za preprečevanje širjenja </w:t>
      </w:r>
      <w:r w:rsidR="00DE28B7">
        <w:rPr>
          <w:rFonts w:ascii="Arial" w:hAnsi="Arial" w:cs="Arial"/>
          <w:sz w:val="20"/>
          <w:szCs w:val="20"/>
        </w:rPr>
        <w:t xml:space="preserve">so bili hmeljarji s strani pristojnih inštitucij (Uprava za varno hrano, veterinarstvo in varstvo rastlin, Inštitut za hmeljarstvo in pivovarstvo Slovenije ter </w:t>
      </w:r>
      <w:r w:rsidR="008C2AC0">
        <w:rPr>
          <w:rFonts w:ascii="Arial" w:hAnsi="Arial" w:cs="Arial"/>
          <w:sz w:val="20"/>
          <w:szCs w:val="20"/>
        </w:rPr>
        <w:t>K</w:t>
      </w:r>
      <w:r w:rsidR="00DE28B7">
        <w:rPr>
          <w:rFonts w:ascii="Arial" w:hAnsi="Arial" w:cs="Arial"/>
          <w:sz w:val="20"/>
          <w:szCs w:val="20"/>
        </w:rPr>
        <w:t xml:space="preserve">metijske svetovalne službe) </w:t>
      </w:r>
      <w:r w:rsidR="00715FB0">
        <w:rPr>
          <w:rFonts w:ascii="Arial" w:hAnsi="Arial" w:cs="Arial"/>
          <w:sz w:val="20"/>
          <w:szCs w:val="20"/>
        </w:rPr>
        <w:t xml:space="preserve">že večkrat seznanjeni. Ozaveščanje o pomenu izvajanja ukrepov je pomembno, da ne bi povečali potenciala bolezni, ki smo ga z uradnimi ukrepi v zadnjih letih znižali na sedanjo, nizko raven. </w:t>
      </w:r>
      <w:r w:rsidR="00897DA7">
        <w:rPr>
          <w:rFonts w:ascii="Arial" w:hAnsi="Arial" w:cs="Arial"/>
          <w:sz w:val="20"/>
          <w:szCs w:val="20"/>
        </w:rPr>
        <w:t xml:space="preserve">Poleg tega </w:t>
      </w:r>
      <w:r w:rsidR="00715FB0">
        <w:rPr>
          <w:rFonts w:ascii="Arial" w:hAnsi="Arial" w:cs="Arial"/>
          <w:sz w:val="20"/>
          <w:szCs w:val="20"/>
        </w:rPr>
        <w:t xml:space="preserve">je pomembno, da se </w:t>
      </w:r>
      <w:r w:rsidR="00897DA7">
        <w:rPr>
          <w:rFonts w:ascii="Arial" w:hAnsi="Arial" w:cs="Arial"/>
          <w:sz w:val="20"/>
          <w:szCs w:val="20"/>
        </w:rPr>
        <w:t xml:space="preserve">hmeljarji </w:t>
      </w:r>
      <w:r w:rsidRPr="00897DA7">
        <w:rPr>
          <w:rFonts w:ascii="Arial" w:hAnsi="Arial" w:cs="Arial"/>
          <w:sz w:val="20"/>
          <w:szCs w:val="20"/>
        </w:rPr>
        <w:t xml:space="preserve">zavedajo </w:t>
      </w:r>
      <w:r w:rsidR="00715FB0">
        <w:rPr>
          <w:rFonts w:ascii="Arial" w:hAnsi="Arial" w:cs="Arial"/>
          <w:sz w:val="20"/>
          <w:szCs w:val="20"/>
        </w:rPr>
        <w:t xml:space="preserve">pomena rednega pregledovanja hmeljišč in po potrditvi pojava </w:t>
      </w:r>
      <w:proofErr w:type="spellStart"/>
      <w:r w:rsidR="00715FB0">
        <w:rPr>
          <w:rFonts w:ascii="Arial" w:hAnsi="Arial" w:cs="Arial"/>
          <w:sz w:val="20"/>
          <w:szCs w:val="20"/>
        </w:rPr>
        <w:t>CBCVd</w:t>
      </w:r>
      <w:proofErr w:type="spellEnd"/>
      <w:r w:rsidR="00715FB0">
        <w:rPr>
          <w:rFonts w:ascii="Arial" w:hAnsi="Arial" w:cs="Arial"/>
          <w:sz w:val="20"/>
          <w:szCs w:val="20"/>
        </w:rPr>
        <w:t xml:space="preserve"> takojšnjega ukrepanja</w:t>
      </w:r>
      <w:r w:rsidR="00966014" w:rsidRPr="00897DA7">
        <w:rPr>
          <w:rFonts w:ascii="Arial" w:hAnsi="Arial" w:cs="Arial"/>
          <w:sz w:val="20"/>
          <w:szCs w:val="20"/>
        </w:rPr>
        <w:t xml:space="preserve">. </w:t>
      </w:r>
    </w:p>
    <w:p w14:paraId="323F6E20" w14:textId="77777777" w:rsidR="000E201A" w:rsidRDefault="000E201A" w:rsidP="00933068">
      <w:pPr>
        <w:jc w:val="both"/>
        <w:rPr>
          <w:rFonts w:ascii="Arial" w:hAnsi="Arial" w:cs="Arial"/>
          <w:color w:val="000000"/>
          <w:sz w:val="20"/>
          <w:szCs w:val="20"/>
        </w:rPr>
      </w:pPr>
    </w:p>
    <w:p w14:paraId="37BD9BB6" w14:textId="3430B51D" w:rsidR="00895A9A" w:rsidRDefault="009F0C7F" w:rsidP="00933068">
      <w:pPr>
        <w:jc w:val="both"/>
        <w:rPr>
          <w:rFonts w:ascii="Arial" w:hAnsi="Arial" w:cs="Arial"/>
          <w:color w:val="000000"/>
          <w:sz w:val="20"/>
          <w:szCs w:val="20"/>
        </w:rPr>
      </w:pPr>
      <w:r w:rsidRPr="00897DA7">
        <w:rPr>
          <w:rFonts w:ascii="Arial" w:hAnsi="Arial" w:cs="Arial"/>
          <w:color w:val="000000"/>
          <w:sz w:val="20"/>
          <w:szCs w:val="20"/>
        </w:rPr>
        <w:t>Pripravil</w:t>
      </w:r>
      <w:r w:rsidR="00895A9A">
        <w:rPr>
          <w:rFonts w:ascii="Arial" w:hAnsi="Arial" w:cs="Arial"/>
          <w:color w:val="000000"/>
          <w:sz w:val="20"/>
          <w:szCs w:val="20"/>
        </w:rPr>
        <w:t>i</w:t>
      </w:r>
      <w:r w:rsidR="00724E8A" w:rsidRPr="00897DA7">
        <w:rPr>
          <w:rFonts w:ascii="Arial" w:hAnsi="Arial" w:cs="Arial"/>
          <w:color w:val="000000"/>
          <w:sz w:val="20"/>
          <w:szCs w:val="20"/>
        </w:rPr>
        <w:t xml:space="preserve">: </w:t>
      </w:r>
      <w:r w:rsidR="00895A9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t>dr. Branko Podpečan</w:t>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895A9A">
        <w:rPr>
          <w:rFonts w:ascii="Arial" w:hAnsi="Arial" w:cs="Arial"/>
          <w:color w:val="000000"/>
          <w:sz w:val="20"/>
          <w:szCs w:val="20"/>
        </w:rPr>
        <w:tab/>
      </w:r>
      <w:r w:rsidR="000E201A">
        <w:rPr>
          <w:rFonts w:ascii="Arial" w:hAnsi="Arial" w:cs="Arial"/>
          <w:color w:val="000000"/>
          <w:sz w:val="20"/>
          <w:szCs w:val="20"/>
        </w:rPr>
        <w:tab/>
      </w:r>
      <w:r w:rsidR="000E201A">
        <w:rPr>
          <w:rFonts w:ascii="Arial" w:hAnsi="Arial" w:cs="Arial"/>
          <w:color w:val="000000"/>
          <w:sz w:val="20"/>
          <w:szCs w:val="20"/>
        </w:rPr>
        <w:tab/>
        <w:t>direktor inšpekcije</w:t>
      </w:r>
    </w:p>
    <w:p w14:paraId="652042F5" w14:textId="26E6CFD8" w:rsidR="004B1539" w:rsidRDefault="003A1A83" w:rsidP="000C2537">
      <w:pPr>
        <w:jc w:val="both"/>
        <w:rPr>
          <w:rFonts w:ascii="Arial" w:hAnsi="Arial" w:cs="Arial"/>
          <w:color w:val="000000"/>
          <w:sz w:val="20"/>
          <w:szCs w:val="20"/>
        </w:rPr>
      </w:pPr>
      <w:r w:rsidRPr="00897DA7">
        <w:rPr>
          <w:rFonts w:ascii="Arial" w:hAnsi="Arial" w:cs="Arial"/>
          <w:color w:val="000000"/>
          <w:sz w:val="20"/>
          <w:szCs w:val="20"/>
        </w:rPr>
        <w:t>m</w:t>
      </w:r>
      <w:r w:rsidR="009F0C7F" w:rsidRPr="00897DA7">
        <w:rPr>
          <w:rFonts w:ascii="Arial" w:hAnsi="Arial" w:cs="Arial"/>
          <w:color w:val="000000"/>
          <w:sz w:val="20"/>
          <w:szCs w:val="20"/>
        </w:rPr>
        <w:t>ag. Ema Pavlič Nikolić</w:t>
      </w:r>
    </w:p>
    <w:p w14:paraId="7FC06742" w14:textId="15950CE1" w:rsidR="00895A9A" w:rsidRPr="00897DA7" w:rsidRDefault="00895A9A" w:rsidP="000C2537">
      <w:pPr>
        <w:jc w:val="both"/>
        <w:rPr>
          <w:rFonts w:ascii="Arial" w:hAnsi="Arial" w:cs="Arial"/>
          <w:sz w:val="20"/>
          <w:szCs w:val="20"/>
        </w:rPr>
      </w:pPr>
      <w:r>
        <w:rPr>
          <w:rFonts w:ascii="Arial" w:hAnsi="Arial" w:cs="Arial"/>
          <w:color w:val="000000"/>
          <w:sz w:val="20"/>
          <w:szCs w:val="20"/>
        </w:rPr>
        <w:t>Alenka Pivk, vodja SNVR</w:t>
      </w:r>
    </w:p>
    <w:sectPr w:rsidR="00895A9A" w:rsidRPr="00897D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D256" w14:textId="77777777" w:rsidR="00DB1EEC" w:rsidRDefault="00DB1EEC" w:rsidP="005A309C">
      <w:pPr>
        <w:spacing w:after="0" w:line="240" w:lineRule="auto"/>
      </w:pPr>
      <w:r>
        <w:separator/>
      </w:r>
    </w:p>
  </w:endnote>
  <w:endnote w:type="continuationSeparator" w:id="0">
    <w:p w14:paraId="5B822A4D" w14:textId="77777777" w:rsidR="00DB1EEC" w:rsidRDefault="00DB1EEC" w:rsidP="005A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C632" w14:textId="77777777" w:rsidR="00DB1EEC" w:rsidRDefault="00DB1EEC" w:rsidP="005A309C">
      <w:pPr>
        <w:spacing w:after="0" w:line="240" w:lineRule="auto"/>
      </w:pPr>
      <w:r>
        <w:separator/>
      </w:r>
    </w:p>
  </w:footnote>
  <w:footnote w:type="continuationSeparator" w:id="0">
    <w:p w14:paraId="69E98858" w14:textId="77777777" w:rsidR="00DB1EEC" w:rsidRDefault="00DB1EEC" w:rsidP="005A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tblGrid>
    <w:tr w:rsidR="005A309C" w:rsidRPr="008F3500" w14:paraId="051631D3" w14:textId="77777777" w:rsidTr="00F61C7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943" w:type="dxa"/>
          <w:tcBorders>
            <w:bottom w:val="none" w:sz="0" w:space="0" w:color="auto"/>
          </w:tcBorders>
        </w:tcPr>
        <w:p w14:paraId="158750BB" w14:textId="77777777" w:rsidR="005A309C" w:rsidRDefault="005A309C" w:rsidP="005A309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0330E583" w14:textId="77777777" w:rsidR="005A309C" w:rsidRPr="006D42D9" w:rsidRDefault="005A309C" w:rsidP="005A309C">
          <w:pPr>
            <w:rPr>
              <w:rFonts w:ascii="Republika" w:hAnsi="Republika"/>
              <w:sz w:val="60"/>
              <w:szCs w:val="60"/>
            </w:rPr>
          </w:pPr>
        </w:p>
        <w:p w14:paraId="05E18DD3" w14:textId="77777777" w:rsidR="005A309C" w:rsidRPr="006D42D9" w:rsidRDefault="005A309C" w:rsidP="005A309C">
          <w:pPr>
            <w:rPr>
              <w:rFonts w:ascii="Republika" w:hAnsi="Republika"/>
              <w:sz w:val="60"/>
              <w:szCs w:val="60"/>
            </w:rPr>
          </w:pPr>
        </w:p>
        <w:p w14:paraId="390A8E77" w14:textId="77777777" w:rsidR="005A309C" w:rsidRPr="006D42D9" w:rsidRDefault="005A309C" w:rsidP="005A309C">
          <w:pPr>
            <w:rPr>
              <w:rFonts w:ascii="Republika" w:hAnsi="Republika"/>
              <w:sz w:val="60"/>
              <w:szCs w:val="60"/>
            </w:rPr>
          </w:pPr>
        </w:p>
        <w:p w14:paraId="650843E6" w14:textId="77777777" w:rsidR="005A309C" w:rsidRPr="006D42D9" w:rsidRDefault="005A309C" w:rsidP="005A309C">
          <w:pPr>
            <w:rPr>
              <w:rFonts w:ascii="Republika" w:hAnsi="Republika"/>
              <w:sz w:val="60"/>
              <w:szCs w:val="60"/>
            </w:rPr>
          </w:pPr>
        </w:p>
        <w:p w14:paraId="0921AB3F" w14:textId="77777777" w:rsidR="005A309C" w:rsidRPr="006D42D9" w:rsidRDefault="005A309C" w:rsidP="005A309C">
          <w:pPr>
            <w:rPr>
              <w:rFonts w:ascii="Republika" w:hAnsi="Republika"/>
              <w:sz w:val="60"/>
              <w:szCs w:val="60"/>
            </w:rPr>
          </w:pPr>
        </w:p>
        <w:p w14:paraId="6BB33772" w14:textId="77777777" w:rsidR="005A309C" w:rsidRPr="006D42D9" w:rsidRDefault="005A309C" w:rsidP="005A309C">
          <w:pPr>
            <w:rPr>
              <w:rFonts w:ascii="Republika" w:hAnsi="Republika"/>
              <w:sz w:val="60"/>
              <w:szCs w:val="60"/>
            </w:rPr>
          </w:pPr>
        </w:p>
        <w:p w14:paraId="55630D05" w14:textId="77777777" w:rsidR="005A309C" w:rsidRPr="006D42D9" w:rsidRDefault="005A309C" w:rsidP="005A309C">
          <w:pPr>
            <w:rPr>
              <w:rFonts w:ascii="Republika" w:hAnsi="Republika"/>
              <w:sz w:val="60"/>
              <w:szCs w:val="60"/>
            </w:rPr>
          </w:pPr>
        </w:p>
        <w:p w14:paraId="53F7555A" w14:textId="77777777" w:rsidR="005A309C" w:rsidRPr="006D42D9" w:rsidRDefault="005A309C" w:rsidP="005A309C">
          <w:pPr>
            <w:rPr>
              <w:rFonts w:ascii="Republika" w:hAnsi="Republika"/>
              <w:sz w:val="60"/>
              <w:szCs w:val="60"/>
            </w:rPr>
          </w:pPr>
        </w:p>
        <w:p w14:paraId="5292440C" w14:textId="77777777" w:rsidR="005A309C" w:rsidRPr="006D42D9" w:rsidRDefault="005A309C" w:rsidP="005A309C">
          <w:pPr>
            <w:rPr>
              <w:rFonts w:ascii="Republika" w:hAnsi="Republika"/>
              <w:sz w:val="60"/>
              <w:szCs w:val="60"/>
            </w:rPr>
          </w:pPr>
        </w:p>
        <w:p w14:paraId="50495ED8" w14:textId="77777777" w:rsidR="005A309C" w:rsidRPr="006D42D9" w:rsidRDefault="005A309C" w:rsidP="005A309C">
          <w:pPr>
            <w:rPr>
              <w:rFonts w:ascii="Republika" w:hAnsi="Republika"/>
              <w:sz w:val="60"/>
              <w:szCs w:val="60"/>
            </w:rPr>
          </w:pPr>
        </w:p>
        <w:p w14:paraId="29C8602F" w14:textId="77777777" w:rsidR="005A309C" w:rsidRPr="006D42D9" w:rsidRDefault="005A309C" w:rsidP="005A309C">
          <w:pPr>
            <w:rPr>
              <w:rFonts w:ascii="Republika" w:hAnsi="Republika"/>
              <w:sz w:val="60"/>
              <w:szCs w:val="60"/>
            </w:rPr>
          </w:pPr>
        </w:p>
        <w:p w14:paraId="071EAB24" w14:textId="77777777" w:rsidR="005A309C" w:rsidRPr="006D42D9" w:rsidRDefault="005A309C" w:rsidP="005A309C">
          <w:pPr>
            <w:rPr>
              <w:rFonts w:ascii="Republika" w:hAnsi="Republika"/>
              <w:sz w:val="60"/>
              <w:szCs w:val="60"/>
            </w:rPr>
          </w:pPr>
        </w:p>
        <w:p w14:paraId="3E98432B" w14:textId="77777777" w:rsidR="005A309C" w:rsidRPr="006D42D9" w:rsidRDefault="005A309C" w:rsidP="005A309C">
          <w:pPr>
            <w:rPr>
              <w:rFonts w:ascii="Republika" w:hAnsi="Republika"/>
              <w:sz w:val="60"/>
              <w:szCs w:val="60"/>
            </w:rPr>
          </w:pPr>
        </w:p>
        <w:p w14:paraId="7255A036" w14:textId="77777777" w:rsidR="005A309C" w:rsidRPr="006D42D9" w:rsidRDefault="005A309C" w:rsidP="005A309C">
          <w:pPr>
            <w:rPr>
              <w:rFonts w:ascii="Republika" w:hAnsi="Republika"/>
              <w:sz w:val="60"/>
              <w:szCs w:val="60"/>
            </w:rPr>
          </w:pPr>
        </w:p>
        <w:p w14:paraId="59F01E6B" w14:textId="77777777" w:rsidR="005A309C" w:rsidRPr="006D42D9" w:rsidRDefault="005A309C" w:rsidP="005A309C">
          <w:pPr>
            <w:rPr>
              <w:rFonts w:ascii="Republika" w:hAnsi="Republika"/>
              <w:sz w:val="60"/>
              <w:szCs w:val="60"/>
            </w:rPr>
          </w:pPr>
        </w:p>
        <w:p w14:paraId="6BCBD0CD" w14:textId="77777777" w:rsidR="005A309C" w:rsidRPr="006D42D9" w:rsidRDefault="005A309C" w:rsidP="005A309C">
          <w:pPr>
            <w:rPr>
              <w:rFonts w:ascii="Republika" w:hAnsi="Republika"/>
              <w:sz w:val="60"/>
              <w:szCs w:val="60"/>
            </w:rPr>
          </w:pPr>
        </w:p>
      </w:tc>
    </w:tr>
  </w:tbl>
  <w:p w14:paraId="173687B6" w14:textId="77777777" w:rsidR="005A309C" w:rsidRDefault="005A309C" w:rsidP="005A309C">
    <w:pPr>
      <w:autoSpaceDE w:val="0"/>
      <w:autoSpaceDN w:val="0"/>
      <w:adjustRightInd w:val="0"/>
      <w:spacing w:line="240" w:lineRule="auto"/>
      <w:rPr>
        <w:rFonts w:ascii="Republika" w:hAnsi="Republika"/>
        <w:sz w:val="18"/>
        <w:szCs w:val="18"/>
      </w:rPr>
    </w:pPr>
  </w:p>
  <w:p w14:paraId="3F822E1D" w14:textId="383749B7" w:rsidR="005A309C" w:rsidRPr="005A309C" w:rsidRDefault="005A309C" w:rsidP="005A309C">
    <w:pPr>
      <w:autoSpaceDE w:val="0"/>
      <w:autoSpaceDN w:val="0"/>
      <w:adjustRightInd w:val="0"/>
      <w:spacing w:line="240" w:lineRule="auto"/>
      <w:rPr>
        <w:rFonts w:ascii="Republika" w:hAnsi="Republika"/>
        <w:sz w:val="18"/>
        <w:szCs w:val="18"/>
      </w:rPr>
    </w:pPr>
    <w:r w:rsidRPr="005A309C">
      <w:rPr>
        <w:rFonts w:ascii="Republika" w:hAnsi="Republika"/>
        <w:sz w:val="18"/>
        <w:szCs w:val="18"/>
      </w:rPr>
      <w:t>REPUBLIKA SLOVENIJA</w:t>
    </w:r>
  </w:p>
  <w:p w14:paraId="002FECCD" w14:textId="77096C71" w:rsidR="005A309C" w:rsidRPr="005A309C" w:rsidRDefault="005A309C" w:rsidP="005A309C">
    <w:pPr>
      <w:pStyle w:val="Glava"/>
      <w:tabs>
        <w:tab w:val="left" w:pos="5112"/>
      </w:tabs>
      <w:spacing w:after="120" w:line="240" w:lineRule="exact"/>
      <w:rPr>
        <w:rFonts w:ascii="Republika" w:hAnsi="Republika"/>
        <w:b/>
        <w:caps/>
        <w:sz w:val="18"/>
        <w:szCs w:val="18"/>
      </w:rPr>
    </w:pPr>
    <w:r w:rsidRPr="005A309C">
      <w:rPr>
        <w:rFonts w:ascii="Republika" w:hAnsi="Republika"/>
        <w:b/>
        <w:caps/>
        <w:sz w:val="18"/>
        <w:szCs w:val="18"/>
      </w:rPr>
      <w:t>Ministrst</w:t>
    </w:r>
    <w:r w:rsidR="002B418B">
      <w:rPr>
        <w:rFonts w:ascii="Republika" w:hAnsi="Republika"/>
        <w:b/>
        <w:caps/>
        <w:sz w:val="18"/>
        <w:szCs w:val="18"/>
      </w:rPr>
      <w:t>vo za kmetijstvo, gozdarstvo in</w:t>
    </w:r>
    <w:r w:rsidRPr="005A309C">
      <w:rPr>
        <w:rFonts w:ascii="Republika" w:hAnsi="Republika"/>
        <w:b/>
        <w:caps/>
        <w:sz w:val="18"/>
        <w:szCs w:val="18"/>
      </w:rPr>
      <w:t xml:space="preserve"> prehrano </w:t>
    </w:r>
  </w:p>
  <w:p w14:paraId="499C14EB" w14:textId="77777777" w:rsidR="005A309C" w:rsidRPr="005A309C" w:rsidRDefault="005A309C" w:rsidP="005A309C">
    <w:pPr>
      <w:pStyle w:val="Glava"/>
      <w:tabs>
        <w:tab w:val="left" w:pos="5112"/>
      </w:tabs>
      <w:spacing w:after="120" w:line="240" w:lineRule="exact"/>
      <w:rPr>
        <w:rFonts w:ascii="Republika" w:hAnsi="Republika"/>
        <w:caps/>
        <w:sz w:val="18"/>
        <w:szCs w:val="18"/>
      </w:rPr>
    </w:pPr>
    <w:r w:rsidRPr="005A309C">
      <w:rPr>
        <w:rFonts w:ascii="Republika" w:hAnsi="Republika"/>
        <w:caps/>
        <w:sz w:val="18"/>
        <w:szCs w:val="18"/>
      </w:rPr>
      <w:t>UPrava republike slovenije Za varno hrano,</w:t>
    </w:r>
    <w:r w:rsidRPr="005A309C">
      <w:rPr>
        <w:rFonts w:ascii="Republika" w:hAnsi="Republika"/>
        <w:caps/>
        <w:sz w:val="18"/>
        <w:szCs w:val="18"/>
      </w:rPr>
      <w:br/>
      <w:t>veterinarstvo in varstvo rastlin</w:t>
    </w:r>
  </w:p>
  <w:p w14:paraId="03DB47CE" w14:textId="2AAC1E85" w:rsidR="005A309C" w:rsidRPr="005A309C" w:rsidRDefault="005A309C" w:rsidP="005A309C">
    <w:pPr>
      <w:pStyle w:val="Glava"/>
      <w:tabs>
        <w:tab w:val="left" w:pos="5112"/>
      </w:tabs>
      <w:spacing w:before="240" w:line="240" w:lineRule="exact"/>
      <w:rPr>
        <w:rFonts w:ascii="Republika" w:hAnsi="Republika" w:cs="Arial"/>
        <w:sz w:val="18"/>
        <w:szCs w:val="18"/>
      </w:rPr>
    </w:pPr>
    <w:r w:rsidRPr="005A309C">
      <w:rPr>
        <w:rFonts w:ascii="Republika" w:hAnsi="Republika" w:cs="Arial"/>
        <w:sz w:val="18"/>
        <w:szCs w:val="18"/>
      </w:rPr>
      <w:t>Dunajska cesta 22, 1000 Ljubljana</w:t>
    </w:r>
    <w:r w:rsidRPr="005A309C">
      <w:rPr>
        <w:rFonts w:ascii="Republika" w:hAnsi="Republika" w:cs="Arial"/>
        <w:sz w:val="18"/>
        <w:szCs w:val="18"/>
      </w:rPr>
      <w:tab/>
      <w:t>T: 01 300 13 00</w:t>
    </w:r>
  </w:p>
  <w:p w14:paraId="0E5E4FD4" w14:textId="28038904" w:rsidR="005A309C" w:rsidRPr="005A309C" w:rsidRDefault="005A309C" w:rsidP="005A309C">
    <w:pPr>
      <w:pStyle w:val="Glava"/>
      <w:tabs>
        <w:tab w:val="left" w:pos="5112"/>
      </w:tabs>
      <w:spacing w:line="240" w:lineRule="exact"/>
      <w:rPr>
        <w:rFonts w:ascii="Republika" w:hAnsi="Republika" w:cs="Arial"/>
        <w:sz w:val="18"/>
        <w:szCs w:val="18"/>
      </w:rPr>
    </w:pPr>
    <w:r w:rsidRPr="005A309C">
      <w:rPr>
        <w:rFonts w:ascii="Republika" w:hAnsi="Republika" w:cs="Arial"/>
        <w:sz w:val="18"/>
        <w:szCs w:val="18"/>
      </w:rPr>
      <w:tab/>
      <w:t xml:space="preserve">F: 01 300 13 56 </w:t>
    </w:r>
  </w:p>
  <w:p w14:paraId="53292F03" w14:textId="77777777" w:rsidR="005A309C" w:rsidRPr="005A309C" w:rsidRDefault="005A309C" w:rsidP="005A309C">
    <w:pPr>
      <w:pStyle w:val="Glava"/>
      <w:tabs>
        <w:tab w:val="left" w:pos="5112"/>
      </w:tabs>
      <w:spacing w:line="240" w:lineRule="exact"/>
      <w:rPr>
        <w:rFonts w:ascii="Republika" w:hAnsi="Republika" w:cs="Arial"/>
        <w:sz w:val="18"/>
        <w:szCs w:val="18"/>
      </w:rPr>
    </w:pPr>
    <w:r w:rsidRPr="005A309C">
      <w:rPr>
        <w:rFonts w:ascii="Republika" w:hAnsi="Republika" w:cs="Arial"/>
        <w:sz w:val="18"/>
        <w:szCs w:val="18"/>
      </w:rPr>
      <w:tab/>
      <w:t>E: gp.uvhvvr@gov.si</w:t>
    </w:r>
  </w:p>
  <w:p w14:paraId="6DFD6C5D" w14:textId="77777777" w:rsidR="005A309C" w:rsidRPr="005A309C" w:rsidRDefault="005A309C" w:rsidP="005A309C">
    <w:pPr>
      <w:pStyle w:val="Glava"/>
      <w:tabs>
        <w:tab w:val="left" w:pos="5112"/>
      </w:tabs>
      <w:spacing w:line="240" w:lineRule="exact"/>
      <w:rPr>
        <w:rFonts w:ascii="Republika" w:hAnsi="Republika" w:cs="Arial"/>
        <w:sz w:val="18"/>
        <w:szCs w:val="18"/>
      </w:rPr>
    </w:pPr>
    <w:r w:rsidRPr="005A309C">
      <w:rPr>
        <w:rFonts w:ascii="Republika" w:hAnsi="Republika" w:cs="Arial"/>
        <w:sz w:val="18"/>
        <w:szCs w:val="18"/>
      </w:rPr>
      <w:tab/>
      <w:t>www.uvhvvr.gov.si</w:t>
    </w:r>
  </w:p>
  <w:p w14:paraId="0C436AAD" w14:textId="77777777" w:rsidR="005A309C" w:rsidRDefault="005A30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214"/>
    <w:multiLevelType w:val="hybridMultilevel"/>
    <w:tmpl w:val="45403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D0A88"/>
    <w:multiLevelType w:val="hybridMultilevel"/>
    <w:tmpl w:val="5CDCEB0E"/>
    <w:lvl w:ilvl="0" w:tplc="11540BEC">
      <w:start w:val="1"/>
      <w:numFmt w:val="bullet"/>
      <w:lvlText w:val=""/>
      <w:lvlJc w:val="righ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931926"/>
    <w:multiLevelType w:val="hybridMultilevel"/>
    <w:tmpl w:val="19DC4C14"/>
    <w:lvl w:ilvl="0" w:tplc="11540BEC">
      <w:start w:val="1"/>
      <w:numFmt w:val="bullet"/>
      <w:lvlText w:val=""/>
      <w:lvlJc w:val="righ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1370D3A"/>
    <w:multiLevelType w:val="hybridMultilevel"/>
    <w:tmpl w:val="020AB2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3662360">
    <w:abstractNumId w:val="3"/>
  </w:num>
  <w:num w:numId="2" w16cid:durableId="480656262">
    <w:abstractNumId w:val="0"/>
  </w:num>
  <w:num w:numId="3" w16cid:durableId="681050363">
    <w:abstractNumId w:val="1"/>
  </w:num>
  <w:num w:numId="4" w16cid:durableId="102794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39"/>
    <w:rsid w:val="00007894"/>
    <w:rsid w:val="0001133E"/>
    <w:rsid w:val="00023E5A"/>
    <w:rsid w:val="00033DF4"/>
    <w:rsid w:val="00036B05"/>
    <w:rsid w:val="000A0255"/>
    <w:rsid w:val="000C09DA"/>
    <w:rsid w:val="000C2537"/>
    <w:rsid w:val="000C29D0"/>
    <w:rsid w:val="000E201A"/>
    <w:rsid w:val="000E4280"/>
    <w:rsid w:val="001078BC"/>
    <w:rsid w:val="001375A8"/>
    <w:rsid w:val="00151D62"/>
    <w:rsid w:val="00172D21"/>
    <w:rsid w:val="001F69F0"/>
    <w:rsid w:val="0020000E"/>
    <w:rsid w:val="0025232D"/>
    <w:rsid w:val="00264172"/>
    <w:rsid w:val="002A54FA"/>
    <w:rsid w:val="002B418B"/>
    <w:rsid w:val="003827E2"/>
    <w:rsid w:val="003A1A83"/>
    <w:rsid w:val="003A4F68"/>
    <w:rsid w:val="003D18C2"/>
    <w:rsid w:val="003E4AD1"/>
    <w:rsid w:val="00417286"/>
    <w:rsid w:val="0046266B"/>
    <w:rsid w:val="00464E68"/>
    <w:rsid w:val="004B1539"/>
    <w:rsid w:val="004C01C8"/>
    <w:rsid w:val="00525C1C"/>
    <w:rsid w:val="00533CF7"/>
    <w:rsid w:val="00563C80"/>
    <w:rsid w:val="00580083"/>
    <w:rsid w:val="005A1397"/>
    <w:rsid w:val="005A309C"/>
    <w:rsid w:val="005A415A"/>
    <w:rsid w:val="005C0DEB"/>
    <w:rsid w:val="00617075"/>
    <w:rsid w:val="006253E5"/>
    <w:rsid w:val="006709CE"/>
    <w:rsid w:val="006A0432"/>
    <w:rsid w:val="006A588B"/>
    <w:rsid w:val="006E50AB"/>
    <w:rsid w:val="00715FB0"/>
    <w:rsid w:val="00716DA7"/>
    <w:rsid w:val="007221A3"/>
    <w:rsid w:val="00724232"/>
    <w:rsid w:val="00724E8A"/>
    <w:rsid w:val="00734151"/>
    <w:rsid w:val="00885D97"/>
    <w:rsid w:val="00895A9A"/>
    <w:rsid w:val="00897DA7"/>
    <w:rsid w:val="008A0F4E"/>
    <w:rsid w:val="008C2AC0"/>
    <w:rsid w:val="008D0D15"/>
    <w:rsid w:val="0092050F"/>
    <w:rsid w:val="009319A5"/>
    <w:rsid w:val="00933068"/>
    <w:rsid w:val="00934EE8"/>
    <w:rsid w:val="00966014"/>
    <w:rsid w:val="00991D6D"/>
    <w:rsid w:val="009B4F40"/>
    <w:rsid w:val="009C13E0"/>
    <w:rsid w:val="009F0C7F"/>
    <w:rsid w:val="00A07938"/>
    <w:rsid w:val="00A66787"/>
    <w:rsid w:val="00A97CD5"/>
    <w:rsid w:val="00AD3AC3"/>
    <w:rsid w:val="00AF17F8"/>
    <w:rsid w:val="00B167B4"/>
    <w:rsid w:val="00B66573"/>
    <w:rsid w:val="00C21921"/>
    <w:rsid w:val="00C23B67"/>
    <w:rsid w:val="00C331A9"/>
    <w:rsid w:val="00C62891"/>
    <w:rsid w:val="00C654ED"/>
    <w:rsid w:val="00C71911"/>
    <w:rsid w:val="00C86CB5"/>
    <w:rsid w:val="00CB112D"/>
    <w:rsid w:val="00D363B0"/>
    <w:rsid w:val="00D46A37"/>
    <w:rsid w:val="00D632B6"/>
    <w:rsid w:val="00D93632"/>
    <w:rsid w:val="00DB1EEC"/>
    <w:rsid w:val="00DD206A"/>
    <w:rsid w:val="00DE28B7"/>
    <w:rsid w:val="00E6629F"/>
    <w:rsid w:val="00E87B22"/>
    <w:rsid w:val="00EB64FF"/>
    <w:rsid w:val="00ED36E0"/>
    <w:rsid w:val="00ED4D5C"/>
    <w:rsid w:val="00ED7F2E"/>
    <w:rsid w:val="00EE77F6"/>
    <w:rsid w:val="00F01A37"/>
    <w:rsid w:val="00F41186"/>
    <w:rsid w:val="00F51C45"/>
    <w:rsid w:val="00F61C77"/>
    <w:rsid w:val="00F70669"/>
    <w:rsid w:val="00FA73CF"/>
    <w:rsid w:val="00FD15FA"/>
    <w:rsid w:val="00FF19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A49ABB"/>
  <w15:docId w15:val="{B7856F05-BA7C-4E0D-8D10-7D9CB488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1539"/>
    <w:pPr>
      <w:ind w:left="720"/>
      <w:contextualSpacing/>
    </w:pPr>
  </w:style>
  <w:style w:type="paragraph" w:styleId="Glava">
    <w:name w:val="header"/>
    <w:basedOn w:val="Navaden"/>
    <w:link w:val="GlavaZnak"/>
    <w:unhideWhenUsed/>
    <w:rsid w:val="005A309C"/>
    <w:pPr>
      <w:tabs>
        <w:tab w:val="center" w:pos="4536"/>
        <w:tab w:val="right" w:pos="9072"/>
      </w:tabs>
      <w:spacing w:after="0" w:line="240" w:lineRule="auto"/>
    </w:pPr>
  </w:style>
  <w:style w:type="character" w:customStyle="1" w:styleId="GlavaZnak">
    <w:name w:val="Glava Znak"/>
    <w:basedOn w:val="Privzetapisavaodstavka"/>
    <w:link w:val="Glava"/>
    <w:uiPriority w:val="99"/>
    <w:rsid w:val="005A309C"/>
  </w:style>
  <w:style w:type="paragraph" w:styleId="Noga">
    <w:name w:val="footer"/>
    <w:basedOn w:val="Navaden"/>
    <w:link w:val="NogaZnak"/>
    <w:uiPriority w:val="99"/>
    <w:unhideWhenUsed/>
    <w:rsid w:val="005A309C"/>
    <w:pPr>
      <w:tabs>
        <w:tab w:val="center" w:pos="4536"/>
        <w:tab w:val="right" w:pos="9072"/>
      </w:tabs>
      <w:spacing w:after="0" w:line="240" w:lineRule="auto"/>
    </w:pPr>
  </w:style>
  <w:style w:type="character" w:customStyle="1" w:styleId="NogaZnak">
    <w:name w:val="Noga Znak"/>
    <w:basedOn w:val="Privzetapisavaodstavka"/>
    <w:link w:val="Noga"/>
    <w:uiPriority w:val="99"/>
    <w:rsid w:val="005A309C"/>
  </w:style>
  <w:style w:type="paragraph" w:styleId="Besedilooblaka">
    <w:name w:val="Balloon Text"/>
    <w:basedOn w:val="Navaden"/>
    <w:link w:val="BesedilooblakaZnak"/>
    <w:uiPriority w:val="99"/>
    <w:semiHidden/>
    <w:unhideWhenUsed/>
    <w:rsid w:val="00DE28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E28B7"/>
    <w:rPr>
      <w:rFonts w:ascii="Segoe UI" w:hAnsi="Segoe UI" w:cs="Segoe UI"/>
      <w:sz w:val="18"/>
      <w:szCs w:val="18"/>
    </w:rPr>
  </w:style>
  <w:style w:type="character" w:styleId="Pripombasklic">
    <w:name w:val="annotation reference"/>
    <w:basedOn w:val="Privzetapisavaodstavka"/>
    <w:uiPriority w:val="99"/>
    <w:semiHidden/>
    <w:unhideWhenUsed/>
    <w:rsid w:val="00DE28B7"/>
    <w:rPr>
      <w:sz w:val="16"/>
      <w:szCs w:val="16"/>
    </w:rPr>
  </w:style>
  <w:style w:type="paragraph" w:styleId="Pripombabesedilo">
    <w:name w:val="annotation text"/>
    <w:basedOn w:val="Navaden"/>
    <w:link w:val="PripombabesediloZnak"/>
    <w:uiPriority w:val="99"/>
    <w:semiHidden/>
    <w:unhideWhenUsed/>
    <w:rsid w:val="00DE28B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E28B7"/>
    <w:rPr>
      <w:sz w:val="20"/>
      <w:szCs w:val="20"/>
    </w:rPr>
  </w:style>
  <w:style w:type="paragraph" w:styleId="Zadevapripombe">
    <w:name w:val="annotation subject"/>
    <w:basedOn w:val="Pripombabesedilo"/>
    <w:next w:val="Pripombabesedilo"/>
    <w:link w:val="ZadevapripombeZnak"/>
    <w:uiPriority w:val="99"/>
    <w:semiHidden/>
    <w:unhideWhenUsed/>
    <w:rsid w:val="00DE28B7"/>
    <w:rPr>
      <w:b/>
      <w:bCs/>
    </w:rPr>
  </w:style>
  <w:style w:type="character" w:customStyle="1" w:styleId="ZadevapripombeZnak">
    <w:name w:val="Zadeva pripombe Znak"/>
    <w:basedOn w:val="PripombabesediloZnak"/>
    <w:link w:val="Zadevapripombe"/>
    <w:uiPriority w:val="99"/>
    <w:semiHidden/>
    <w:rsid w:val="00DE28B7"/>
    <w:rPr>
      <w:b/>
      <w:bCs/>
      <w:sz w:val="20"/>
      <w:szCs w:val="20"/>
    </w:rPr>
  </w:style>
  <w:style w:type="table" w:styleId="Tabelamrea">
    <w:name w:val="Table Grid"/>
    <w:basedOn w:val="Navadnatabela"/>
    <w:uiPriority w:val="59"/>
    <w:rsid w:val="00C8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F61C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08C2-06F1-4F97-A078-D47D827F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1233</Words>
  <Characters>7032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EPN</dc:creator>
  <cp:lastModifiedBy>Nina Pezdirec</cp:lastModifiedBy>
  <cp:revision>4</cp:revision>
  <cp:lastPrinted>2022-01-13T08:26:00Z</cp:lastPrinted>
  <dcterms:created xsi:type="dcterms:W3CDTF">2022-01-24T13:00:00Z</dcterms:created>
  <dcterms:modified xsi:type="dcterms:W3CDTF">2023-04-18T18:59:00Z</dcterms:modified>
</cp:coreProperties>
</file>