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14D37" w:rsidRPr="0090126B" w:rsidRDefault="00814D37" w:rsidP="00011D2A">
      <w:pPr>
        <w:jc w:val="center"/>
        <w:rPr>
          <w:rFonts w:ascii="Arial" w:hAnsi="Arial"/>
          <w:b/>
          <w:bCs/>
          <w:sz w:val="32"/>
          <w:szCs w:val="32"/>
          <w:lang w:val="en-GB"/>
        </w:rPr>
      </w:pPr>
    </w:p>
    <w:p w:rsidR="008C1A5D" w:rsidRPr="00FE2417" w:rsidRDefault="004F60E0" w:rsidP="00FE2417">
      <w:pPr>
        <w:pStyle w:val="Naslov"/>
      </w:pPr>
      <w:r w:rsidRPr="00FE2417">
        <w:t>NATIONAL</w:t>
      </w:r>
      <w:r w:rsidR="009638A0" w:rsidRPr="00FE2417">
        <w:t xml:space="preserve"> </w:t>
      </w:r>
      <w:r w:rsidRPr="00FE2417">
        <w:t xml:space="preserve">REQUIREMENTS FOR REGISTRATION OF PLANT PROTECTION PRODUCTS </w:t>
      </w:r>
      <w:r w:rsidR="006E7912" w:rsidRPr="00FE2417">
        <w:t xml:space="preserve">(PPPs) </w:t>
      </w:r>
      <w:r w:rsidRPr="00FE2417">
        <w:t>IN SLOVENIA</w:t>
      </w:r>
      <w:r w:rsidR="00814D37" w:rsidRPr="00FE2417">
        <w:t xml:space="preserve"> </w:t>
      </w:r>
    </w:p>
    <w:p w:rsidR="004F60E0" w:rsidRPr="00FE2417" w:rsidRDefault="00814D37" w:rsidP="00FE2417">
      <w:pPr>
        <w:pStyle w:val="Naslov"/>
      </w:pPr>
      <w:r w:rsidRPr="00FE2417">
        <w:t xml:space="preserve">FOR: EFFICACY, TOXICOLOGY WITH EXPOSURE ASSESSMENT, </w:t>
      </w:r>
      <w:r w:rsidR="006F58E2" w:rsidRPr="00FE2417">
        <w:t xml:space="preserve">FATE AND BEHAVIOUR IN THE ENVIRONMENT </w:t>
      </w:r>
      <w:r w:rsidRPr="00FE2417">
        <w:t>and ECOTOXICOLOGY</w:t>
      </w:r>
    </w:p>
    <w:p w:rsidR="00814D37" w:rsidRPr="00FE2417" w:rsidRDefault="00814D37" w:rsidP="00FE2417">
      <w:pPr>
        <w:pStyle w:val="Naslov"/>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814D37">
      <w:pPr>
        <w:pStyle w:val="besedilo"/>
        <w:jc w:val="center"/>
        <w:rPr>
          <w:rFonts w:ascii="Arial" w:hAnsi="Arial"/>
          <w:b/>
          <w:bCs/>
          <w:lang w:val="en-GB" w:bidi="ar-SA"/>
        </w:rPr>
      </w:pPr>
    </w:p>
    <w:p w:rsidR="00814D37" w:rsidRPr="0090126B" w:rsidRDefault="00814D37" w:rsidP="00B266B4">
      <w:pPr>
        <w:pStyle w:val="besedilo"/>
        <w:jc w:val="center"/>
        <w:rPr>
          <w:rFonts w:ascii="Arial" w:hAnsi="Arial"/>
          <w:b/>
          <w:bCs/>
          <w:lang w:val="en-GB" w:bidi="ar-SA"/>
        </w:rPr>
      </w:pPr>
      <w:r w:rsidRPr="0090126B">
        <w:rPr>
          <w:rFonts w:ascii="Arial" w:hAnsi="Arial"/>
          <w:b/>
          <w:bCs/>
          <w:lang w:val="en-GB" w:bidi="ar-SA"/>
        </w:rPr>
        <w:t>Last amended:</w:t>
      </w:r>
      <w:r w:rsidR="00F05E19">
        <w:rPr>
          <w:rFonts w:ascii="Arial" w:hAnsi="Arial"/>
          <w:b/>
          <w:bCs/>
          <w:lang w:val="en-GB" w:bidi="ar-SA"/>
        </w:rPr>
        <w:t xml:space="preserve"> </w:t>
      </w:r>
      <w:r w:rsidR="00F05E19" w:rsidRPr="00F05E19">
        <w:rPr>
          <w:rFonts w:ascii="Arial" w:hAnsi="Arial"/>
          <w:b/>
          <w:bCs/>
          <w:lang w:val="en-GB" w:bidi="ar-SA"/>
        </w:rPr>
        <w:t>May</w:t>
      </w:r>
      <w:r w:rsidR="00A9258E" w:rsidRPr="00F05E19">
        <w:rPr>
          <w:rFonts w:ascii="Arial" w:hAnsi="Arial"/>
          <w:b/>
          <w:bCs/>
          <w:lang w:val="en-GB" w:bidi="ar-SA"/>
        </w:rPr>
        <w:t xml:space="preserve"> 2022</w:t>
      </w:r>
    </w:p>
    <w:p w:rsidR="004F60E0" w:rsidRDefault="00AD74DA" w:rsidP="004162A3">
      <w:pPr>
        <w:rPr>
          <w:rFonts w:ascii="Arial" w:hAnsi="Arial"/>
          <w:b/>
          <w:bCs/>
          <w:sz w:val="28"/>
          <w:szCs w:val="28"/>
          <w:lang w:val="en-GB"/>
        </w:rPr>
      </w:pPr>
      <w:r w:rsidRPr="0090126B">
        <w:rPr>
          <w:rFonts w:ascii="Arial" w:hAnsi="Arial"/>
          <w:b/>
          <w:bCs/>
          <w:sz w:val="28"/>
          <w:szCs w:val="28"/>
          <w:lang w:val="en-GB"/>
        </w:rPr>
        <w:lastRenderedPageBreak/>
        <w:t>Content</w:t>
      </w:r>
      <w:r w:rsidR="004162A3" w:rsidRPr="0090126B">
        <w:rPr>
          <w:rFonts w:ascii="Arial" w:hAnsi="Arial"/>
          <w:b/>
          <w:bCs/>
          <w:sz w:val="28"/>
          <w:szCs w:val="28"/>
          <w:lang w:val="en-GB"/>
        </w:rPr>
        <w:t>s:</w:t>
      </w:r>
    </w:p>
    <w:p w:rsidR="00266710" w:rsidRPr="0090126B" w:rsidRDefault="00266710" w:rsidP="004162A3">
      <w:pPr>
        <w:rPr>
          <w:rFonts w:ascii="Arial" w:hAnsi="Arial"/>
          <w:b/>
          <w:bCs/>
          <w:sz w:val="28"/>
          <w:szCs w:val="28"/>
          <w:lang w:val="en-GB"/>
        </w:rPr>
      </w:pPr>
    </w:p>
    <w:p w:rsidR="00266710" w:rsidRPr="00266710" w:rsidRDefault="00266710">
      <w:pPr>
        <w:pStyle w:val="Kazalovsebine1"/>
        <w:tabs>
          <w:tab w:val="left" w:pos="480"/>
          <w:tab w:val="right" w:leader="dot" w:pos="9062"/>
        </w:tabs>
        <w:rPr>
          <w:rFonts w:ascii="Arial" w:eastAsiaTheme="minorEastAsia" w:hAnsi="Arial" w:cs="Arial"/>
          <w:noProof/>
          <w:sz w:val="20"/>
          <w:szCs w:val="20"/>
        </w:rPr>
      </w:pPr>
      <w:r w:rsidRPr="00266710">
        <w:rPr>
          <w:rFonts w:ascii="Arial" w:hAnsi="Arial" w:cs="Arial"/>
          <w:b/>
          <w:bCs/>
          <w:sz w:val="20"/>
          <w:szCs w:val="20"/>
          <w:lang w:val="en-GB"/>
        </w:rPr>
        <w:fldChar w:fldCharType="begin"/>
      </w:r>
      <w:r w:rsidRPr="00266710">
        <w:rPr>
          <w:rFonts w:ascii="Arial" w:hAnsi="Arial" w:cs="Arial"/>
          <w:b/>
          <w:bCs/>
          <w:sz w:val="20"/>
          <w:szCs w:val="20"/>
          <w:lang w:val="en-GB"/>
        </w:rPr>
        <w:instrText xml:space="preserve"> TOC \o "1-1" \h \z \u \t "Naslov 3;2;Naslov 4;3" </w:instrText>
      </w:r>
      <w:r w:rsidRPr="00266710">
        <w:rPr>
          <w:rFonts w:ascii="Arial" w:hAnsi="Arial" w:cs="Arial"/>
          <w:b/>
          <w:bCs/>
          <w:sz w:val="20"/>
          <w:szCs w:val="20"/>
          <w:lang w:val="en-GB"/>
        </w:rPr>
        <w:fldChar w:fldCharType="separate"/>
      </w:r>
      <w:hyperlink w:anchor="_Toc120874241" w:history="1">
        <w:r w:rsidRPr="00266710">
          <w:rPr>
            <w:rStyle w:val="Hiperpovezava"/>
            <w:rFonts w:ascii="Arial" w:hAnsi="Arial" w:cs="Arial"/>
            <w:noProof/>
            <w:sz w:val="20"/>
            <w:szCs w:val="20"/>
          </w:rPr>
          <w:t>1.</w:t>
        </w:r>
        <w:r w:rsidRPr="00266710">
          <w:rPr>
            <w:rFonts w:ascii="Arial" w:eastAsiaTheme="minorEastAsia" w:hAnsi="Arial" w:cs="Arial"/>
            <w:noProof/>
            <w:sz w:val="20"/>
            <w:szCs w:val="20"/>
          </w:rPr>
          <w:tab/>
        </w:r>
        <w:r w:rsidRPr="00266710">
          <w:rPr>
            <w:rStyle w:val="Hiperpovezava"/>
            <w:rFonts w:ascii="Arial" w:hAnsi="Arial" w:cs="Arial"/>
            <w:noProof/>
            <w:sz w:val="20"/>
            <w:szCs w:val="20"/>
          </w:rPr>
          <w:t>EFFICACY</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_Toc120874241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4</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2" w:history="1">
        <w:r w:rsidRPr="00266710">
          <w:rPr>
            <w:rStyle w:val="Hiperpovezava"/>
            <w:rFonts w:ascii="Arial" w:hAnsi="Arial" w:cs="Arial"/>
            <w:noProof/>
            <w:sz w:val="20"/>
            <w:szCs w:val="20"/>
          </w:rPr>
          <w:t>1.1</w:t>
        </w:r>
        <w:r w:rsidRPr="00266710">
          <w:rPr>
            <w:rFonts w:ascii="Arial" w:eastAsiaTheme="minorEastAsia" w:hAnsi="Arial" w:cs="Arial"/>
            <w:noProof/>
            <w:sz w:val="20"/>
            <w:szCs w:val="20"/>
          </w:rPr>
          <w:tab/>
        </w:r>
        <w:r w:rsidRPr="00266710">
          <w:rPr>
            <w:rStyle w:val="Hiperpovezava"/>
            <w:rFonts w:ascii="Arial" w:hAnsi="Arial" w:cs="Arial"/>
            <w:noProof/>
            <w:sz w:val="20"/>
            <w:szCs w:val="20"/>
          </w:rPr>
          <w:t>Minimum effective dose</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_Toc120874242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4</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3" w:history="1">
        <w:r w:rsidRPr="00266710">
          <w:rPr>
            <w:rStyle w:val="Hiperpovezava"/>
            <w:rFonts w:ascii="Arial" w:hAnsi="Arial" w:cs="Arial"/>
            <w:noProof/>
            <w:sz w:val="20"/>
            <w:szCs w:val="20"/>
          </w:rPr>
          <w:t>1.2</w:t>
        </w:r>
        <w:r w:rsidRPr="00266710">
          <w:rPr>
            <w:rFonts w:ascii="Arial" w:eastAsiaTheme="minorEastAsia" w:hAnsi="Arial" w:cs="Arial"/>
            <w:noProof/>
            <w:sz w:val="20"/>
            <w:szCs w:val="20"/>
          </w:rPr>
          <w:tab/>
        </w:r>
        <w:r w:rsidRPr="00266710">
          <w:rPr>
            <w:rStyle w:val="Hiperpovezava"/>
            <w:rFonts w:ascii="Arial" w:hAnsi="Arial" w:cs="Arial"/>
            <w:noProof/>
            <w:sz w:val="20"/>
            <w:szCs w:val="20"/>
          </w:rPr>
          <w:t>Efficacy testing</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_Toc120874243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4</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4" w:history="1">
        <w:r w:rsidRPr="00266710">
          <w:rPr>
            <w:rStyle w:val="Hiperpovezava"/>
            <w:rFonts w:ascii="Arial" w:hAnsi="Arial" w:cs="Arial"/>
            <w:noProof/>
            <w:sz w:val="20"/>
            <w:szCs w:val="20"/>
          </w:rPr>
          <w:t>1.3</w:t>
        </w:r>
        <w:r w:rsidRPr="00266710">
          <w:rPr>
            <w:rFonts w:ascii="Arial" w:eastAsiaTheme="minorEastAsia" w:hAnsi="Arial" w:cs="Arial"/>
            <w:noProof/>
            <w:sz w:val="20"/>
            <w:szCs w:val="20"/>
          </w:rPr>
          <w:tab/>
        </w:r>
        <w:r w:rsidRPr="00266710">
          <w:rPr>
            <w:rStyle w:val="Hiperpovezava"/>
            <w:rFonts w:ascii="Arial" w:hAnsi="Arial" w:cs="Arial"/>
            <w:noProof/>
            <w:sz w:val="20"/>
            <w:szCs w:val="20"/>
          </w:rPr>
          <w:t>Adverse effects on treated crops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_Toc120874244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4</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5" w:history="1">
        <w:r w:rsidRPr="00266710">
          <w:rPr>
            <w:rStyle w:val="Hiperpovezava"/>
            <w:rFonts w:ascii="Arial" w:hAnsi="Arial" w:cs="Arial"/>
            <w:noProof/>
            <w:sz w:val="20"/>
            <w:szCs w:val="20"/>
          </w:rPr>
          <w:t>1.4</w:t>
        </w:r>
        <w:r w:rsidRPr="00266710">
          <w:rPr>
            <w:rFonts w:ascii="Arial" w:eastAsiaTheme="minorEastAsia" w:hAnsi="Arial" w:cs="Arial"/>
            <w:noProof/>
            <w:sz w:val="20"/>
            <w:szCs w:val="20"/>
          </w:rPr>
          <w:tab/>
        </w:r>
        <w:r w:rsidRPr="00266710">
          <w:rPr>
            <w:rStyle w:val="Hiperpovezava"/>
            <w:rFonts w:ascii="Arial" w:hAnsi="Arial" w:cs="Arial"/>
            <w:noProof/>
            <w:sz w:val="20"/>
            <w:szCs w:val="20"/>
          </w:rPr>
          <w:t>Succeeding crops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_Toc120874245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4</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6" w:history="1">
        <w:r w:rsidRPr="00266710">
          <w:rPr>
            <w:rStyle w:val="Hiperpovezava"/>
            <w:rFonts w:ascii="Arial" w:hAnsi="Arial" w:cs="Arial"/>
            <w:noProof/>
            <w:sz w:val="20"/>
            <w:szCs w:val="20"/>
          </w:rPr>
          <w:t>1.5</w:t>
        </w:r>
        <w:r w:rsidRPr="00266710">
          <w:rPr>
            <w:rFonts w:ascii="Arial" w:eastAsiaTheme="minorEastAsia" w:hAnsi="Arial" w:cs="Arial"/>
            <w:noProof/>
            <w:sz w:val="20"/>
            <w:szCs w:val="20"/>
          </w:rPr>
          <w:tab/>
        </w:r>
        <w:r w:rsidRPr="00266710">
          <w:rPr>
            <w:rStyle w:val="Hiperpovezava"/>
            <w:rFonts w:ascii="Arial" w:hAnsi="Arial" w:cs="Arial"/>
            <w:noProof/>
            <w:sz w:val="20"/>
            <w:szCs w:val="20"/>
          </w:rPr>
          <w:t>Resistance</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_Toc120874246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5</w:t>
        </w:r>
        <w:r w:rsidRPr="00266710">
          <w:rPr>
            <w:rFonts w:ascii="Arial" w:hAnsi="Arial" w:cs="Arial"/>
            <w:noProof/>
            <w:webHidden/>
            <w:sz w:val="20"/>
            <w:szCs w:val="20"/>
          </w:rPr>
          <w:fldChar w:fldCharType="end"/>
        </w:r>
      </w:hyperlink>
    </w:p>
    <w:p w:rsidR="00266710" w:rsidRPr="00266710" w:rsidRDefault="00266710">
      <w:pPr>
        <w:pStyle w:val="Kazalovsebine1"/>
        <w:tabs>
          <w:tab w:val="left" w:pos="480"/>
          <w:tab w:val="right" w:leader="dot" w:pos="9062"/>
        </w:tabs>
        <w:rPr>
          <w:rFonts w:ascii="Arial" w:eastAsiaTheme="minorEastAsia" w:hAnsi="Arial" w:cs="Arial"/>
          <w:noProof/>
          <w:sz w:val="20"/>
          <w:szCs w:val="20"/>
        </w:rPr>
      </w:pPr>
      <w:hyperlink w:anchor="_Toc120874247" w:history="1">
        <w:r w:rsidRPr="00266710">
          <w:rPr>
            <w:rStyle w:val="Hiperpovezava"/>
            <w:rFonts w:ascii="Arial" w:hAnsi="Arial" w:cs="Arial"/>
            <w:noProof/>
            <w:sz w:val="20"/>
            <w:szCs w:val="20"/>
          </w:rPr>
          <w:t>2.</w:t>
        </w:r>
        <w:r w:rsidRPr="00266710">
          <w:rPr>
            <w:rFonts w:ascii="Arial" w:eastAsiaTheme="minorEastAsia" w:hAnsi="Arial" w:cs="Arial"/>
            <w:noProof/>
            <w:sz w:val="20"/>
            <w:szCs w:val="20"/>
          </w:rPr>
          <w:tab/>
        </w:r>
        <w:r w:rsidRPr="00266710">
          <w:rPr>
            <w:rStyle w:val="Hiperpovezava"/>
            <w:rFonts w:ascii="Arial" w:hAnsi="Arial" w:cs="Arial"/>
            <w:noProof/>
            <w:sz w:val="20"/>
            <w:szCs w:val="20"/>
          </w:rPr>
          <w:t>TOXICOLOGY INCLUDING OPERATOR AND WORKER EXPOSURE</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_Toc120874247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6</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8" w:history="1">
        <w:r w:rsidRPr="00266710">
          <w:rPr>
            <w:rStyle w:val="Hiperpovezava"/>
            <w:rFonts w:ascii="Arial" w:hAnsi="Arial" w:cs="Arial"/>
            <w:noProof/>
            <w:sz w:val="20"/>
            <w:szCs w:val="20"/>
          </w:rPr>
          <w:t>2.1</w:t>
        </w:r>
        <w:r w:rsidRPr="00266710">
          <w:rPr>
            <w:rFonts w:ascii="Arial" w:eastAsiaTheme="minorEastAsia" w:hAnsi="Arial" w:cs="Arial"/>
            <w:noProof/>
            <w:sz w:val="20"/>
            <w:szCs w:val="20"/>
          </w:rPr>
          <w:tab/>
        </w:r>
        <w:r w:rsidRPr="00266710">
          <w:rPr>
            <w:rStyle w:val="Hiperpovezava"/>
            <w:rFonts w:ascii="Arial" w:hAnsi="Arial" w:cs="Arial"/>
            <w:noProof/>
            <w:sz w:val="20"/>
            <w:szCs w:val="20"/>
          </w:rPr>
          <w:t>General</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_Toc120874248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6</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49" w:history="1">
        <w:r w:rsidRPr="00266710">
          <w:rPr>
            <w:rStyle w:val="Hiperpovezava"/>
            <w:rFonts w:ascii="Arial" w:hAnsi="Arial" w:cs="Arial"/>
            <w:noProof/>
            <w:sz w:val="20"/>
            <w:szCs w:val="20"/>
          </w:rPr>
          <w:t>2.2</w:t>
        </w:r>
        <w:r w:rsidRPr="00266710">
          <w:rPr>
            <w:rFonts w:ascii="Arial" w:eastAsiaTheme="minorEastAsia" w:hAnsi="Arial" w:cs="Arial"/>
            <w:noProof/>
            <w:sz w:val="20"/>
            <w:szCs w:val="20"/>
          </w:rPr>
          <w:tab/>
        </w:r>
        <w:r w:rsidRPr="00266710">
          <w:rPr>
            <w:rStyle w:val="Hiperpovezava"/>
            <w:rFonts w:ascii="Arial" w:hAnsi="Arial" w:cs="Arial"/>
            <w:noProof/>
            <w:sz w:val="20"/>
            <w:szCs w:val="20"/>
          </w:rPr>
          <w:t>Classification and labelling of plant protection products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_Toc120874249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6</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0" w:history="1">
        <w:r w:rsidRPr="00266710">
          <w:rPr>
            <w:rStyle w:val="Hiperpovezava"/>
            <w:rFonts w:ascii="Arial" w:hAnsi="Arial" w:cs="Arial"/>
            <w:noProof/>
            <w:sz w:val="20"/>
            <w:szCs w:val="20"/>
          </w:rPr>
          <w:t>2.3</w:t>
        </w:r>
        <w:r w:rsidRPr="00266710">
          <w:rPr>
            <w:rFonts w:ascii="Arial" w:eastAsiaTheme="minorEastAsia" w:hAnsi="Arial" w:cs="Arial"/>
            <w:noProof/>
            <w:sz w:val="20"/>
            <w:szCs w:val="20"/>
          </w:rPr>
          <w:tab/>
        </w:r>
        <w:r w:rsidRPr="00266710">
          <w:rPr>
            <w:rStyle w:val="Hiperpovezava"/>
            <w:rFonts w:ascii="Arial" w:hAnsi="Arial" w:cs="Arial"/>
            <w:noProof/>
            <w:sz w:val="20"/>
            <w:szCs w:val="20"/>
          </w:rPr>
          <w:t>Operator exposure (OPEX)</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_Toc120874250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7</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1" w:history="1">
        <w:r w:rsidRPr="00266710">
          <w:rPr>
            <w:rStyle w:val="Hiperpovezava"/>
            <w:rFonts w:ascii="Arial" w:hAnsi="Arial" w:cs="Arial"/>
            <w:noProof/>
            <w:sz w:val="20"/>
            <w:szCs w:val="20"/>
          </w:rPr>
          <w:t>2.4</w:t>
        </w:r>
        <w:r w:rsidRPr="00266710">
          <w:rPr>
            <w:rFonts w:ascii="Arial" w:eastAsiaTheme="minorEastAsia" w:hAnsi="Arial" w:cs="Arial"/>
            <w:noProof/>
            <w:sz w:val="20"/>
            <w:szCs w:val="20"/>
          </w:rPr>
          <w:tab/>
        </w:r>
        <w:r w:rsidRPr="00266710">
          <w:rPr>
            <w:rStyle w:val="Hiperpovezava"/>
            <w:rFonts w:ascii="Arial" w:hAnsi="Arial" w:cs="Arial"/>
            <w:noProof/>
            <w:sz w:val="20"/>
            <w:szCs w:val="20"/>
          </w:rPr>
          <w:t>Worker (re-entry) exposure</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_Toc120874251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8</w:t>
        </w:r>
        <w:r w:rsidRPr="00266710">
          <w:rPr>
            <w:rFonts w:ascii="Arial" w:hAnsi="Arial" w:cs="Arial"/>
            <w:noProof/>
            <w:webHidden/>
            <w:sz w:val="20"/>
            <w:szCs w:val="20"/>
          </w:rPr>
          <w:fldChar w:fldCharType="end"/>
        </w:r>
      </w:hyperlink>
    </w:p>
    <w:p w:rsidR="00266710" w:rsidRPr="00266710" w:rsidRDefault="00266710">
      <w:pPr>
        <w:pStyle w:val="Kazalovsebine3"/>
        <w:tabs>
          <w:tab w:val="left" w:pos="1320"/>
          <w:tab w:val="right" w:leader="dot" w:pos="9062"/>
        </w:tabs>
        <w:rPr>
          <w:rFonts w:ascii="Arial" w:eastAsiaTheme="minorEastAsia" w:hAnsi="Arial" w:cs="Arial"/>
          <w:noProof/>
          <w:sz w:val="20"/>
          <w:szCs w:val="20"/>
        </w:rPr>
      </w:pPr>
      <w:hyperlink w:anchor="_Toc120874252" w:history="1">
        <w:r w:rsidRPr="00266710">
          <w:rPr>
            <w:rStyle w:val="Hiperpovezava"/>
            <w:rFonts w:ascii="Arial" w:hAnsi="Arial" w:cs="Arial"/>
            <w:noProof/>
            <w:sz w:val="20"/>
            <w:szCs w:val="20"/>
          </w:rPr>
          <w:t>2.4.1</w:t>
        </w:r>
        <w:r w:rsidRPr="00266710">
          <w:rPr>
            <w:rFonts w:ascii="Arial" w:eastAsiaTheme="minorEastAsia" w:hAnsi="Arial" w:cs="Arial"/>
            <w:noProof/>
            <w:sz w:val="20"/>
            <w:szCs w:val="20"/>
          </w:rPr>
          <w:tab/>
        </w:r>
        <w:r w:rsidRPr="00266710">
          <w:rPr>
            <w:rStyle w:val="Hiperpovezava"/>
            <w:rFonts w:ascii="Arial" w:hAnsi="Arial" w:cs="Arial"/>
            <w:noProof/>
            <w:sz w:val="20"/>
            <w:szCs w:val="20"/>
          </w:rPr>
          <w:t>Data</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_Toc120874252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8</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3" w:history="1">
        <w:r w:rsidRPr="00266710">
          <w:rPr>
            <w:rStyle w:val="Hiperpovezava"/>
            <w:rFonts w:ascii="Arial" w:hAnsi="Arial" w:cs="Arial"/>
            <w:noProof/>
            <w:sz w:val="20"/>
            <w:szCs w:val="20"/>
          </w:rPr>
          <w:t>2.5</w:t>
        </w:r>
        <w:r w:rsidRPr="00266710">
          <w:rPr>
            <w:rFonts w:ascii="Arial" w:eastAsiaTheme="minorEastAsia" w:hAnsi="Arial" w:cs="Arial"/>
            <w:noProof/>
            <w:sz w:val="20"/>
            <w:szCs w:val="20"/>
          </w:rPr>
          <w:tab/>
        </w:r>
        <w:r w:rsidRPr="00266710">
          <w:rPr>
            <w:rStyle w:val="Hiperpovezava"/>
            <w:rFonts w:ascii="Arial" w:hAnsi="Arial" w:cs="Arial"/>
            <w:noProof/>
            <w:sz w:val="20"/>
            <w:szCs w:val="20"/>
          </w:rPr>
          <w:t>Bystander and resident exposure</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_Toc120874253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8</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4" w:history="1">
        <w:r w:rsidRPr="00266710">
          <w:rPr>
            <w:rStyle w:val="Hiperpovezava"/>
            <w:rFonts w:ascii="Arial" w:hAnsi="Arial" w:cs="Arial"/>
            <w:noProof/>
            <w:sz w:val="20"/>
            <w:szCs w:val="20"/>
          </w:rPr>
          <w:t>2.6</w:t>
        </w:r>
        <w:r w:rsidRPr="00266710">
          <w:rPr>
            <w:rFonts w:ascii="Arial" w:eastAsiaTheme="minorEastAsia" w:hAnsi="Arial" w:cs="Arial"/>
            <w:noProof/>
            <w:sz w:val="20"/>
            <w:szCs w:val="20"/>
          </w:rPr>
          <w:tab/>
        </w:r>
        <w:r w:rsidRPr="00266710">
          <w:rPr>
            <w:rStyle w:val="Hiperpovezava"/>
            <w:rFonts w:ascii="Arial" w:hAnsi="Arial" w:cs="Arial"/>
            <w:noProof/>
            <w:sz w:val="20"/>
            <w:szCs w:val="20"/>
          </w:rPr>
          <w:t>Combined exposure</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_Toc120874254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8</w:t>
        </w:r>
        <w:r w:rsidRPr="00266710">
          <w:rPr>
            <w:rFonts w:ascii="Arial" w:hAnsi="Arial" w:cs="Arial"/>
            <w:noProof/>
            <w:webHidden/>
            <w:sz w:val="20"/>
            <w:szCs w:val="20"/>
          </w:rPr>
          <w:fldChar w:fldCharType="end"/>
        </w:r>
      </w:hyperlink>
    </w:p>
    <w:p w:rsidR="00266710" w:rsidRPr="00266710" w:rsidRDefault="00266710">
      <w:pPr>
        <w:pStyle w:val="Kazalovsebine1"/>
        <w:tabs>
          <w:tab w:val="left" w:pos="480"/>
          <w:tab w:val="right" w:leader="dot" w:pos="9062"/>
        </w:tabs>
        <w:rPr>
          <w:rFonts w:ascii="Arial" w:eastAsiaTheme="minorEastAsia" w:hAnsi="Arial" w:cs="Arial"/>
          <w:noProof/>
          <w:sz w:val="20"/>
          <w:szCs w:val="20"/>
        </w:rPr>
      </w:pPr>
      <w:hyperlink w:anchor="_Toc120874255" w:history="1">
        <w:r w:rsidRPr="00266710">
          <w:rPr>
            <w:rStyle w:val="Hiperpovezava"/>
            <w:rFonts w:ascii="Arial" w:hAnsi="Arial" w:cs="Arial"/>
            <w:noProof/>
            <w:sz w:val="20"/>
            <w:szCs w:val="20"/>
            <w:lang w:bidi="si-LK"/>
          </w:rPr>
          <w:t>3.</w:t>
        </w:r>
        <w:r w:rsidRPr="00266710">
          <w:rPr>
            <w:rFonts w:ascii="Arial" w:eastAsiaTheme="minorEastAsia" w:hAnsi="Arial" w:cs="Arial"/>
            <w:noProof/>
            <w:sz w:val="20"/>
            <w:szCs w:val="20"/>
          </w:rPr>
          <w:tab/>
        </w:r>
        <w:r w:rsidRPr="00266710">
          <w:rPr>
            <w:rStyle w:val="Hiperpovezava"/>
            <w:rFonts w:ascii="Arial" w:hAnsi="Arial" w:cs="Arial"/>
            <w:noProof/>
            <w:sz w:val="20"/>
            <w:szCs w:val="20"/>
            <w:lang w:bidi="si-LK"/>
          </w:rPr>
          <w:t>FATE AND BEHAVIOUR</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_Toc120874255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10</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6" w:history="1">
        <w:r w:rsidRPr="00266710">
          <w:rPr>
            <w:rStyle w:val="Hiperpovezava"/>
            <w:rFonts w:ascii="Arial" w:hAnsi="Arial" w:cs="Arial"/>
            <w:noProof/>
            <w:sz w:val="20"/>
            <w:szCs w:val="20"/>
          </w:rPr>
          <w:t>3.1</w:t>
        </w:r>
        <w:r w:rsidRPr="00266710">
          <w:rPr>
            <w:rFonts w:ascii="Arial" w:eastAsiaTheme="minorEastAsia" w:hAnsi="Arial" w:cs="Arial"/>
            <w:noProof/>
            <w:sz w:val="20"/>
            <w:szCs w:val="20"/>
          </w:rPr>
          <w:tab/>
        </w:r>
        <w:r w:rsidRPr="00266710">
          <w:rPr>
            <w:rStyle w:val="Hiperpovezava"/>
            <w:rFonts w:ascii="Arial" w:hAnsi="Arial" w:cs="Arial"/>
            <w:noProof/>
            <w:sz w:val="20"/>
            <w:szCs w:val="20"/>
          </w:rPr>
          <w:t>Predicted Environmental Concentration in Groundwater (PEC</w:t>
        </w:r>
        <w:r w:rsidRPr="00266710">
          <w:rPr>
            <w:rStyle w:val="Hiperpovezava"/>
            <w:rFonts w:ascii="Arial" w:hAnsi="Arial" w:cs="Arial"/>
            <w:noProof/>
            <w:sz w:val="20"/>
            <w:szCs w:val="20"/>
            <w:vertAlign w:val="subscript"/>
          </w:rPr>
          <w:t>GW</w:t>
        </w:r>
        <w:r w:rsidRPr="00266710">
          <w:rPr>
            <w:rStyle w:val="Hiperpovezava"/>
            <w:rFonts w:ascii="Arial" w:hAnsi="Arial" w:cs="Arial"/>
            <w:noProof/>
            <w:sz w:val="20"/>
            <w:szCs w:val="20"/>
          </w:rPr>
          <w:t>)</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_Toc120874256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10</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7" w:history="1">
        <w:r w:rsidRPr="00266710">
          <w:rPr>
            <w:rStyle w:val="Hiperpovezava"/>
            <w:rFonts w:ascii="Arial" w:hAnsi="Arial" w:cs="Arial"/>
            <w:noProof/>
            <w:sz w:val="20"/>
            <w:szCs w:val="20"/>
          </w:rPr>
          <w:t>3.2</w:t>
        </w:r>
        <w:r w:rsidRPr="00266710">
          <w:rPr>
            <w:rFonts w:ascii="Arial" w:eastAsiaTheme="minorEastAsia" w:hAnsi="Arial" w:cs="Arial"/>
            <w:noProof/>
            <w:sz w:val="20"/>
            <w:szCs w:val="20"/>
          </w:rPr>
          <w:tab/>
        </w:r>
        <w:r w:rsidRPr="00266710">
          <w:rPr>
            <w:rStyle w:val="Hiperpovezava"/>
            <w:rFonts w:ascii="Arial" w:hAnsi="Arial" w:cs="Arial"/>
            <w:noProof/>
            <w:sz w:val="20"/>
            <w:szCs w:val="20"/>
          </w:rPr>
          <w:t>Predicted Environmental Concentration in Groundwater (PEC</w:t>
        </w:r>
        <w:r w:rsidRPr="00266710">
          <w:rPr>
            <w:rStyle w:val="Hiperpovezava"/>
            <w:rFonts w:ascii="Arial" w:hAnsi="Arial" w:cs="Arial"/>
            <w:noProof/>
            <w:sz w:val="20"/>
            <w:szCs w:val="20"/>
            <w:vertAlign w:val="subscript"/>
          </w:rPr>
          <w:t>GW</w:t>
        </w:r>
        <w:r w:rsidRPr="00266710">
          <w:rPr>
            <w:rStyle w:val="Hiperpovezava"/>
            <w:rFonts w:ascii="Arial" w:hAnsi="Arial" w:cs="Arial"/>
            <w:noProof/>
            <w:sz w:val="20"/>
            <w:szCs w:val="20"/>
          </w:rPr>
          <w:t>)</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_Toc120874257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10</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58" w:history="1">
        <w:r w:rsidRPr="00266710">
          <w:rPr>
            <w:rStyle w:val="Hiperpovezava"/>
            <w:rFonts w:ascii="Arial" w:hAnsi="Arial" w:cs="Arial"/>
            <w:noProof/>
            <w:sz w:val="20"/>
            <w:szCs w:val="20"/>
          </w:rPr>
          <w:t>3.3</w:t>
        </w:r>
        <w:r w:rsidRPr="00266710">
          <w:rPr>
            <w:rFonts w:ascii="Arial" w:eastAsiaTheme="minorEastAsia" w:hAnsi="Arial" w:cs="Arial"/>
            <w:noProof/>
            <w:sz w:val="20"/>
            <w:szCs w:val="20"/>
          </w:rPr>
          <w:tab/>
        </w:r>
        <w:r w:rsidRPr="00266710">
          <w:rPr>
            <w:rStyle w:val="Hiperpovezava"/>
            <w:rFonts w:ascii="Arial" w:hAnsi="Arial" w:cs="Arial"/>
            <w:noProof/>
            <w:sz w:val="20"/>
            <w:szCs w:val="20"/>
          </w:rPr>
          <w:t>Predicted Environmental Concentration in Surface water/Sediment (PECSW)</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_Toc120874258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10</w:t>
        </w:r>
        <w:r w:rsidRPr="00266710">
          <w:rPr>
            <w:rFonts w:ascii="Arial" w:hAnsi="Arial" w:cs="Arial"/>
            <w:noProof/>
            <w:webHidden/>
            <w:sz w:val="20"/>
            <w:szCs w:val="20"/>
          </w:rPr>
          <w:fldChar w:fldCharType="end"/>
        </w:r>
      </w:hyperlink>
    </w:p>
    <w:p w:rsidR="00266710" w:rsidRPr="00266710" w:rsidRDefault="00266710">
      <w:pPr>
        <w:pStyle w:val="Kazalovsebine1"/>
        <w:tabs>
          <w:tab w:val="left" w:pos="480"/>
          <w:tab w:val="right" w:leader="dot" w:pos="9062"/>
        </w:tabs>
        <w:rPr>
          <w:rFonts w:ascii="Arial" w:eastAsiaTheme="minorEastAsia" w:hAnsi="Arial" w:cs="Arial"/>
          <w:noProof/>
          <w:sz w:val="20"/>
          <w:szCs w:val="20"/>
        </w:rPr>
      </w:pPr>
      <w:hyperlink w:anchor="_Toc120874259" w:history="1">
        <w:r w:rsidRPr="00266710">
          <w:rPr>
            <w:rStyle w:val="Hiperpovezava"/>
            <w:rFonts w:ascii="Arial" w:hAnsi="Arial" w:cs="Arial"/>
            <w:noProof/>
            <w:sz w:val="20"/>
            <w:szCs w:val="20"/>
          </w:rPr>
          <w:t>4.</w:t>
        </w:r>
        <w:r w:rsidRPr="00266710">
          <w:rPr>
            <w:rFonts w:ascii="Arial" w:eastAsiaTheme="minorEastAsia" w:hAnsi="Arial" w:cs="Arial"/>
            <w:noProof/>
            <w:sz w:val="20"/>
            <w:szCs w:val="20"/>
          </w:rPr>
          <w:tab/>
        </w:r>
        <w:r w:rsidRPr="00266710">
          <w:rPr>
            <w:rStyle w:val="Hiperpovezava"/>
            <w:rFonts w:ascii="Arial" w:hAnsi="Arial" w:cs="Arial"/>
            <w:noProof/>
            <w:sz w:val="20"/>
            <w:szCs w:val="20"/>
          </w:rPr>
          <w:t>ECOTOXICOLOGY</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_Toc120874259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11</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60" w:history="1">
        <w:r w:rsidRPr="00266710">
          <w:rPr>
            <w:rStyle w:val="Hiperpovezava"/>
            <w:rFonts w:ascii="Arial" w:hAnsi="Arial" w:cs="Arial"/>
            <w:noProof/>
            <w:sz w:val="20"/>
            <w:szCs w:val="20"/>
          </w:rPr>
          <w:t>4.1</w:t>
        </w:r>
        <w:r w:rsidRPr="00266710">
          <w:rPr>
            <w:rFonts w:ascii="Arial" w:eastAsiaTheme="minorEastAsia" w:hAnsi="Arial" w:cs="Arial"/>
            <w:noProof/>
            <w:sz w:val="20"/>
            <w:szCs w:val="20"/>
          </w:rPr>
          <w:tab/>
        </w:r>
        <w:r w:rsidRPr="00266710">
          <w:rPr>
            <w:rStyle w:val="Hiperpovezava"/>
            <w:rFonts w:ascii="Arial" w:hAnsi="Arial" w:cs="Arial"/>
            <w:noProof/>
            <w:sz w:val="20"/>
            <w:szCs w:val="20"/>
          </w:rPr>
          <w:t>Aquatics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_Toc120874260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11</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61" w:history="1">
        <w:r w:rsidRPr="00266710">
          <w:rPr>
            <w:rStyle w:val="Hiperpovezava"/>
            <w:rFonts w:ascii="Arial" w:hAnsi="Arial" w:cs="Arial"/>
            <w:noProof/>
            <w:sz w:val="20"/>
            <w:szCs w:val="20"/>
          </w:rPr>
          <w:t>4.2</w:t>
        </w:r>
        <w:r w:rsidRPr="00266710">
          <w:rPr>
            <w:rFonts w:ascii="Arial" w:eastAsiaTheme="minorEastAsia" w:hAnsi="Arial" w:cs="Arial"/>
            <w:noProof/>
            <w:sz w:val="20"/>
            <w:szCs w:val="20"/>
          </w:rPr>
          <w:tab/>
        </w:r>
        <w:r w:rsidRPr="00266710">
          <w:rPr>
            <w:rStyle w:val="Hiperpovezava"/>
            <w:rFonts w:ascii="Arial" w:hAnsi="Arial" w:cs="Arial"/>
            <w:noProof/>
            <w:sz w:val="20"/>
            <w:szCs w:val="20"/>
          </w:rPr>
          <w:t>Birds and mammals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_Toc120874261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11</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62" w:history="1">
        <w:r w:rsidRPr="00266710">
          <w:rPr>
            <w:rStyle w:val="Hiperpovezava"/>
            <w:rFonts w:ascii="Arial" w:hAnsi="Arial" w:cs="Arial"/>
            <w:noProof/>
            <w:sz w:val="20"/>
            <w:szCs w:val="20"/>
          </w:rPr>
          <w:t>4.3</w:t>
        </w:r>
        <w:r w:rsidRPr="00266710">
          <w:rPr>
            <w:rFonts w:ascii="Arial" w:eastAsiaTheme="minorEastAsia" w:hAnsi="Arial" w:cs="Arial"/>
            <w:noProof/>
            <w:sz w:val="20"/>
            <w:szCs w:val="20"/>
          </w:rPr>
          <w:tab/>
        </w:r>
        <w:r w:rsidRPr="00266710">
          <w:rPr>
            <w:rStyle w:val="Hiperpovezava"/>
            <w:rFonts w:ascii="Arial" w:hAnsi="Arial" w:cs="Arial"/>
            <w:noProof/>
            <w:sz w:val="20"/>
            <w:szCs w:val="20"/>
          </w:rPr>
          <w:t>Non-target arthropods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_Toc120874262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11</w:t>
        </w:r>
        <w:r w:rsidRPr="00266710">
          <w:rPr>
            <w:rFonts w:ascii="Arial" w:hAnsi="Arial" w:cs="Arial"/>
            <w:noProof/>
            <w:webHidden/>
            <w:sz w:val="20"/>
            <w:szCs w:val="20"/>
          </w:rPr>
          <w:fldChar w:fldCharType="end"/>
        </w:r>
      </w:hyperlink>
    </w:p>
    <w:p w:rsidR="00266710" w:rsidRPr="00266710" w:rsidRDefault="00266710">
      <w:pPr>
        <w:pStyle w:val="Kazalovsebine2"/>
        <w:tabs>
          <w:tab w:val="left" w:pos="880"/>
          <w:tab w:val="right" w:leader="dot" w:pos="9062"/>
        </w:tabs>
        <w:rPr>
          <w:rFonts w:ascii="Arial" w:eastAsiaTheme="minorEastAsia" w:hAnsi="Arial" w:cs="Arial"/>
          <w:noProof/>
          <w:sz w:val="20"/>
          <w:szCs w:val="20"/>
        </w:rPr>
      </w:pPr>
      <w:hyperlink w:anchor="_Toc120874263" w:history="1">
        <w:r w:rsidRPr="00266710">
          <w:rPr>
            <w:rStyle w:val="Hiperpovezava"/>
            <w:rFonts w:ascii="Arial" w:hAnsi="Arial" w:cs="Arial"/>
            <w:noProof/>
            <w:sz w:val="20"/>
            <w:szCs w:val="20"/>
          </w:rPr>
          <w:t>4.4</w:t>
        </w:r>
        <w:r w:rsidRPr="00266710">
          <w:rPr>
            <w:rFonts w:ascii="Arial" w:eastAsiaTheme="minorEastAsia" w:hAnsi="Arial" w:cs="Arial"/>
            <w:noProof/>
            <w:sz w:val="20"/>
            <w:szCs w:val="20"/>
          </w:rPr>
          <w:tab/>
        </w:r>
        <w:r w:rsidRPr="00266710">
          <w:rPr>
            <w:rStyle w:val="Hiperpovezava"/>
            <w:rFonts w:ascii="Arial" w:hAnsi="Arial" w:cs="Arial"/>
            <w:noProof/>
            <w:sz w:val="20"/>
            <w:szCs w:val="20"/>
          </w:rPr>
          <w:t>Possible Risk Mitigation Options</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_Toc120874263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11</w:t>
        </w:r>
        <w:r w:rsidRPr="00266710">
          <w:rPr>
            <w:rFonts w:ascii="Arial" w:hAnsi="Arial" w:cs="Arial"/>
            <w:noProof/>
            <w:webHidden/>
            <w:sz w:val="20"/>
            <w:szCs w:val="20"/>
          </w:rPr>
          <w:fldChar w:fldCharType="end"/>
        </w:r>
      </w:hyperlink>
    </w:p>
    <w:p w:rsidR="00266710" w:rsidRPr="00266710" w:rsidRDefault="00266710">
      <w:pPr>
        <w:pStyle w:val="Kazalovsebine1"/>
        <w:tabs>
          <w:tab w:val="left" w:pos="480"/>
          <w:tab w:val="right" w:leader="dot" w:pos="9062"/>
        </w:tabs>
        <w:rPr>
          <w:rFonts w:ascii="Arial" w:eastAsiaTheme="minorEastAsia" w:hAnsi="Arial" w:cs="Arial"/>
          <w:noProof/>
          <w:sz w:val="20"/>
          <w:szCs w:val="20"/>
        </w:rPr>
      </w:pPr>
      <w:hyperlink w:anchor="_Toc120874264" w:history="1">
        <w:r w:rsidRPr="00266710">
          <w:rPr>
            <w:rStyle w:val="Hiperpovezava"/>
            <w:rFonts w:ascii="Arial" w:hAnsi="Arial" w:cs="Arial"/>
            <w:noProof/>
            <w:sz w:val="20"/>
            <w:szCs w:val="20"/>
          </w:rPr>
          <w:t>5.</w:t>
        </w:r>
        <w:r w:rsidRPr="00266710">
          <w:rPr>
            <w:rFonts w:ascii="Arial" w:eastAsiaTheme="minorEastAsia" w:hAnsi="Arial" w:cs="Arial"/>
            <w:noProof/>
            <w:sz w:val="20"/>
            <w:szCs w:val="20"/>
          </w:rPr>
          <w:tab/>
        </w:r>
        <w:r w:rsidRPr="00266710">
          <w:rPr>
            <w:rStyle w:val="Hiperpovezava"/>
            <w:rFonts w:ascii="Arial" w:hAnsi="Arial" w:cs="Arial"/>
            <w:noProof/>
            <w:sz w:val="20"/>
            <w:szCs w:val="20"/>
          </w:rPr>
          <w:t>COMPARATIVE ASSESSMENT</w:t>
        </w:r>
        <w:r w:rsidRPr="00266710">
          <w:rPr>
            <w:rFonts w:ascii="Arial" w:hAnsi="Arial" w:cs="Arial"/>
            <w:noProof/>
            <w:webHidden/>
            <w:sz w:val="20"/>
            <w:szCs w:val="20"/>
          </w:rPr>
          <w:tab/>
        </w:r>
        <w:r w:rsidRPr="00266710">
          <w:rPr>
            <w:rFonts w:ascii="Arial" w:hAnsi="Arial" w:cs="Arial"/>
            <w:noProof/>
            <w:webHidden/>
            <w:sz w:val="20"/>
            <w:szCs w:val="20"/>
          </w:rPr>
          <w:fldChar w:fldCharType="begin"/>
        </w:r>
        <w:r w:rsidRPr="00266710">
          <w:rPr>
            <w:rFonts w:ascii="Arial" w:hAnsi="Arial" w:cs="Arial"/>
            <w:noProof/>
            <w:webHidden/>
            <w:sz w:val="20"/>
            <w:szCs w:val="20"/>
          </w:rPr>
          <w:instrText xml:space="preserve"> PAGEREF _Toc120874264 \h </w:instrText>
        </w:r>
        <w:r w:rsidRPr="00266710">
          <w:rPr>
            <w:rFonts w:ascii="Arial" w:hAnsi="Arial" w:cs="Arial"/>
            <w:noProof/>
            <w:webHidden/>
            <w:sz w:val="20"/>
            <w:szCs w:val="20"/>
          </w:rPr>
        </w:r>
        <w:r w:rsidRPr="00266710">
          <w:rPr>
            <w:rFonts w:ascii="Arial" w:hAnsi="Arial" w:cs="Arial"/>
            <w:noProof/>
            <w:webHidden/>
            <w:sz w:val="20"/>
            <w:szCs w:val="20"/>
          </w:rPr>
          <w:fldChar w:fldCharType="separate"/>
        </w:r>
        <w:r w:rsidRPr="00266710">
          <w:rPr>
            <w:rFonts w:ascii="Arial" w:hAnsi="Arial" w:cs="Arial"/>
            <w:noProof/>
            <w:webHidden/>
            <w:sz w:val="20"/>
            <w:szCs w:val="20"/>
          </w:rPr>
          <w:t>12</w:t>
        </w:r>
        <w:r w:rsidRPr="00266710">
          <w:rPr>
            <w:rFonts w:ascii="Arial" w:hAnsi="Arial" w:cs="Arial"/>
            <w:noProof/>
            <w:webHidden/>
            <w:sz w:val="20"/>
            <w:szCs w:val="20"/>
          </w:rPr>
          <w:fldChar w:fldCharType="end"/>
        </w:r>
      </w:hyperlink>
    </w:p>
    <w:p w:rsidR="004F60E0" w:rsidRPr="0090126B" w:rsidRDefault="00266710" w:rsidP="002470CE">
      <w:pPr>
        <w:rPr>
          <w:rFonts w:ascii="Arial" w:hAnsi="Arial"/>
          <w:b/>
          <w:bCs/>
          <w:sz w:val="32"/>
          <w:szCs w:val="32"/>
          <w:lang w:val="en-GB"/>
        </w:rPr>
      </w:pPr>
      <w:r w:rsidRPr="00266710">
        <w:rPr>
          <w:rFonts w:ascii="Arial" w:hAnsi="Arial" w:cs="Arial"/>
          <w:b/>
          <w:bCs/>
          <w:sz w:val="20"/>
          <w:szCs w:val="20"/>
          <w:lang w:val="en-GB"/>
        </w:rPr>
        <w:fldChar w:fldCharType="end"/>
      </w:r>
    </w:p>
    <w:p w:rsidR="00327A4A" w:rsidRPr="0090126B" w:rsidRDefault="00327A4A" w:rsidP="002470CE">
      <w:pPr>
        <w:rPr>
          <w:rFonts w:ascii="Arial" w:hAnsi="Arial"/>
          <w:sz w:val="32"/>
          <w:szCs w:val="32"/>
          <w:lang w:val="en-GB"/>
        </w:rPr>
      </w:pPr>
    </w:p>
    <w:p w:rsidR="00327A4A" w:rsidRPr="0090126B" w:rsidRDefault="00A065A2" w:rsidP="00480581">
      <w:pPr>
        <w:rPr>
          <w:rFonts w:ascii="Arial" w:hAnsi="Arial"/>
          <w:b/>
          <w:bCs/>
          <w:lang w:val="en-GB"/>
        </w:rPr>
      </w:pPr>
      <w:r w:rsidRPr="0090126B">
        <w:rPr>
          <w:rFonts w:ascii="Arial" w:hAnsi="Arial"/>
          <w:b/>
          <w:bCs/>
          <w:lang w:val="en-GB"/>
        </w:rPr>
        <w:t>General</w:t>
      </w:r>
    </w:p>
    <w:p w:rsidR="00A065A2" w:rsidRPr="0090126B" w:rsidRDefault="00A065A2" w:rsidP="00480581">
      <w:pPr>
        <w:rPr>
          <w:rFonts w:ascii="Arial" w:hAnsi="Arial"/>
          <w:bCs/>
          <w:lang w:val="en-GB"/>
        </w:rPr>
      </w:pPr>
    </w:p>
    <w:p w:rsidR="00A065A2" w:rsidRPr="0090126B" w:rsidRDefault="00A065A2" w:rsidP="00A065A2">
      <w:pPr>
        <w:jc w:val="both"/>
        <w:rPr>
          <w:rFonts w:ascii="Arial" w:hAnsi="Arial" w:cs="Arial"/>
          <w:bCs/>
          <w:color w:val="000000"/>
          <w:lang w:val="en-GB"/>
        </w:rPr>
      </w:pPr>
      <w:r w:rsidRPr="0090126B">
        <w:rPr>
          <w:rFonts w:ascii="Arial" w:hAnsi="Arial" w:cs="Arial"/>
          <w:bCs/>
          <w:lang w:val="en-GB"/>
        </w:rPr>
        <w:t xml:space="preserve">Data submitted for the authorization of plant protection product should fulfil the data requirements laid down in the Commission Regulation 284/2013 of March 2013 </w:t>
      </w:r>
      <w:r w:rsidRPr="0090126B">
        <w:rPr>
          <w:rFonts w:ascii="Arial" w:hAnsi="Arial" w:cs="Arial"/>
          <w:bCs/>
          <w:color w:val="000000"/>
          <w:lang w:val="en-GB"/>
        </w:rPr>
        <w:t xml:space="preserve">setting out the data requirements for plant protection products, in accordance with Regulation (EC) No 1107/2009 of the European Parliament and of the Council concerning the placing of plant protection products on the market. </w:t>
      </w:r>
    </w:p>
    <w:p w:rsidR="00A065A2" w:rsidRPr="0090126B" w:rsidRDefault="00A065A2" w:rsidP="00A065A2">
      <w:pPr>
        <w:jc w:val="both"/>
        <w:rPr>
          <w:rFonts w:ascii="Arial" w:hAnsi="Arial" w:cs="Arial"/>
          <w:bCs/>
          <w:color w:val="000000"/>
          <w:lang w:val="en-GB"/>
        </w:rPr>
      </w:pPr>
    </w:p>
    <w:p w:rsidR="00A065A2" w:rsidRPr="0090126B" w:rsidRDefault="00A065A2" w:rsidP="00A065A2">
      <w:pPr>
        <w:jc w:val="both"/>
        <w:rPr>
          <w:rFonts w:ascii="Arial" w:hAnsi="Arial" w:cs="Arial"/>
          <w:bCs/>
          <w:color w:val="000000"/>
          <w:lang w:val="en-GB"/>
        </w:rPr>
      </w:pPr>
      <w:r w:rsidRPr="0090126B">
        <w:rPr>
          <w:rFonts w:ascii="Arial" w:hAnsi="Arial" w:cs="Arial"/>
          <w:bCs/>
          <w:color w:val="000000"/>
          <w:lang w:val="en-GB"/>
        </w:rPr>
        <w:t>Risk assessment should be performed according to the latest guideline documents and EU agreed methodologies.</w:t>
      </w:r>
    </w:p>
    <w:p w:rsidR="00A065A2" w:rsidRPr="0090126B" w:rsidRDefault="00A065A2" w:rsidP="00A065A2">
      <w:pPr>
        <w:jc w:val="both"/>
        <w:rPr>
          <w:rFonts w:ascii="Arial" w:hAnsi="Arial" w:cs="Arial"/>
          <w:bCs/>
          <w:color w:val="000000"/>
          <w:lang w:val="en-GB"/>
        </w:rPr>
      </w:pPr>
    </w:p>
    <w:p w:rsidR="00A065A2" w:rsidRPr="0004356A" w:rsidRDefault="00A065A2" w:rsidP="00A065A2">
      <w:pPr>
        <w:jc w:val="both"/>
        <w:rPr>
          <w:rFonts w:ascii="Arial" w:hAnsi="Arial" w:cs="Arial"/>
          <w:bCs/>
          <w:color w:val="000000"/>
          <w:lang w:val="en-GB"/>
        </w:rPr>
      </w:pPr>
      <w:proofErr w:type="spellStart"/>
      <w:r w:rsidRPr="0090126B">
        <w:rPr>
          <w:rFonts w:ascii="Arial" w:hAnsi="Arial" w:cs="Arial"/>
          <w:bCs/>
          <w:color w:val="000000"/>
          <w:lang w:val="en-GB"/>
        </w:rPr>
        <w:t>dRR</w:t>
      </w:r>
      <w:proofErr w:type="spellEnd"/>
      <w:r w:rsidRPr="0090126B">
        <w:rPr>
          <w:rFonts w:ascii="Arial" w:hAnsi="Arial" w:cs="Arial"/>
          <w:bCs/>
          <w:color w:val="000000"/>
          <w:lang w:val="en-GB"/>
        </w:rPr>
        <w:t xml:space="preserve"> should be submitted in the currently agreed format </w:t>
      </w:r>
      <w:r w:rsidRPr="0004356A">
        <w:rPr>
          <w:rFonts w:ascii="Arial" w:hAnsi="Arial" w:cs="Arial"/>
          <w:bCs/>
          <w:color w:val="000000"/>
          <w:lang w:val="en-GB"/>
        </w:rPr>
        <w:t xml:space="preserve">described in the guidance document </w:t>
      </w:r>
      <w:r w:rsidR="00136982" w:rsidRPr="0004356A">
        <w:rPr>
          <w:rFonts w:ascii="Arial" w:hAnsi="Arial" w:cs="Arial"/>
          <w:bCs/>
          <w:color w:val="000000"/>
          <w:lang w:val="en-GB"/>
        </w:rPr>
        <w:t>SANCO/6895/2009 rev 2.2</w:t>
      </w:r>
      <w:r w:rsidRPr="0004356A">
        <w:rPr>
          <w:rFonts w:ascii="Arial" w:hAnsi="Arial" w:cs="Arial"/>
          <w:bCs/>
          <w:color w:val="000000"/>
          <w:lang w:val="en-GB"/>
        </w:rPr>
        <w:t xml:space="preserve">. </w:t>
      </w:r>
    </w:p>
    <w:p w:rsidR="00A065A2" w:rsidRPr="0004356A" w:rsidRDefault="00A065A2" w:rsidP="00A065A2">
      <w:pPr>
        <w:pStyle w:val="Default"/>
        <w:jc w:val="both"/>
        <w:rPr>
          <w:rFonts w:ascii="Arial" w:hAnsi="Arial" w:cs="Arial"/>
          <w:bCs/>
          <w:lang w:val="en-GB"/>
        </w:rPr>
      </w:pPr>
    </w:p>
    <w:p w:rsidR="00266710" w:rsidRDefault="00266710">
      <w:pPr>
        <w:rPr>
          <w:rFonts w:ascii="Arial" w:hAnsi="Arial"/>
          <w:b/>
          <w:bCs/>
          <w:sz w:val="28"/>
          <w:lang w:val="en-GB"/>
        </w:rPr>
      </w:pPr>
      <w:r>
        <w:br w:type="page"/>
      </w:r>
    </w:p>
    <w:p w:rsidR="007B776B" w:rsidRPr="0090126B" w:rsidRDefault="007B776B" w:rsidP="00FE2417">
      <w:pPr>
        <w:pStyle w:val="Naslov1"/>
        <w:numPr>
          <w:ilvl w:val="0"/>
          <w:numId w:val="25"/>
        </w:numPr>
      </w:pPr>
      <w:bookmarkStart w:id="0" w:name="_Toc120874241"/>
      <w:r w:rsidRPr="0090126B">
        <w:lastRenderedPageBreak/>
        <w:t>EFFICACY</w:t>
      </w:r>
      <w:bookmarkEnd w:id="0"/>
      <w:r w:rsidRPr="0090126B">
        <w:t xml:space="preserve"> </w:t>
      </w:r>
    </w:p>
    <w:p w:rsidR="00FF0304" w:rsidRPr="0090126B" w:rsidRDefault="00FF0304" w:rsidP="007B776B">
      <w:pPr>
        <w:jc w:val="both"/>
        <w:rPr>
          <w:rFonts w:ascii="Arial" w:hAnsi="Arial"/>
          <w:b/>
          <w:bCs/>
          <w:sz w:val="28"/>
          <w:szCs w:val="28"/>
          <w:lang w:val="en-GB"/>
        </w:rPr>
      </w:pPr>
    </w:p>
    <w:p w:rsidR="007B776B" w:rsidRPr="0090126B" w:rsidRDefault="007B776B" w:rsidP="007B776B">
      <w:pPr>
        <w:ind w:left="360"/>
        <w:rPr>
          <w:rFonts w:ascii="Arial" w:hAnsi="Arial"/>
          <w:b/>
          <w:bCs/>
          <w:lang w:val="en-GB"/>
        </w:rPr>
      </w:pPr>
    </w:p>
    <w:p w:rsidR="008B30E4" w:rsidRPr="00FE2417" w:rsidRDefault="008B30E4" w:rsidP="00FE2417">
      <w:pPr>
        <w:pStyle w:val="Naslov3"/>
      </w:pPr>
      <w:bookmarkStart w:id="1" w:name="_Toc120874242"/>
      <w:r w:rsidRPr="00FE2417">
        <w:t>Minimum effective dose</w:t>
      </w:r>
      <w:bookmarkEnd w:id="1"/>
    </w:p>
    <w:p w:rsidR="00F05E19" w:rsidRPr="00E813B2" w:rsidRDefault="00F05E19" w:rsidP="00F05E19">
      <w:pPr>
        <w:pStyle w:val="Odstavekseznama"/>
        <w:numPr>
          <w:ilvl w:val="0"/>
          <w:numId w:val="14"/>
        </w:numPr>
        <w:jc w:val="both"/>
        <w:rPr>
          <w:rFonts w:ascii="Arial" w:hAnsi="Arial" w:cs="Arial"/>
          <w:bCs/>
          <w:lang w:val="en-GB"/>
        </w:rPr>
      </w:pPr>
      <w:r w:rsidRPr="00E32836">
        <w:rPr>
          <w:rFonts w:ascii="Arial" w:hAnsi="Arial" w:cs="Arial"/>
          <w:bCs/>
          <w:lang w:val="en-GB"/>
        </w:rPr>
        <w:t xml:space="preserve">Slovenia is a member of the group of countries that belong to South – East </w:t>
      </w:r>
      <w:r w:rsidR="005A5D17">
        <w:rPr>
          <w:rFonts w:ascii="Arial" w:hAnsi="Arial" w:cs="Arial"/>
          <w:bCs/>
          <w:lang w:val="en-GB"/>
        </w:rPr>
        <w:t xml:space="preserve">EPPO </w:t>
      </w:r>
      <w:r w:rsidRPr="00E32836">
        <w:rPr>
          <w:rFonts w:ascii="Arial" w:hAnsi="Arial" w:cs="Arial"/>
          <w:bCs/>
          <w:lang w:val="en-GB"/>
        </w:rPr>
        <w:t>zone. For this reason, a set of minimum effective dose</w:t>
      </w:r>
      <w:r w:rsidRPr="00E32836">
        <w:rPr>
          <w:rFonts w:ascii="Arial" w:hAnsi="Arial" w:cs="Arial"/>
          <w:bCs/>
          <w:szCs w:val="24"/>
          <w:lang w:val="en-GB" w:eastAsia="sl-SI"/>
        </w:rPr>
        <w:t xml:space="preserve"> trials performed in South East EPPO </w:t>
      </w:r>
      <w:r>
        <w:rPr>
          <w:rFonts w:ascii="Arial" w:hAnsi="Arial" w:cs="Arial"/>
          <w:bCs/>
          <w:szCs w:val="24"/>
          <w:lang w:val="en-GB" w:eastAsia="sl-SI"/>
        </w:rPr>
        <w:t xml:space="preserve">zone </w:t>
      </w:r>
      <w:r w:rsidRPr="00E32836">
        <w:rPr>
          <w:rFonts w:ascii="Arial" w:hAnsi="Arial" w:cs="Arial"/>
          <w:bCs/>
          <w:szCs w:val="24"/>
          <w:lang w:val="en-GB" w:eastAsia="sl-SI"/>
        </w:rPr>
        <w:t>is required for all</w:t>
      </w:r>
      <w:r w:rsidRPr="00E32836">
        <w:rPr>
          <w:rFonts w:ascii="Arial" w:hAnsi="Arial" w:cs="Arial"/>
          <w:bCs/>
          <w:lang w:val="en-GB"/>
        </w:rPr>
        <w:t xml:space="preserve"> major target organisms (not for all listed in the Table GAP). </w:t>
      </w:r>
      <w:r w:rsidRPr="00E32836">
        <w:rPr>
          <w:rFonts w:ascii="Arial" w:hAnsi="Arial" w:cs="Arial"/>
          <w:lang w:val="en-GB"/>
        </w:rPr>
        <w:t>In the case that insufficient number of trials are available from the South-East EPPO zone, trials f</w:t>
      </w:r>
      <w:r>
        <w:rPr>
          <w:rFonts w:ascii="Arial" w:hAnsi="Arial" w:cs="Arial"/>
          <w:lang w:val="en-GB"/>
        </w:rPr>
        <w:t>rom</w:t>
      </w:r>
      <w:r w:rsidRPr="00E32836">
        <w:rPr>
          <w:rFonts w:ascii="Arial" w:hAnsi="Arial" w:cs="Arial"/>
          <w:lang w:val="en-GB"/>
        </w:rPr>
        <w:t xml:space="preserve"> </w:t>
      </w:r>
      <w:r>
        <w:rPr>
          <w:rFonts w:ascii="Arial" w:hAnsi="Arial" w:cs="Arial"/>
          <w:lang w:val="en-GB"/>
        </w:rPr>
        <w:t xml:space="preserve">Maritime </w:t>
      </w:r>
      <w:r w:rsidRPr="00E32836">
        <w:rPr>
          <w:rFonts w:ascii="Arial" w:hAnsi="Arial" w:cs="Arial"/>
          <w:lang w:val="en-GB"/>
        </w:rPr>
        <w:t>EPPO zone are also acceptable.</w:t>
      </w:r>
    </w:p>
    <w:p w:rsidR="00F05E19" w:rsidRPr="00E813B2" w:rsidRDefault="00F05E19" w:rsidP="00F05E19">
      <w:pPr>
        <w:pStyle w:val="Odstavekseznama"/>
        <w:numPr>
          <w:ilvl w:val="0"/>
          <w:numId w:val="14"/>
        </w:numPr>
        <w:jc w:val="both"/>
        <w:rPr>
          <w:rFonts w:ascii="Arial" w:hAnsi="Arial" w:cs="Arial"/>
          <w:bCs/>
          <w:lang w:val="en-GB"/>
        </w:rPr>
      </w:pPr>
      <w:r>
        <w:rPr>
          <w:rFonts w:ascii="Arial" w:hAnsi="Arial" w:cs="Arial"/>
          <w:lang w:val="en-GB"/>
        </w:rPr>
        <w:t>W</w:t>
      </w:r>
      <w:r w:rsidRPr="00E32836">
        <w:rPr>
          <w:rFonts w:ascii="Arial" w:hAnsi="Arial" w:cs="Arial"/>
          <w:lang w:val="en-GB"/>
        </w:rPr>
        <w:t xml:space="preserve">hen trials from </w:t>
      </w:r>
      <w:r>
        <w:rPr>
          <w:rFonts w:ascii="Arial" w:hAnsi="Arial" w:cs="Arial"/>
          <w:lang w:val="en-GB"/>
        </w:rPr>
        <w:t>Maritime</w:t>
      </w:r>
      <w:r w:rsidRPr="00E32836">
        <w:rPr>
          <w:rFonts w:ascii="Arial" w:hAnsi="Arial" w:cs="Arial"/>
          <w:lang w:val="en-GB"/>
        </w:rPr>
        <w:t xml:space="preserve"> EPPO zone are submitted</w:t>
      </w:r>
      <w:r w:rsidR="00FD6E17">
        <w:rPr>
          <w:rFonts w:ascii="Arial" w:hAnsi="Arial" w:cs="Arial"/>
          <w:lang w:val="en-GB"/>
        </w:rPr>
        <w:t>,</w:t>
      </w:r>
      <w:r w:rsidRPr="00E32836">
        <w:rPr>
          <w:rFonts w:ascii="Arial" w:hAnsi="Arial" w:cs="Arial"/>
          <w:lang w:val="en-GB"/>
        </w:rPr>
        <w:t xml:space="preserve"> justification of comparability of climatic </w:t>
      </w:r>
      <w:r>
        <w:rPr>
          <w:rFonts w:ascii="Arial" w:hAnsi="Arial" w:cs="Arial"/>
          <w:lang w:val="en-GB"/>
        </w:rPr>
        <w:t xml:space="preserve">conditions </w:t>
      </w:r>
      <w:r w:rsidRPr="00E32836">
        <w:rPr>
          <w:rFonts w:ascii="Arial" w:hAnsi="Arial" w:cs="Arial"/>
          <w:lang w:val="en-GB"/>
        </w:rPr>
        <w:t>and agriculture practices</w:t>
      </w:r>
      <w:r>
        <w:rPr>
          <w:rFonts w:ascii="Arial" w:hAnsi="Arial" w:cs="Arial"/>
          <w:lang w:val="en-GB"/>
        </w:rPr>
        <w:t xml:space="preserve"> between zones </w:t>
      </w:r>
      <w:r w:rsidRPr="00E32836">
        <w:rPr>
          <w:rFonts w:ascii="Arial" w:hAnsi="Arial" w:cs="Arial"/>
          <w:lang w:val="en-GB"/>
        </w:rPr>
        <w:t xml:space="preserve">is required. </w:t>
      </w:r>
    </w:p>
    <w:p w:rsidR="00F05E19" w:rsidRPr="00E32836" w:rsidRDefault="00F05E19" w:rsidP="00F05E19">
      <w:pPr>
        <w:pStyle w:val="Odstavekseznama"/>
        <w:numPr>
          <w:ilvl w:val="0"/>
          <w:numId w:val="14"/>
        </w:numPr>
        <w:jc w:val="both"/>
        <w:rPr>
          <w:rFonts w:ascii="Arial" w:hAnsi="Arial" w:cs="Arial"/>
          <w:bCs/>
          <w:lang w:val="en-GB"/>
        </w:rPr>
      </w:pPr>
      <w:r>
        <w:rPr>
          <w:rFonts w:ascii="Arial" w:hAnsi="Arial" w:cs="Arial"/>
          <w:bCs/>
          <w:lang w:val="en-GB"/>
        </w:rPr>
        <w:t xml:space="preserve">When it is </w:t>
      </w:r>
      <w:r w:rsidRPr="00093C09">
        <w:rPr>
          <w:rFonts w:ascii="Arial" w:hAnsi="Arial" w:cs="Arial"/>
          <w:bCs/>
          <w:lang w:val="en-GB"/>
        </w:rPr>
        <w:t xml:space="preserve">not possible to provide data </w:t>
      </w:r>
      <w:r>
        <w:rPr>
          <w:rFonts w:ascii="Arial" w:hAnsi="Arial" w:cs="Arial"/>
          <w:bCs/>
          <w:lang w:val="en-GB"/>
        </w:rPr>
        <w:t>from the</w:t>
      </w:r>
      <w:r w:rsidRPr="00093C09">
        <w:rPr>
          <w:rFonts w:ascii="Arial" w:hAnsi="Arial" w:cs="Arial"/>
          <w:bCs/>
          <w:lang w:val="en-GB"/>
        </w:rPr>
        <w:t xml:space="preserve"> </w:t>
      </w:r>
      <w:r>
        <w:rPr>
          <w:rFonts w:ascii="Arial" w:hAnsi="Arial" w:cs="Arial"/>
          <w:bCs/>
          <w:lang w:val="en-GB"/>
        </w:rPr>
        <w:t>South East EPPO zone to support intended uses (</w:t>
      </w:r>
      <w:proofErr w:type="spellStart"/>
      <w:r>
        <w:rPr>
          <w:rFonts w:ascii="Arial" w:hAnsi="Arial" w:cs="Arial"/>
          <w:bCs/>
          <w:lang w:val="en-GB"/>
        </w:rPr>
        <w:t>e.g</w:t>
      </w:r>
      <w:proofErr w:type="spellEnd"/>
      <w:r>
        <w:rPr>
          <w:rFonts w:ascii="Arial" w:hAnsi="Arial" w:cs="Arial"/>
          <w:bCs/>
          <w:lang w:val="en-GB"/>
        </w:rPr>
        <w:t xml:space="preserve"> Mediterranean crops), data from the Mediterranean EPPO zone are acceptable as well. </w:t>
      </w:r>
    </w:p>
    <w:p w:rsidR="00F05E19" w:rsidRPr="00E32836" w:rsidRDefault="00F05E19" w:rsidP="00F05E19">
      <w:pPr>
        <w:pStyle w:val="Odstavekseznama"/>
        <w:numPr>
          <w:ilvl w:val="0"/>
          <w:numId w:val="14"/>
        </w:numPr>
        <w:jc w:val="both"/>
        <w:rPr>
          <w:rFonts w:ascii="Arial" w:hAnsi="Arial" w:cs="Arial"/>
          <w:bCs/>
          <w:lang w:val="en-GB"/>
        </w:rPr>
      </w:pPr>
      <w:r w:rsidRPr="00E32836">
        <w:rPr>
          <w:rFonts w:ascii="Arial" w:hAnsi="Arial" w:cs="Arial"/>
          <w:bCs/>
          <w:lang w:val="en-GB"/>
        </w:rPr>
        <w:t xml:space="preserve">Trial results presented in BAD and corresponded </w:t>
      </w:r>
      <w:proofErr w:type="spellStart"/>
      <w:r w:rsidRPr="00E32836">
        <w:rPr>
          <w:rFonts w:ascii="Arial" w:hAnsi="Arial" w:cs="Arial"/>
          <w:bCs/>
          <w:lang w:val="en-GB"/>
        </w:rPr>
        <w:t>dRR</w:t>
      </w:r>
      <w:proofErr w:type="spellEnd"/>
      <w:r w:rsidRPr="00E32836">
        <w:rPr>
          <w:rFonts w:ascii="Arial" w:hAnsi="Arial" w:cs="Arial"/>
          <w:bCs/>
          <w:lang w:val="en-GB"/>
        </w:rPr>
        <w:t xml:space="preserve"> should be addressed separately by the EPPO zone.</w:t>
      </w:r>
    </w:p>
    <w:p w:rsidR="00F05E19" w:rsidRPr="00E32836" w:rsidRDefault="00F05E19" w:rsidP="00F05E19">
      <w:pPr>
        <w:pStyle w:val="Odstavekseznama"/>
        <w:ind w:left="1080"/>
        <w:jc w:val="both"/>
        <w:rPr>
          <w:rFonts w:ascii="Arial" w:hAnsi="Arial" w:cs="Arial"/>
          <w:bCs/>
          <w:lang w:val="en-GB"/>
        </w:rPr>
      </w:pPr>
    </w:p>
    <w:p w:rsidR="008B30E4" w:rsidRPr="00E32836" w:rsidRDefault="008B30E4" w:rsidP="008B30E4">
      <w:pPr>
        <w:rPr>
          <w:rFonts w:ascii="Arial" w:hAnsi="Arial"/>
          <w:b/>
          <w:bCs/>
          <w:lang w:val="en-GB"/>
        </w:rPr>
      </w:pPr>
    </w:p>
    <w:p w:rsidR="008B30E4" w:rsidRPr="00E32836" w:rsidRDefault="008B30E4" w:rsidP="00FE2417">
      <w:pPr>
        <w:pStyle w:val="Naslov3"/>
      </w:pPr>
      <w:bookmarkStart w:id="2" w:name="_Toc120874243"/>
      <w:r w:rsidRPr="00E32836">
        <w:t>Efficacy testing</w:t>
      </w:r>
      <w:bookmarkEnd w:id="2"/>
    </w:p>
    <w:p w:rsidR="00F05E19" w:rsidRPr="00E32836" w:rsidRDefault="00F05E19" w:rsidP="00F05E19">
      <w:pPr>
        <w:pStyle w:val="Odstavekseznama"/>
        <w:numPr>
          <w:ilvl w:val="0"/>
          <w:numId w:val="16"/>
        </w:numPr>
        <w:jc w:val="both"/>
        <w:rPr>
          <w:rFonts w:ascii="Arial" w:hAnsi="Arial" w:cs="Arial"/>
          <w:bCs/>
          <w:lang w:val="en-GB"/>
        </w:rPr>
      </w:pPr>
      <w:r w:rsidRPr="00E32836">
        <w:rPr>
          <w:rFonts w:ascii="Arial" w:hAnsi="Arial" w:cs="Arial"/>
          <w:bCs/>
          <w:lang w:val="en-GB"/>
        </w:rPr>
        <w:t xml:space="preserve">Due to the reason already indicated under previous </w:t>
      </w:r>
      <w:r w:rsidR="00FD6E17">
        <w:rPr>
          <w:rFonts w:ascii="Arial" w:hAnsi="Arial" w:cs="Arial"/>
          <w:bCs/>
          <w:lang w:val="en-GB"/>
        </w:rPr>
        <w:t>section</w:t>
      </w:r>
      <w:r w:rsidRPr="00E32836">
        <w:rPr>
          <w:rFonts w:ascii="Arial" w:hAnsi="Arial" w:cs="Arial"/>
          <w:bCs/>
          <w:lang w:val="en-GB"/>
        </w:rPr>
        <w:t xml:space="preserve">, each of proposed uses should be supported with the set of efficacy trials </w:t>
      </w:r>
      <w:r w:rsidRPr="00E32836">
        <w:rPr>
          <w:rFonts w:ascii="Arial" w:hAnsi="Arial" w:cs="Arial"/>
          <w:bCs/>
          <w:szCs w:val="24"/>
          <w:lang w:val="en-GB" w:eastAsia="sl-SI"/>
        </w:rPr>
        <w:t xml:space="preserve">performed in the countries belonging to the South East EPPO zone.  </w:t>
      </w:r>
    </w:p>
    <w:p w:rsidR="00F05E19" w:rsidRDefault="00F05E19" w:rsidP="00F05E19">
      <w:pPr>
        <w:pStyle w:val="Odstavekseznama"/>
        <w:numPr>
          <w:ilvl w:val="0"/>
          <w:numId w:val="16"/>
        </w:numPr>
        <w:jc w:val="both"/>
        <w:rPr>
          <w:rFonts w:ascii="Arial" w:hAnsi="Arial" w:cs="Arial"/>
          <w:lang w:val="en-GB"/>
        </w:rPr>
      </w:pPr>
      <w:r w:rsidRPr="00E32836">
        <w:rPr>
          <w:rFonts w:ascii="Arial" w:hAnsi="Arial" w:cs="Arial"/>
          <w:lang w:val="en-GB"/>
        </w:rPr>
        <w:t>In the case that insufficient number of trials are available from the South-East EPPO zone, trials f</w:t>
      </w:r>
      <w:r>
        <w:rPr>
          <w:rFonts w:ascii="Arial" w:hAnsi="Arial" w:cs="Arial"/>
          <w:lang w:val="en-GB"/>
        </w:rPr>
        <w:t>rom</w:t>
      </w:r>
      <w:r w:rsidRPr="00E32836">
        <w:rPr>
          <w:rFonts w:ascii="Arial" w:hAnsi="Arial" w:cs="Arial"/>
          <w:lang w:val="en-GB"/>
        </w:rPr>
        <w:t xml:space="preserve"> </w:t>
      </w:r>
      <w:r>
        <w:rPr>
          <w:rFonts w:ascii="Arial" w:hAnsi="Arial" w:cs="Arial"/>
          <w:lang w:val="en-GB"/>
        </w:rPr>
        <w:t xml:space="preserve">Maritime </w:t>
      </w:r>
      <w:r w:rsidRPr="00E32836">
        <w:rPr>
          <w:rFonts w:ascii="Arial" w:hAnsi="Arial" w:cs="Arial"/>
          <w:lang w:val="en-GB"/>
        </w:rPr>
        <w:t>EPPO zone are also acceptable.</w:t>
      </w:r>
    </w:p>
    <w:p w:rsidR="00F05E19" w:rsidRDefault="00F05E19" w:rsidP="00F05E19">
      <w:pPr>
        <w:pStyle w:val="Odstavekseznama"/>
        <w:numPr>
          <w:ilvl w:val="0"/>
          <w:numId w:val="16"/>
        </w:numPr>
        <w:jc w:val="both"/>
        <w:rPr>
          <w:rFonts w:ascii="Arial" w:hAnsi="Arial" w:cs="Arial"/>
          <w:lang w:val="en-GB"/>
        </w:rPr>
      </w:pPr>
      <w:r w:rsidRPr="005F70AE">
        <w:rPr>
          <w:rFonts w:ascii="Arial" w:hAnsi="Arial" w:cs="Arial"/>
          <w:lang w:val="en-GB"/>
        </w:rPr>
        <w:t>When trials from Maritime EPPO zone are submitted justification of comparability of climatic conditions and agriculture practices between zones is required.</w:t>
      </w:r>
    </w:p>
    <w:p w:rsidR="005A5D17" w:rsidRPr="005F70AE" w:rsidRDefault="005A5D17" w:rsidP="00F05E19">
      <w:pPr>
        <w:pStyle w:val="Odstavekseznama"/>
        <w:numPr>
          <w:ilvl w:val="0"/>
          <w:numId w:val="16"/>
        </w:numPr>
        <w:jc w:val="both"/>
        <w:rPr>
          <w:rFonts w:ascii="Arial" w:hAnsi="Arial" w:cs="Arial"/>
          <w:lang w:val="en-GB"/>
        </w:rPr>
      </w:pPr>
      <w:r>
        <w:rPr>
          <w:rFonts w:ascii="Arial" w:hAnsi="Arial" w:cs="Arial"/>
          <w:bCs/>
          <w:lang w:val="en-GB"/>
        </w:rPr>
        <w:t xml:space="preserve">When it is </w:t>
      </w:r>
      <w:r w:rsidRPr="00093C09">
        <w:rPr>
          <w:rFonts w:ascii="Arial" w:hAnsi="Arial" w:cs="Arial"/>
          <w:bCs/>
          <w:lang w:val="en-GB"/>
        </w:rPr>
        <w:t xml:space="preserve">not possible to provide data </w:t>
      </w:r>
      <w:r>
        <w:rPr>
          <w:rFonts w:ascii="Arial" w:hAnsi="Arial" w:cs="Arial"/>
          <w:bCs/>
          <w:lang w:val="en-GB"/>
        </w:rPr>
        <w:t>from the</w:t>
      </w:r>
      <w:r w:rsidRPr="00093C09">
        <w:rPr>
          <w:rFonts w:ascii="Arial" w:hAnsi="Arial" w:cs="Arial"/>
          <w:bCs/>
          <w:lang w:val="en-GB"/>
        </w:rPr>
        <w:t xml:space="preserve"> </w:t>
      </w:r>
      <w:r>
        <w:rPr>
          <w:rFonts w:ascii="Arial" w:hAnsi="Arial" w:cs="Arial"/>
          <w:bCs/>
          <w:lang w:val="en-GB"/>
        </w:rPr>
        <w:t>South East EPPO zone to support intended uses (</w:t>
      </w:r>
      <w:proofErr w:type="spellStart"/>
      <w:r>
        <w:rPr>
          <w:rFonts w:ascii="Arial" w:hAnsi="Arial" w:cs="Arial"/>
          <w:bCs/>
          <w:lang w:val="en-GB"/>
        </w:rPr>
        <w:t>e.g</w:t>
      </w:r>
      <w:proofErr w:type="spellEnd"/>
      <w:r>
        <w:rPr>
          <w:rFonts w:ascii="Arial" w:hAnsi="Arial" w:cs="Arial"/>
          <w:bCs/>
          <w:lang w:val="en-GB"/>
        </w:rPr>
        <w:t xml:space="preserve"> Mediterranean crops), data from the Mediterranean EPPO zone are acceptable as well.</w:t>
      </w:r>
    </w:p>
    <w:p w:rsidR="00F05E19" w:rsidRPr="00E32836" w:rsidRDefault="00F05E19" w:rsidP="00F05E19">
      <w:pPr>
        <w:pStyle w:val="Odstavekseznama"/>
        <w:numPr>
          <w:ilvl w:val="0"/>
          <w:numId w:val="16"/>
        </w:numPr>
        <w:jc w:val="both"/>
        <w:rPr>
          <w:rFonts w:ascii="Arial" w:hAnsi="Arial" w:cs="Arial"/>
          <w:bCs/>
          <w:lang w:val="en-GB"/>
        </w:rPr>
      </w:pPr>
      <w:r w:rsidRPr="00E32836">
        <w:rPr>
          <w:rFonts w:ascii="Arial" w:hAnsi="Arial" w:cs="Arial"/>
          <w:bCs/>
          <w:lang w:val="en-GB"/>
        </w:rPr>
        <w:t xml:space="preserve">Trial results presented in BAD and corresponded </w:t>
      </w:r>
      <w:proofErr w:type="spellStart"/>
      <w:r w:rsidRPr="00E32836">
        <w:rPr>
          <w:rFonts w:ascii="Arial" w:hAnsi="Arial" w:cs="Arial"/>
          <w:bCs/>
          <w:lang w:val="en-GB"/>
        </w:rPr>
        <w:t>dRR</w:t>
      </w:r>
      <w:proofErr w:type="spellEnd"/>
      <w:r w:rsidRPr="00E32836">
        <w:rPr>
          <w:rFonts w:ascii="Arial" w:hAnsi="Arial" w:cs="Arial"/>
          <w:bCs/>
          <w:lang w:val="en-GB"/>
        </w:rPr>
        <w:t xml:space="preserve"> should be addressed separately by the EPPO zone</w:t>
      </w:r>
    </w:p>
    <w:p w:rsidR="008B30E4" w:rsidRPr="00E32836" w:rsidRDefault="008B30E4" w:rsidP="008B30E4">
      <w:pPr>
        <w:pStyle w:val="Odstavekseznama"/>
        <w:ind w:left="1110"/>
        <w:jc w:val="both"/>
        <w:rPr>
          <w:rFonts w:ascii="Arial" w:hAnsi="Arial"/>
          <w:bCs/>
          <w:lang w:val="en-GB"/>
        </w:rPr>
      </w:pPr>
    </w:p>
    <w:p w:rsidR="008B30E4" w:rsidRPr="00FE2417" w:rsidRDefault="00F05E19" w:rsidP="00FE2417">
      <w:pPr>
        <w:pStyle w:val="Naslov3"/>
      </w:pPr>
      <w:bookmarkStart w:id="3" w:name="_Toc120874244"/>
      <w:r w:rsidRPr="00FE2417">
        <w:t>Adverse effects on treated crops</w:t>
      </w:r>
      <w:bookmarkEnd w:id="3"/>
    </w:p>
    <w:p w:rsidR="00F05E19" w:rsidRDefault="00F05E19" w:rsidP="00F05E19">
      <w:pPr>
        <w:pStyle w:val="Odstavekseznama"/>
        <w:numPr>
          <w:ilvl w:val="0"/>
          <w:numId w:val="17"/>
        </w:numPr>
        <w:ind w:left="1134" w:hanging="425"/>
        <w:jc w:val="both"/>
        <w:rPr>
          <w:rFonts w:ascii="Arial" w:hAnsi="Arial"/>
          <w:lang w:val="en-GB"/>
        </w:rPr>
      </w:pPr>
      <w:r w:rsidRPr="005F70AE">
        <w:rPr>
          <w:rFonts w:ascii="Arial" w:hAnsi="Arial"/>
          <w:bCs/>
          <w:lang w:val="en-GB"/>
        </w:rPr>
        <w:t>Data on adverse effects on treated crops</w:t>
      </w:r>
      <w:r w:rsidRPr="00624F8F">
        <w:rPr>
          <w:rFonts w:ascii="Arial" w:hAnsi="Arial"/>
          <w:lang w:val="en-GB"/>
        </w:rPr>
        <w:t xml:space="preserve"> </w:t>
      </w:r>
      <w:r w:rsidRPr="00E32836">
        <w:rPr>
          <w:rFonts w:ascii="Arial" w:hAnsi="Arial"/>
          <w:lang w:val="en-GB"/>
        </w:rPr>
        <w:t xml:space="preserve">for fungicides and insecticides on pome fruits should be provided for apple and pear separately. The same principle is expected for stone fruits where </w:t>
      </w:r>
      <w:r>
        <w:rPr>
          <w:rFonts w:ascii="Arial" w:hAnsi="Arial"/>
          <w:lang w:val="en-GB"/>
        </w:rPr>
        <w:t xml:space="preserve">data </w:t>
      </w:r>
      <w:r w:rsidRPr="007E7EB5">
        <w:rPr>
          <w:rFonts w:ascii="Arial" w:hAnsi="Arial"/>
          <w:lang w:val="en-GB"/>
        </w:rPr>
        <w:t>on a</w:t>
      </w:r>
      <w:r w:rsidRPr="007E7EB5">
        <w:rPr>
          <w:rFonts w:ascii="Arial" w:hAnsi="Arial"/>
          <w:bCs/>
          <w:lang w:val="en-GB"/>
        </w:rPr>
        <w:t>dverse effects</w:t>
      </w:r>
      <w:r w:rsidRPr="007E7EB5">
        <w:rPr>
          <w:rFonts w:ascii="Arial" w:hAnsi="Arial"/>
          <w:lang w:val="en-GB"/>
        </w:rPr>
        <w:t xml:space="preserve"> should</w:t>
      </w:r>
      <w:r>
        <w:rPr>
          <w:rFonts w:ascii="Arial" w:hAnsi="Arial"/>
          <w:lang w:val="en-GB"/>
        </w:rPr>
        <w:t xml:space="preserve"> </w:t>
      </w:r>
      <w:r w:rsidRPr="00624F8F">
        <w:rPr>
          <w:rFonts w:ascii="Arial" w:hAnsi="Arial"/>
          <w:lang w:val="en-GB"/>
        </w:rPr>
        <w:t xml:space="preserve">include </w:t>
      </w:r>
      <w:r w:rsidRPr="00E32836">
        <w:rPr>
          <w:rFonts w:ascii="Arial" w:hAnsi="Arial"/>
          <w:lang w:val="en-GB"/>
        </w:rPr>
        <w:t>data for peach, cherry, apricot and plum separately.</w:t>
      </w:r>
    </w:p>
    <w:p w:rsidR="00F05E19" w:rsidRPr="00E32836" w:rsidRDefault="00F05E19" w:rsidP="00F05E19">
      <w:pPr>
        <w:pStyle w:val="Odstavekseznama"/>
        <w:numPr>
          <w:ilvl w:val="0"/>
          <w:numId w:val="17"/>
        </w:numPr>
        <w:ind w:left="1134" w:hanging="425"/>
        <w:jc w:val="both"/>
        <w:rPr>
          <w:rFonts w:ascii="Arial" w:hAnsi="Arial"/>
          <w:lang w:val="en-GB"/>
        </w:rPr>
      </w:pPr>
      <w:r>
        <w:rPr>
          <w:rFonts w:ascii="Arial" w:hAnsi="Arial"/>
          <w:lang w:val="en-GB"/>
        </w:rPr>
        <w:t xml:space="preserve">As regards distribution of trials across EPPO zones the same principle should be followed as for minimum effective dose and efficacy tests. </w:t>
      </w:r>
    </w:p>
    <w:p w:rsidR="008B30E4" w:rsidRPr="00E32836" w:rsidRDefault="008B30E4" w:rsidP="008B30E4">
      <w:pPr>
        <w:rPr>
          <w:rFonts w:ascii="Arial" w:hAnsi="Arial"/>
          <w:b/>
          <w:bCs/>
          <w:lang w:val="en-GB"/>
        </w:rPr>
      </w:pPr>
    </w:p>
    <w:p w:rsidR="008B30E4" w:rsidRPr="00E32836" w:rsidRDefault="008B30E4" w:rsidP="00FE2417">
      <w:pPr>
        <w:pStyle w:val="Naslov3"/>
      </w:pPr>
      <w:bookmarkStart w:id="4" w:name="_Toc120874245"/>
      <w:r w:rsidRPr="00E32836">
        <w:t>Succeeding crops</w:t>
      </w:r>
      <w:bookmarkEnd w:id="4"/>
    </w:p>
    <w:p w:rsidR="008B30E4" w:rsidRPr="00E32836" w:rsidRDefault="008B30E4" w:rsidP="008B30E4">
      <w:pPr>
        <w:jc w:val="both"/>
        <w:rPr>
          <w:rFonts w:ascii="Arial" w:hAnsi="Arial"/>
          <w:strike/>
          <w:lang w:val="en-GB"/>
        </w:rPr>
      </w:pPr>
    </w:p>
    <w:p w:rsidR="008B30E4" w:rsidRPr="00E32836" w:rsidRDefault="008B30E4" w:rsidP="008B30E4">
      <w:pPr>
        <w:autoSpaceDE w:val="0"/>
        <w:autoSpaceDN w:val="0"/>
        <w:adjustRightInd w:val="0"/>
        <w:jc w:val="both"/>
        <w:rPr>
          <w:rFonts w:ascii="Arial" w:hAnsi="Arial" w:cs="Arial"/>
          <w:lang w:val="en-GB" w:bidi="si-LK"/>
        </w:rPr>
      </w:pPr>
      <w:r w:rsidRPr="00E32836">
        <w:rPr>
          <w:rFonts w:ascii="Arial" w:hAnsi="Arial" w:cs="Arial"/>
          <w:lang w:val="en-GB" w:bidi="si-LK"/>
        </w:rPr>
        <w:t>Sufficient data should be provided for herbicides to permit an evaluation of all possible negative effects of PPP on succeeding crops. In selection of cultivated plants as replacement or rotational crops specific agronomic conditions in Slovenia should be considered.</w:t>
      </w:r>
    </w:p>
    <w:p w:rsidR="008B30E4" w:rsidRPr="00E32836" w:rsidRDefault="008B30E4" w:rsidP="008B30E4">
      <w:pPr>
        <w:rPr>
          <w:rFonts w:ascii="Arial" w:hAnsi="Arial"/>
          <w:b/>
          <w:bCs/>
          <w:strike/>
          <w:lang w:val="en-GB"/>
        </w:rPr>
      </w:pPr>
    </w:p>
    <w:p w:rsidR="008B30E4" w:rsidRPr="00E32836" w:rsidRDefault="008B30E4" w:rsidP="00FE2417">
      <w:pPr>
        <w:pStyle w:val="Naslov3"/>
      </w:pPr>
      <w:bookmarkStart w:id="5" w:name="_Toc120874246"/>
      <w:r w:rsidRPr="00E32836">
        <w:t>Resistance</w:t>
      </w:r>
      <w:bookmarkEnd w:id="5"/>
    </w:p>
    <w:p w:rsidR="008B30E4" w:rsidRPr="00E32836" w:rsidRDefault="008B30E4" w:rsidP="008B30E4">
      <w:pPr>
        <w:rPr>
          <w:rFonts w:ascii="Arial" w:hAnsi="Arial" w:cs="Arial"/>
          <w:lang w:val="en-GB" w:bidi="si-LK"/>
        </w:rPr>
      </w:pPr>
    </w:p>
    <w:p w:rsidR="008B30E4" w:rsidRPr="00E32836" w:rsidRDefault="008B30E4" w:rsidP="008B30E4">
      <w:pPr>
        <w:jc w:val="both"/>
        <w:rPr>
          <w:rFonts w:ascii="Arial" w:hAnsi="Arial" w:cs="Arial"/>
          <w:lang w:val="en-GB" w:bidi="si-LK"/>
        </w:rPr>
      </w:pPr>
      <w:r w:rsidRPr="00E32836">
        <w:rPr>
          <w:rFonts w:ascii="Arial" w:hAnsi="Arial" w:cs="Arial"/>
          <w:lang w:val="en-GB" w:bidi="si-LK"/>
        </w:rPr>
        <w:t xml:space="preserve">The applicant should provide a specific country resistance management strategy. </w:t>
      </w:r>
    </w:p>
    <w:p w:rsidR="007B776B" w:rsidRPr="0090126B" w:rsidRDefault="007B776B" w:rsidP="008B30E4">
      <w:pPr>
        <w:rPr>
          <w:lang w:val="en-GB"/>
        </w:rPr>
      </w:pPr>
    </w:p>
    <w:p w:rsidR="004F60E0" w:rsidRPr="0090126B" w:rsidRDefault="00B07771" w:rsidP="00FE2417">
      <w:pPr>
        <w:pStyle w:val="Naslov1"/>
        <w:numPr>
          <w:ilvl w:val="0"/>
          <w:numId w:val="25"/>
        </w:numPr>
      </w:pPr>
      <w:r w:rsidRPr="0090126B">
        <w:br w:type="page"/>
      </w:r>
      <w:bookmarkStart w:id="6" w:name="_Toc120874247"/>
      <w:r w:rsidR="0090465C" w:rsidRPr="0090126B">
        <w:lastRenderedPageBreak/>
        <w:t xml:space="preserve">TOXICOLOGY </w:t>
      </w:r>
      <w:r w:rsidR="00C47081" w:rsidRPr="0090126B">
        <w:t xml:space="preserve">INCLUDING </w:t>
      </w:r>
      <w:r w:rsidR="0090465C" w:rsidRPr="0090126B">
        <w:t>OPER</w:t>
      </w:r>
      <w:r w:rsidR="0093114E" w:rsidRPr="0090126B">
        <w:t>AT</w:t>
      </w:r>
      <w:r w:rsidR="0090465C" w:rsidRPr="0090126B">
        <w:t>OR</w:t>
      </w:r>
      <w:r w:rsidR="00C47081" w:rsidRPr="0090126B">
        <w:t xml:space="preserve"> AND</w:t>
      </w:r>
      <w:r w:rsidR="004F60E0" w:rsidRPr="0090126B">
        <w:t xml:space="preserve"> WORKER EXPOSURE</w:t>
      </w:r>
      <w:bookmarkEnd w:id="6"/>
    </w:p>
    <w:p w:rsidR="004F60E0" w:rsidRPr="0090126B" w:rsidRDefault="004F60E0" w:rsidP="004F60E0">
      <w:pPr>
        <w:rPr>
          <w:rFonts w:ascii="Arial" w:hAnsi="Arial"/>
          <w:b/>
          <w:bCs/>
          <w:lang w:val="en-GB"/>
        </w:rPr>
      </w:pPr>
    </w:p>
    <w:p w:rsidR="0063633A" w:rsidRPr="0090126B" w:rsidRDefault="0063633A" w:rsidP="004F60E0">
      <w:pPr>
        <w:rPr>
          <w:rFonts w:ascii="Arial" w:hAnsi="Arial"/>
          <w:b/>
          <w:bCs/>
          <w:lang w:val="en-GB"/>
        </w:rPr>
      </w:pPr>
    </w:p>
    <w:p w:rsidR="00760581" w:rsidRPr="00FE2417" w:rsidRDefault="00760581" w:rsidP="00FE2417">
      <w:pPr>
        <w:pStyle w:val="Naslov3"/>
      </w:pPr>
      <w:bookmarkStart w:id="7" w:name="_Toc120874248"/>
      <w:r w:rsidRPr="00FE2417">
        <w:t>General</w:t>
      </w:r>
      <w:bookmarkEnd w:id="7"/>
    </w:p>
    <w:p w:rsidR="00951207" w:rsidRPr="0090126B" w:rsidRDefault="00951207" w:rsidP="00E62914">
      <w:pPr>
        <w:jc w:val="both"/>
        <w:rPr>
          <w:rFonts w:ascii="Arial" w:hAnsi="Arial"/>
          <w:bCs/>
          <w:lang w:val="en-GB"/>
        </w:rPr>
      </w:pPr>
    </w:p>
    <w:p w:rsidR="00760581" w:rsidRPr="0090126B" w:rsidRDefault="00390172" w:rsidP="00E62914">
      <w:pPr>
        <w:jc w:val="both"/>
        <w:rPr>
          <w:rFonts w:ascii="Arial" w:hAnsi="Arial"/>
          <w:bCs/>
          <w:lang w:val="en-GB"/>
        </w:rPr>
      </w:pPr>
      <w:r w:rsidRPr="0090126B">
        <w:rPr>
          <w:rFonts w:ascii="Arial" w:hAnsi="Arial" w:cs="Arial"/>
          <w:bCs/>
          <w:lang w:val="en-GB"/>
        </w:rPr>
        <w:t>Data submitted for the authorization of plant protection product should fulfil the data requirements laid down in the Commission Regulation 284/2013 of March 2013</w:t>
      </w:r>
      <w:r w:rsidR="00760581" w:rsidRPr="0090126B">
        <w:rPr>
          <w:rFonts w:ascii="Arial" w:hAnsi="Arial"/>
          <w:bCs/>
          <w:lang w:val="en-GB"/>
        </w:rPr>
        <w:t xml:space="preserve">. </w:t>
      </w:r>
    </w:p>
    <w:p w:rsidR="00760581" w:rsidRPr="0090126B" w:rsidRDefault="00760581" w:rsidP="00E62914">
      <w:pPr>
        <w:jc w:val="both"/>
        <w:rPr>
          <w:rFonts w:ascii="Arial" w:hAnsi="Arial"/>
          <w:bCs/>
          <w:lang w:val="en-GB"/>
        </w:rPr>
      </w:pPr>
    </w:p>
    <w:p w:rsidR="00590F68" w:rsidRDefault="00590F68" w:rsidP="00B266B4">
      <w:pPr>
        <w:jc w:val="both"/>
        <w:rPr>
          <w:rFonts w:ascii="Arial" w:hAnsi="Arial" w:cs="Arial"/>
          <w:bCs/>
          <w:lang w:val="en-GB"/>
        </w:rPr>
      </w:pPr>
      <w:r w:rsidRPr="00B266B4">
        <w:rPr>
          <w:rFonts w:ascii="Arial" w:hAnsi="Arial" w:cs="Arial"/>
          <w:bCs/>
          <w:lang w:val="en-GB"/>
        </w:rPr>
        <w:t>Regulation 1107/2009 prescribes that no new studies shall be conducted in vertebrate animals where validated alternative methods are available. Validated alternative methods are in vitro methods which allow the prediction of in vivo apical endpoints and for which OECD Test Guidelines have been adopted. When new OECD Test Guidelines for alternative in vitro methods fully or partially replacing an in vivo test are adopted, any new studies should be conducted using these alternative methods.</w:t>
      </w:r>
    </w:p>
    <w:p w:rsidR="0084201C" w:rsidRPr="00B266B4" w:rsidRDefault="0084201C" w:rsidP="00B266B4">
      <w:pPr>
        <w:jc w:val="both"/>
        <w:rPr>
          <w:rFonts w:ascii="Arial" w:hAnsi="Arial" w:cs="Arial"/>
          <w:bCs/>
          <w:lang w:val="en-GB"/>
        </w:rPr>
      </w:pPr>
    </w:p>
    <w:p w:rsidR="0084201C" w:rsidRDefault="00590F68" w:rsidP="0084201C">
      <w:pPr>
        <w:jc w:val="both"/>
        <w:rPr>
          <w:rFonts w:ascii="Arial" w:hAnsi="Arial"/>
          <w:bCs/>
          <w:lang w:val="en-GB"/>
        </w:rPr>
      </w:pPr>
      <w:r w:rsidRPr="00B266B4">
        <w:rPr>
          <w:rFonts w:ascii="Arial" w:hAnsi="Arial" w:cs="Arial"/>
          <w:bCs/>
          <w:lang w:val="en-GB"/>
        </w:rPr>
        <w:t>For the purposes of fulfilling the toxicological data requirements for Plant Protection Products (PPPs), the calculation method of Regulation 1272/2008 may be an acceptable alternative method.</w:t>
      </w:r>
      <w:r w:rsidR="0084201C">
        <w:rPr>
          <w:rFonts w:ascii="Arial" w:hAnsi="Arial" w:cs="Arial"/>
          <w:bCs/>
          <w:lang w:val="en-GB"/>
        </w:rPr>
        <w:t xml:space="preserve"> </w:t>
      </w:r>
      <w:r w:rsidR="0084201C" w:rsidRPr="0090126B">
        <w:rPr>
          <w:rFonts w:ascii="Arial" w:hAnsi="Arial"/>
          <w:bCs/>
          <w:lang w:val="en-GB"/>
        </w:rPr>
        <w:t xml:space="preserve">Waiving/bridging of </w:t>
      </w:r>
      <w:proofErr w:type="spellStart"/>
      <w:r w:rsidR="0084201C" w:rsidRPr="0090126B">
        <w:rPr>
          <w:rFonts w:ascii="Arial" w:hAnsi="Arial"/>
          <w:bCs/>
          <w:lang w:val="en-GB"/>
        </w:rPr>
        <w:t>tox</w:t>
      </w:r>
      <w:proofErr w:type="spellEnd"/>
      <w:r w:rsidR="0084201C" w:rsidRPr="0090126B">
        <w:rPr>
          <w:rFonts w:ascii="Arial" w:hAnsi="Arial"/>
          <w:bCs/>
          <w:lang w:val="en-GB"/>
        </w:rPr>
        <w:t xml:space="preserve"> studies for formulation is possible if scientifically valid argumentation is provided by the applicant.</w:t>
      </w:r>
    </w:p>
    <w:p w:rsidR="00590F68" w:rsidRDefault="00590F68" w:rsidP="00B266B4">
      <w:pPr>
        <w:jc w:val="both"/>
        <w:rPr>
          <w:rFonts w:ascii="Arial" w:hAnsi="Arial" w:cs="Arial"/>
          <w:bCs/>
          <w:lang w:val="en-GB"/>
        </w:rPr>
      </w:pPr>
    </w:p>
    <w:p w:rsidR="00B266B4" w:rsidRPr="00B266B4" w:rsidRDefault="00590F68" w:rsidP="00B266B4">
      <w:pPr>
        <w:jc w:val="both"/>
        <w:rPr>
          <w:rFonts w:ascii="Arial" w:hAnsi="Arial" w:cs="Arial"/>
          <w:bCs/>
          <w:lang w:val="en-GB"/>
        </w:rPr>
      </w:pPr>
      <w:r w:rsidRPr="00B266B4">
        <w:rPr>
          <w:rFonts w:ascii="Arial" w:hAnsi="Arial" w:cs="Arial"/>
          <w:bCs/>
          <w:lang w:val="en-GB"/>
        </w:rPr>
        <w:t>In vivo tests conducted either before 14 June 2011 or before alternative OECD Test Guidelines where adopted may be submitted, subject to the requirements of Article 62 regarding data sharing and duplicate testing.</w:t>
      </w:r>
    </w:p>
    <w:p w:rsidR="00760581" w:rsidRPr="00B266B4" w:rsidRDefault="00760581" w:rsidP="00E62914">
      <w:pPr>
        <w:jc w:val="both"/>
        <w:rPr>
          <w:rFonts w:ascii="Arial" w:hAnsi="Arial"/>
          <w:b/>
          <w:bCs/>
          <w:lang w:val="en-GB"/>
        </w:rPr>
      </w:pPr>
    </w:p>
    <w:p w:rsidR="00FC20A1" w:rsidRPr="0090126B" w:rsidRDefault="00760581" w:rsidP="00390172">
      <w:pPr>
        <w:shd w:val="clear" w:color="auto" w:fill="FFFFFF"/>
        <w:jc w:val="both"/>
        <w:rPr>
          <w:rFonts w:ascii="Arial" w:hAnsi="Arial" w:cs="Arial"/>
          <w:lang w:val="en-GB"/>
        </w:rPr>
      </w:pPr>
      <w:r w:rsidRPr="0090126B">
        <w:rPr>
          <w:rFonts w:ascii="Arial" w:hAnsi="Arial" w:cs="Arial"/>
          <w:bCs/>
          <w:lang w:val="en-GB"/>
        </w:rPr>
        <w:t>The toxicity profile of metabolites predicted to occur in groundwater should be provided</w:t>
      </w:r>
      <w:r w:rsidR="00FC20A1" w:rsidRPr="0090126B">
        <w:rPr>
          <w:rFonts w:ascii="Arial" w:hAnsi="Arial" w:cs="Arial"/>
          <w:bCs/>
          <w:lang w:val="en-GB"/>
        </w:rPr>
        <w:t xml:space="preserve"> as given in the </w:t>
      </w:r>
      <w:r w:rsidR="00390172" w:rsidRPr="0090126B">
        <w:rPr>
          <w:rFonts w:ascii="Arial" w:hAnsi="Arial" w:cs="Arial"/>
          <w:lang w:val="en-GB"/>
        </w:rPr>
        <w:t xml:space="preserve">Guidance document on the assessment of the relevance of metabolites in groundwater of substances regulated under Council </w:t>
      </w:r>
      <w:r w:rsidR="0090126B" w:rsidRPr="0090126B">
        <w:rPr>
          <w:rFonts w:ascii="Arial" w:hAnsi="Arial" w:cs="Arial"/>
          <w:lang w:val="en-GB"/>
        </w:rPr>
        <w:t>Directive</w:t>
      </w:r>
      <w:r w:rsidR="00390172" w:rsidRPr="0090126B">
        <w:rPr>
          <w:rFonts w:ascii="Arial" w:hAnsi="Arial" w:cs="Arial"/>
          <w:lang w:val="en-GB"/>
        </w:rPr>
        <w:t xml:space="preserve"> 91/414/EEC, </w:t>
      </w:r>
      <w:proofErr w:type="spellStart"/>
      <w:r w:rsidR="00390172" w:rsidRPr="0090126B">
        <w:rPr>
          <w:rFonts w:ascii="Arial" w:hAnsi="Arial" w:cs="Arial"/>
          <w:lang w:val="en-GB"/>
        </w:rPr>
        <w:t>Sanco</w:t>
      </w:r>
      <w:proofErr w:type="spellEnd"/>
      <w:r w:rsidR="00390172" w:rsidRPr="0090126B">
        <w:rPr>
          <w:rFonts w:ascii="Arial" w:hAnsi="Arial" w:cs="Arial"/>
          <w:lang w:val="en-GB"/>
        </w:rPr>
        <w:t>/221/2000 –rev.10, 25 February 2003.</w:t>
      </w:r>
      <w:r w:rsidR="003A44B9">
        <w:rPr>
          <w:rFonts w:ascii="Arial" w:hAnsi="Arial" w:cs="Arial"/>
          <w:lang w:val="en-GB"/>
        </w:rPr>
        <w:t xml:space="preserve"> </w:t>
      </w:r>
    </w:p>
    <w:p w:rsidR="00951207" w:rsidRPr="0090126B" w:rsidRDefault="00951207" w:rsidP="00E62914">
      <w:pPr>
        <w:jc w:val="both"/>
        <w:rPr>
          <w:rFonts w:ascii="Arial" w:hAnsi="Arial"/>
          <w:bCs/>
          <w:lang w:val="en-GB"/>
        </w:rPr>
      </w:pPr>
    </w:p>
    <w:p w:rsidR="00951207" w:rsidRPr="0090126B" w:rsidRDefault="00951207" w:rsidP="00951207">
      <w:pPr>
        <w:autoSpaceDE w:val="0"/>
        <w:autoSpaceDN w:val="0"/>
        <w:adjustRightInd w:val="0"/>
        <w:jc w:val="both"/>
        <w:rPr>
          <w:rFonts w:ascii="Arial" w:hAnsi="Arial" w:cs="Arial"/>
          <w:bCs/>
          <w:lang w:val="en-GB"/>
        </w:rPr>
      </w:pPr>
      <w:r w:rsidRPr="0090126B">
        <w:rPr>
          <w:rFonts w:ascii="Arial" w:hAnsi="Arial" w:cs="Arial"/>
          <w:bCs/>
          <w:lang w:val="en-GB"/>
        </w:rPr>
        <w:t xml:space="preserve">Dermal absorption of active substances from the plant protection products should be addressed in line with the </w:t>
      </w:r>
      <w:r w:rsidR="00FB0FB9">
        <w:rPr>
          <w:rFonts w:ascii="Arial" w:hAnsi="Arial" w:cs="Arial"/>
          <w:bCs/>
          <w:lang w:val="en-GB"/>
        </w:rPr>
        <w:t>EFSA Guidance on Dermal Absorption (</w:t>
      </w:r>
      <w:r w:rsidR="00FB0FB9" w:rsidRPr="00FB0FB9">
        <w:rPr>
          <w:rFonts w:ascii="Arial" w:hAnsi="Arial" w:cs="Arial"/>
          <w:bCs/>
          <w:lang w:val="en-GB"/>
        </w:rPr>
        <w:t xml:space="preserve">EFSA Journal 2017;15(6):4873). </w:t>
      </w:r>
      <w:r w:rsidRPr="00FB0FB9">
        <w:rPr>
          <w:rFonts w:ascii="Arial" w:hAnsi="Arial" w:cs="Arial"/>
          <w:bCs/>
          <w:lang w:val="en-GB"/>
        </w:rPr>
        <w:t xml:space="preserve">If no dermal absorption study is submitted, the default values from the cited Guidance document should be applied, or a justified read-across from the similar formulation might be applied. </w:t>
      </w:r>
    </w:p>
    <w:p w:rsidR="00951207" w:rsidRPr="0090126B" w:rsidRDefault="00951207" w:rsidP="00E62914">
      <w:pPr>
        <w:jc w:val="both"/>
        <w:rPr>
          <w:rFonts w:ascii="Arial" w:hAnsi="Arial"/>
          <w:bCs/>
          <w:lang w:val="en-GB"/>
        </w:rPr>
      </w:pPr>
    </w:p>
    <w:p w:rsidR="00760581" w:rsidRPr="0090126B" w:rsidRDefault="00760581" w:rsidP="00E62914">
      <w:pPr>
        <w:jc w:val="both"/>
        <w:rPr>
          <w:rFonts w:ascii="Arial" w:hAnsi="Arial"/>
          <w:b/>
          <w:bCs/>
          <w:lang w:val="en-GB"/>
        </w:rPr>
      </w:pPr>
    </w:p>
    <w:p w:rsidR="002B5EDE" w:rsidRPr="0090126B" w:rsidRDefault="002B5EDE" w:rsidP="00FE2417">
      <w:pPr>
        <w:pStyle w:val="Naslov3"/>
      </w:pPr>
      <w:bookmarkStart w:id="8" w:name="_Toc120874249"/>
      <w:r w:rsidRPr="0090126B">
        <w:t>Classification and labelling of plant protection products</w:t>
      </w:r>
      <w:bookmarkEnd w:id="8"/>
    </w:p>
    <w:p w:rsidR="00760581" w:rsidRPr="0090126B" w:rsidRDefault="00760581" w:rsidP="004F60E0">
      <w:pPr>
        <w:rPr>
          <w:rFonts w:ascii="Arial" w:hAnsi="Arial" w:cs="Arial"/>
          <w:b/>
          <w:bCs/>
          <w:lang w:val="en-GB"/>
        </w:rPr>
      </w:pPr>
    </w:p>
    <w:p w:rsidR="007F2D43" w:rsidRDefault="007F2D43" w:rsidP="007F2D43">
      <w:pPr>
        <w:jc w:val="both"/>
        <w:rPr>
          <w:rFonts w:ascii="Arial" w:hAnsi="Arial" w:cs="Arial"/>
          <w:bCs/>
          <w:lang w:val="en-GB"/>
        </w:rPr>
      </w:pPr>
      <w:r w:rsidRPr="0090126B">
        <w:rPr>
          <w:rFonts w:ascii="Arial" w:hAnsi="Arial" w:cs="Arial"/>
          <w:bCs/>
          <w:lang w:val="en-GB"/>
        </w:rPr>
        <w:t xml:space="preserve">For the active substance </w:t>
      </w:r>
      <w:r w:rsidR="00FB0FB9">
        <w:rPr>
          <w:rFonts w:ascii="Arial" w:hAnsi="Arial" w:cs="Arial"/>
          <w:lang w:val="en-GB"/>
        </w:rPr>
        <w:t>the</w:t>
      </w:r>
      <w:r w:rsidRPr="0090126B">
        <w:rPr>
          <w:rFonts w:ascii="Arial" w:hAnsi="Arial" w:cs="Arial"/>
          <w:lang w:val="en-GB"/>
        </w:rPr>
        <w:t xml:space="preserve"> latest available information on classification and labelling should be taken into account during the evaluation of plant protection products. This may be the </w:t>
      </w:r>
      <w:r w:rsidR="003A44B9">
        <w:rPr>
          <w:rFonts w:ascii="Arial" w:hAnsi="Arial" w:cs="Arial"/>
          <w:lang w:val="en-GB"/>
        </w:rPr>
        <w:t xml:space="preserve">classification in </w:t>
      </w:r>
      <w:r w:rsidRPr="0090126B">
        <w:rPr>
          <w:rFonts w:ascii="Arial" w:hAnsi="Arial" w:cs="Arial"/>
          <w:lang w:val="en-GB"/>
        </w:rPr>
        <w:t xml:space="preserve">Annex VI </w:t>
      </w:r>
      <w:r w:rsidR="003A44B9">
        <w:rPr>
          <w:rFonts w:ascii="Arial" w:hAnsi="Arial" w:cs="Arial"/>
          <w:lang w:val="en-GB"/>
        </w:rPr>
        <w:t xml:space="preserve">of Regulation 1272/2008 </w:t>
      </w:r>
      <w:r w:rsidRPr="0090126B">
        <w:rPr>
          <w:rFonts w:ascii="Arial" w:hAnsi="Arial" w:cs="Arial"/>
          <w:lang w:val="en-GB"/>
        </w:rPr>
        <w:t xml:space="preserve">or </w:t>
      </w:r>
      <w:r w:rsidR="003A44B9" w:rsidRPr="00B266B4">
        <w:rPr>
          <w:rFonts w:ascii="Arial" w:hAnsi="Arial" w:cs="Arial"/>
          <w:bCs/>
          <w:lang w:val="en-GB"/>
        </w:rPr>
        <w:t>Committee for Risk Assessment</w:t>
      </w:r>
      <w:r w:rsidR="003A44B9">
        <w:rPr>
          <w:rFonts w:ascii="Arial" w:hAnsi="Arial" w:cs="Arial"/>
          <w:bCs/>
          <w:lang w:val="en-GB"/>
        </w:rPr>
        <w:t xml:space="preserve"> (RAC) </w:t>
      </w:r>
      <w:r w:rsidR="003A44B9" w:rsidRPr="00B266B4">
        <w:rPr>
          <w:rFonts w:ascii="Arial" w:hAnsi="Arial" w:cs="Arial"/>
          <w:bCs/>
          <w:lang w:val="en-GB"/>
        </w:rPr>
        <w:t>Opinion proposing harmonised classification and labelling at EU</w:t>
      </w:r>
      <w:r w:rsidR="003A44B9">
        <w:rPr>
          <w:rFonts w:ascii="Arial" w:hAnsi="Arial" w:cs="Arial"/>
          <w:bCs/>
          <w:lang w:val="en-GB"/>
        </w:rPr>
        <w:t xml:space="preserve"> </w:t>
      </w:r>
      <w:r w:rsidR="003A44B9" w:rsidRPr="00B266B4">
        <w:rPr>
          <w:rFonts w:ascii="Arial" w:hAnsi="Arial" w:cs="Arial"/>
          <w:bCs/>
          <w:lang w:val="en-GB"/>
        </w:rPr>
        <w:t>level</w:t>
      </w:r>
      <w:r w:rsidRPr="003A44B9">
        <w:rPr>
          <w:rFonts w:ascii="Arial" w:hAnsi="Arial" w:cs="Arial"/>
          <w:bCs/>
          <w:lang w:val="en-GB"/>
        </w:rPr>
        <w:t xml:space="preserve">. </w:t>
      </w:r>
    </w:p>
    <w:p w:rsidR="003A44B9" w:rsidRDefault="003A44B9" w:rsidP="007F2D43">
      <w:pPr>
        <w:jc w:val="both"/>
        <w:rPr>
          <w:rFonts w:ascii="Arial" w:hAnsi="Arial" w:cs="Arial"/>
          <w:bCs/>
          <w:lang w:val="en-GB"/>
        </w:rPr>
      </w:pPr>
      <w:r>
        <w:rPr>
          <w:rFonts w:ascii="Arial" w:hAnsi="Arial" w:cs="Arial"/>
          <w:bCs/>
          <w:lang w:val="en-GB"/>
        </w:rPr>
        <w:t>In cases where no harmonized classification exists and CLH dossier was not submitted to ECHA, but in EFSA conclusion a CMR classification was proposed this might be taken into consideration for classification of plant protection product.</w:t>
      </w:r>
    </w:p>
    <w:p w:rsidR="003A44B9" w:rsidRDefault="003A44B9" w:rsidP="007F2D43">
      <w:pPr>
        <w:jc w:val="both"/>
        <w:rPr>
          <w:rFonts w:ascii="Arial" w:hAnsi="Arial" w:cs="Arial"/>
          <w:bCs/>
          <w:lang w:val="en-GB"/>
        </w:rPr>
      </w:pPr>
    </w:p>
    <w:p w:rsidR="003A44B9" w:rsidRPr="003A44B9" w:rsidRDefault="003A44B9" w:rsidP="007F2D43">
      <w:pPr>
        <w:jc w:val="both"/>
        <w:rPr>
          <w:rFonts w:ascii="Arial" w:hAnsi="Arial" w:cs="Arial"/>
          <w:bCs/>
          <w:lang w:val="en-GB"/>
        </w:rPr>
      </w:pPr>
      <w:r>
        <w:rPr>
          <w:rFonts w:ascii="Arial" w:hAnsi="Arial" w:cs="Arial"/>
          <w:bCs/>
          <w:lang w:val="en-GB"/>
        </w:rPr>
        <w:t xml:space="preserve">In absence of harmonized classification of active substance RAC opinion (if available) is taken into account also for relevance assessment of groundwater metabolites. </w:t>
      </w:r>
      <w:r>
        <w:rPr>
          <w:rFonts w:ascii="Arial" w:hAnsi="Arial" w:cs="Arial"/>
          <w:bCs/>
          <w:lang w:val="en-GB"/>
        </w:rPr>
        <w:lastRenderedPageBreak/>
        <w:t xml:space="preserve">Groundwater metabolites of active substances proposed to be classified as carcinogenic or </w:t>
      </w:r>
      <w:proofErr w:type="spellStart"/>
      <w:r>
        <w:rPr>
          <w:rFonts w:ascii="Arial" w:hAnsi="Arial" w:cs="Arial"/>
          <w:bCs/>
          <w:lang w:val="en-GB"/>
        </w:rPr>
        <w:t>reprotoxic</w:t>
      </w:r>
      <w:proofErr w:type="spellEnd"/>
      <w:r>
        <w:rPr>
          <w:rFonts w:ascii="Arial" w:hAnsi="Arial" w:cs="Arial"/>
          <w:bCs/>
          <w:lang w:val="en-GB"/>
        </w:rPr>
        <w:t xml:space="preserve"> in a RAC Opinion are considered relevant unless demonstrated to the contrary. </w:t>
      </w:r>
    </w:p>
    <w:p w:rsidR="007F2D43" w:rsidRPr="003A44B9" w:rsidRDefault="007F2D43" w:rsidP="00E62914">
      <w:pPr>
        <w:jc w:val="both"/>
        <w:rPr>
          <w:rFonts w:ascii="Arial" w:hAnsi="Arial" w:cs="Arial"/>
          <w:bCs/>
          <w:lang w:val="en-GB"/>
        </w:rPr>
      </w:pPr>
    </w:p>
    <w:p w:rsidR="002B5EDE" w:rsidRPr="0090126B" w:rsidRDefault="00A6291B" w:rsidP="00E62914">
      <w:pPr>
        <w:jc w:val="both"/>
        <w:rPr>
          <w:rFonts w:ascii="Arial" w:hAnsi="Arial"/>
          <w:bCs/>
          <w:lang w:val="en-GB"/>
        </w:rPr>
      </w:pPr>
      <w:r w:rsidRPr="0090126B">
        <w:rPr>
          <w:rFonts w:ascii="Arial" w:hAnsi="Arial"/>
          <w:bCs/>
          <w:lang w:val="en-GB"/>
        </w:rPr>
        <w:t>The proposed classification and labelling of the co-</w:t>
      </w:r>
      <w:proofErr w:type="spellStart"/>
      <w:r w:rsidRPr="0090126B">
        <w:rPr>
          <w:rFonts w:ascii="Arial" w:hAnsi="Arial"/>
          <w:bCs/>
          <w:lang w:val="en-GB"/>
        </w:rPr>
        <w:t>formulants</w:t>
      </w:r>
      <w:proofErr w:type="spellEnd"/>
      <w:r w:rsidRPr="0090126B">
        <w:rPr>
          <w:rFonts w:ascii="Arial" w:hAnsi="Arial"/>
          <w:bCs/>
          <w:lang w:val="en-GB"/>
        </w:rPr>
        <w:t xml:space="preserve"> should be submitted </w:t>
      </w:r>
      <w:r w:rsidR="00CC70BE">
        <w:rPr>
          <w:rFonts w:ascii="Arial" w:hAnsi="Arial"/>
          <w:bCs/>
          <w:lang w:val="en-GB"/>
        </w:rPr>
        <w:t>as well as</w:t>
      </w:r>
      <w:r w:rsidR="00CC70BE" w:rsidRPr="0090126B">
        <w:rPr>
          <w:rFonts w:ascii="Arial" w:hAnsi="Arial"/>
          <w:bCs/>
          <w:lang w:val="en-GB"/>
        </w:rPr>
        <w:t xml:space="preserve"> </w:t>
      </w:r>
      <w:r w:rsidRPr="0090126B">
        <w:rPr>
          <w:rFonts w:ascii="Arial" w:hAnsi="Arial"/>
          <w:bCs/>
          <w:lang w:val="en-GB"/>
        </w:rPr>
        <w:t>updated MSDS for each co-</w:t>
      </w:r>
      <w:proofErr w:type="spellStart"/>
      <w:r w:rsidRPr="0090126B">
        <w:rPr>
          <w:rFonts w:ascii="Arial" w:hAnsi="Arial"/>
          <w:bCs/>
          <w:lang w:val="en-GB"/>
        </w:rPr>
        <w:t>formulant</w:t>
      </w:r>
      <w:proofErr w:type="spellEnd"/>
      <w:r w:rsidR="002676BF" w:rsidRPr="0090126B">
        <w:rPr>
          <w:rFonts w:ascii="Arial" w:hAnsi="Arial"/>
          <w:bCs/>
          <w:lang w:val="en-GB"/>
        </w:rPr>
        <w:t xml:space="preserve">. </w:t>
      </w:r>
    </w:p>
    <w:p w:rsidR="002676BF" w:rsidRPr="0090126B" w:rsidRDefault="002676BF" w:rsidP="00E62914">
      <w:pPr>
        <w:jc w:val="both"/>
        <w:rPr>
          <w:rFonts w:ascii="Arial" w:hAnsi="Arial"/>
          <w:bCs/>
          <w:lang w:val="en-GB"/>
        </w:rPr>
      </w:pPr>
    </w:p>
    <w:p w:rsidR="00760581" w:rsidRPr="0090126B" w:rsidRDefault="00760581" w:rsidP="00E62914">
      <w:pPr>
        <w:jc w:val="both"/>
        <w:rPr>
          <w:rFonts w:ascii="Arial" w:hAnsi="Arial"/>
          <w:bCs/>
          <w:lang w:val="en-GB"/>
        </w:rPr>
      </w:pPr>
      <w:r w:rsidRPr="0090126B">
        <w:rPr>
          <w:rFonts w:ascii="Arial" w:hAnsi="Arial"/>
          <w:bCs/>
          <w:lang w:val="en-GB"/>
        </w:rPr>
        <w:t xml:space="preserve">C&amp;L of formulation according to 1272/2008 is </w:t>
      </w:r>
      <w:r w:rsidR="00A6291B" w:rsidRPr="0090126B">
        <w:rPr>
          <w:rFonts w:ascii="Arial" w:hAnsi="Arial"/>
          <w:bCs/>
          <w:lang w:val="en-GB"/>
        </w:rPr>
        <w:t>mandatory</w:t>
      </w:r>
      <w:r w:rsidR="00BF683E" w:rsidRPr="0090126B">
        <w:rPr>
          <w:rFonts w:ascii="Arial" w:hAnsi="Arial"/>
          <w:bCs/>
          <w:lang w:val="en-GB"/>
        </w:rPr>
        <w:t>.</w:t>
      </w:r>
    </w:p>
    <w:p w:rsidR="00760581" w:rsidRPr="0090126B" w:rsidRDefault="00760581" w:rsidP="00760581">
      <w:pPr>
        <w:rPr>
          <w:rFonts w:ascii="Arial" w:hAnsi="Arial"/>
          <w:b/>
          <w:bCs/>
          <w:lang w:val="en-GB"/>
        </w:rPr>
      </w:pPr>
    </w:p>
    <w:p w:rsidR="000E3EFA" w:rsidRPr="0090126B" w:rsidRDefault="000E3EFA" w:rsidP="00FE2417">
      <w:pPr>
        <w:pStyle w:val="Naslov3"/>
      </w:pPr>
      <w:bookmarkStart w:id="9" w:name="_Toc120874250"/>
      <w:r w:rsidRPr="0090126B">
        <w:t>Operator exposure (OPEX)</w:t>
      </w:r>
      <w:bookmarkEnd w:id="9"/>
    </w:p>
    <w:p w:rsidR="000E3EFA" w:rsidRPr="0090126B" w:rsidRDefault="000E3EFA" w:rsidP="000E3EFA">
      <w:pPr>
        <w:rPr>
          <w:rFonts w:ascii="Arial" w:hAnsi="Arial"/>
          <w:b/>
          <w:bCs/>
          <w:lang w:val="en-GB"/>
        </w:rPr>
      </w:pPr>
    </w:p>
    <w:p w:rsidR="000E3EFA" w:rsidRPr="0090126B" w:rsidRDefault="00BF683E" w:rsidP="007001DC">
      <w:pPr>
        <w:pStyle w:val="GroupWiseView"/>
        <w:ind w:firstLine="708"/>
        <w:jc w:val="both"/>
        <w:rPr>
          <w:rFonts w:ascii="Arial" w:hAnsi="Arial" w:cs="Ta8"/>
          <w:b/>
          <w:bCs/>
          <w:sz w:val="24"/>
          <w:szCs w:val="24"/>
          <w:lang w:val="en-GB"/>
        </w:rPr>
      </w:pPr>
      <w:r w:rsidRPr="0090126B">
        <w:rPr>
          <w:rFonts w:ascii="Arial" w:hAnsi="Arial" w:cs="Ta8"/>
          <w:b/>
          <w:bCs/>
          <w:sz w:val="24"/>
          <w:szCs w:val="24"/>
          <w:lang w:val="en-GB"/>
        </w:rPr>
        <w:t>2.</w:t>
      </w:r>
      <w:r w:rsidR="00E47E6C" w:rsidRPr="0090126B">
        <w:rPr>
          <w:rFonts w:ascii="Arial" w:hAnsi="Arial" w:cs="Ta8"/>
          <w:b/>
          <w:bCs/>
          <w:sz w:val="24"/>
          <w:szCs w:val="24"/>
          <w:lang w:val="en-GB"/>
        </w:rPr>
        <w:t>3</w:t>
      </w:r>
      <w:r w:rsidRPr="0090126B">
        <w:rPr>
          <w:rFonts w:ascii="Arial" w:hAnsi="Arial" w:cs="Ta8"/>
          <w:b/>
          <w:bCs/>
          <w:sz w:val="24"/>
          <w:szCs w:val="24"/>
          <w:lang w:val="en-GB"/>
        </w:rPr>
        <w:t xml:space="preserve">.1 </w:t>
      </w:r>
      <w:r w:rsidR="000E3EFA" w:rsidRPr="0090126B">
        <w:rPr>
          <w:rFonts w:ascii="Arial" w:hAnsi="Arial" w:cs="Ta8"/>
          <w:b/>
          <w:bCs/>
          <w:sz w:val="24"/>
          <w:szCs w:val="24"/>
          <w:lang w:val="en-GB"/>
        </w:rPr>
        <w:t>OPEX models</w:t>
      </w:r>
    </w:p>
    <w:p w:rsidR="000E3EFA" w:rsidRPr="0090126B" w:rsidRDefault="000E3EFA" w:rsidP="000E3EFA">
      <w:pPr>
        <w:pStyle w:val="GroupWiseView"/>
        <w:jc w:val="both"/>
        <w:rPr>
          <w:rFonts w:ascii="Arial" w:hAnsi="Arial" w:cs="Ta8"/>
          <w:sz w:val="24"/>
          <w:szCs w:val="24"/>
          <w:lang w:val="en-GB"/>
        </w:rPr>
      </w:pPr>
    </w:p>
    <w:p w:rsidR="00F215E6" w:rsidRDefault="00F215E6" w:rsidP="00FE2417">
      <w:pPr>
        <w:rPr>
          <w:rFonts w:ascii="Arial" w:hAnsi="Arial" w:cs="Arial"/>
          <w:lang w:bidi="si-LK"/>
        </w:rPr>
      </w:pPr>
      <w:r w:rsidRPr="00FE2417">
        <w:rPr>
          <w:rFonts w:ascii="Arial" w:hAnsi="Arial" w:cs="Arial"/>
          <w:lang w:bidi="si-LK"/>
        </w:rPr>
        <w:t>Operator exposure estimations according to the Guidance on the assessment of exposure of operators, workers, residents and bystanders in risk assessment for plant protection products (EFSA Journal 2014;12(10):3874) using the Agricultural Operator Exposure Mode</w:t>
      </w:r>
      <w:r w:rsidR="006227D8" w:rsidRPr="00FE2417">
        <w:rPr>
          <w:rFonts w:ascii="Arial" w:hAnsi="Arial" w:cs="Arial"/>
          <w:lang w:bidi="si-LK"/>
        </w:rPr>
        <w:t>l (AOEM) are acceptable.</w:t>
      </w:r>
      <w:r w:rsidRPr="00FE2417">
        <w:rPr>
          <w:rFonts w:ascii="Arial" w:hAnsi="Arial" w:cs="Arial"/>
          <w:lang w:bidi="si-LK"/>
        </w:rPr>
        <w:t xml:space="preserve"> </w:t>
      </w:r>
    </w:p>
    <w:p w:rsidR="00FE2417" w:rsidRPr="00FE2417" w:rsidRDefault="00FE2417" w:rsidP="00FE2417">
      <w:pPr>
        <w:rPr>
          <w:rFonts w:ascii="Arial" w:hAnsi="Arial" w:cs="Arial"/>
          <w:b/>
          <w:bCs/>
          <w:lang w:bidi="si-LK"/>
        </w:rPr>
      </w:pPr>
    </w:p>
    <w:p w:rsidR="00F215E6" w:rsidRPr="00FE2417" w:rsidRDefault="00572974" w:rsidP="00FE2417">
      <w:pPr>
        <w:rPr>
          <w:rFonts w:ascii="Arial" w:hAnsi="Arial" w:cs="Arial"/>
          <w:b/>
        </w:rPr>
      </w:pPr>
      <w:r w:rsidRPr="00FE2417">
        <w:rPr>
          <w:rFonts w:ascii="Arial" w:hAnsi="Arial" w:cs="Arial"/>
        </w:rPr>
        <w:t xml:space="preserve">For the </w:t>
      </w:r>
      <w:r w:rsidRPr="00FE2417">
        <w:rPr>
          <w:rFonts w:ascii="Arial" w:hAnsi="Arial" w:cs="Arial"/>
          <w:u w:val="single"/>
        </w:rPr>
        <w:t>indoor use</w:t>
      </w:r>
      <w:r w:rsidRPr="00FE2417">
        <w:rPr>
          <w:rFonts w:ascii="Arial" w:hAnsi="Arial" w:cs="Arial"/>
        </w:rPr>
        <w:t>, the Indoor hand held EUROPOEM model is accepted as well as ECPA Southern greenhouse operator exposure model or Dutch model</w:t>
      </w:r>
    </w:p>
    <w:p w:rsidR="000E3EFA" w:rsidRPr="0090126B" w:rsidRDefault="000E3EFA" w:rsidP="000E3EFA">
      <w:pPr>
        <w:pStyle w:val="GroupWiseView"/>
        <w:rPr>
          <w:rFonts w:ascii="Arial" w:hAnsi="Arial"/>
          <w:b/>
          <w:bCs/>
          <w:sz w:val="24"/>
          <w:szCs w:val="24"/>
          <w:highlight w:val="yellow"/>
          <w:lang w:val="en-GB"/>
        </w:rPr>
      </w:pPr>
    </w:p>
    <w:p w:rsidR="00B266B4" w:rsidRDefault="000E3EFA" w:rsidP="000E3EFA">
      <w:pPr>
        <w:pStyle w:val="GroupWiseView"/>
        <w:jc w:val="both"/>
        <w:rPr>
          <w:rFonts w:ascii="Arial" w:hAnsi="Arial" w:cs="Ta8"/>
          <w:sz w:val="24"/>
          <w:szCs w:val="24"/>
          <w:lang w:val="en-GB"/>
        </w:rPr>
      </w:pPr>
      <w:r w:rsidRPr="0090126B">
        <w:rPr>
          <w:rFonts w:ascii="Arial" w:hAnsi="Arial" w:cs="Ta8"/>
          <w:sz w:val="24"/>
          <w:szCs w:val="24"/>
          <w:lang w:val="en-GB"/>
        </w:rPr>
        <w:t xml:space="preserve">For </w:t>
      </w:r>
      <w:r w:rsidRPr="0090126B">
        <w:rPr>
          <w:rFonts w:ascii="Arial" w:hAnsi="Arial" w:cs="Ta8"/>
          <w:sz w:val="24"/>
          <w:szCs w:val="24"/>
          <w:u w:val="single"/>
          <w:lang w:val="en-GB"/>
        </w:rPr>
        <w:t>seed treatment</w:t>
      </w:r>
      <w:r w:rsidRPr="0090126B">
        <w:rPr>
          <w:rFonts w:ascii="Arial" w:hAnsi="Arial" w:cs="Ta8"/>
          <w:sz w:val="24"/>
          <w:szCs w:val="24"/>
          <w:lang w:val="en-GB"/>
        </w:rPr>
        <w:t xml:space="preserve"> the SEEDTROPEX model is accepted.  </w:t>
      </w:r>
    </w:p>
    <w:p w:rsidR="00B266B4" w:rsidRDefault="00B266B4" w:rsidP="000E3EFA">
      <w:pPr>
        <w:pStyle w:val="GroupWiseView"/>
        <w:jc w:val="both"/>
        <w:rPr>
          <w:rFonts w:ascii="Arial" w:hAnsi="Arial" w:cs="Ta8"/>
          <w:sz w:val="24"/>
          <w:szCs w:val="24"/>
          <w:lang w:val="en-GB"/>
        </w:rPr>
      </w:pPr>
    </w:p>
    <w:p w:rsidR="000E3EFA" w:rsidRDefault="000E3EFA" w:rsidP="000E3EFA">
      <w:pPr>
        <w:pStyle w:val="GroupWiseView"/>
        <w:jc w:val="both"/>
        <w:rPr>
          <w:rFonts w:ascii="Arial" w:hAnsi="Arial" w:cs="Ta8"/>
          <w:sz w:val="24"/>
          <w:szCs w:val="24"/>
          <w:lang w:val="en-GB"/>
        </w:rPr>
      </w:pPr>
      <w:r w:rsidRPr="0090126B">
        <w:rPr>
          <w:rFonts w:ascii="Arial" w:hAnsi="Arial" w:cs="Ta8"/>
          <w:sz w:val="24"/>
          <w:szCs w:val="24"/>
          <w:lang w:val="en-GB"/>
        </w:rPr>
        <w:t xml:space="preserve">When the PPP are sold to the general public, the models for </w:t>
      </w:r>
      <w:r w:rsidRPr="0090126B">
        <w:rPr>
          <w:rFonts w:ascii="Arial" w:hAnsi="Arial" w:cs="Ta8"/>
          <w:sz w:val="24"/>
          <w:szCs w:val="24"/>
          <w:u w:val="single"/>
          <w:lang w:val="en-GB"/>
        </w:rPr>
        <w:t>amateur use</w:t>
      </w:r>
      <w:r w:rsidRPr="0090126B">
        <w:rPr>
          <w:rFonts w:ascii="Arial" w:hAnsi="Arial" w:cs="Ta8"/>
          <w:sz w:val="24"/>
          <w:szCs w:val="24"/>
          <w:lang w:val="en-GB"/>
        </w:rPr>
        <w:t xml:space="preserve"> should be taken into consideration. The UK POEM model: home garden sprayer (5 L tank). Outdoor, low level target; should be used only when the PPP needs to be diluted before the application. When Ready to Use Products </w:t>
      </w:r>
      <w:r w:rsidR="0084201C">
        <w:rPr>
          <w:rFonts w:ascii="Arial" w:hAnsi="Arial" w:cs="Ta8"/>
          <w:sz w:val="24"/>
          <w:szCs w:val="24"/>
          <w:lang w:val="en-GB"/>
        </w:rPr>
        <w:t>–</w:t>
      </w:r>
      <w:r w:rsidRPr="0090126B">
        <w:rPr>
          <w:rFonts w:ascii="Arial" w:hAnsi="Arial" w:cs="Ta8"/>
          <w:sz w:val="24"/>
          <w:szCs w:val="24"/>
          <w:lang w:val="en-GB"/>
        </w:rPr>
        <w:t xml:space="preserve"> </w:t>
      </w:r>
      <w:r w:rsidR="0084201C">
        <w:rPr>
          <w:rFonts w:ascii="Arial" w:hAnsi="Arial" w:cs="Ta8"/>
          <w:sz w:val="24"/>
          <w:szCs w:val="24"/>
          <w:lang w:val="en-GB"/>
        </w:rPr>
        <w:t xml:space="preserve">space sprayers, surface sprayers and </w:t>
      </w:r>
      <w:proofErr w:type="spellStart"/>
      <w:r w:rsidR="0084201C">
        <w:rPr>
          <w:rFonts w:ascii="Arial" w:hAnsi="Arial" w:cs="Ta8"/>
          <w:sz w:val="24"/>
          <w:szCs w:val="24"/>
          <w:lang w:val="en-GB"/>
        </w:rPr>
        <w:t>dustable</w:t>
      </w:r>
      <w:proofErr w:type="spellEnd"/>
      <w:r w:rsidR="0084201C">
        <w:rPr>
          <w:rFonts w:ascii="Arial" w:hAnsi="Arial" w:cs="Ta8"/>
          <w:sz w:val="24"/>
          <w:szCs w:val="24"/>
          <w:lang w:val="en-GB"/>
        </w:rPr>
        <w:t xml:space="preserve"> powder applications operator </w:t>
      </w:r>
      <w:proofErr w:type="gramStart"/>
      <w:r w:rsidR="0084201C">
        <w:rPr>
          <w:rFonts w:ascii="Arial" w:hAnsi="Arial" w:cs="Ta8"/>
          <w:sz w:val="24"/>
          <w:szCs w:val="24"/>
          <w:lang w:val="en-GB"/>
        </w:rPr>
        <w:t xml:space="preserve">exposure </w:t>
      </w:r>
      <w:r w:rsidRPr="0090126B">
        <w:rPr>
          <w:rFonts w:ascii="Arial" w:hAnsi="Arial" w:cs="Ta8"/>
          <w:sz w:val="24"/>
          <w:szCs w:val="24"/>
          <w:lang w:val="en-GB"/>
        </w:rPr>
        <w:t xml:space="preserve"> can</w:t>
      </w:r>
      <w:proofErr w:type="gramEnd"/>
      <w:r w:rsidRPr="0090126B">
        <w:rPr>
          <w:rFonts w:ascii="Arial" w:hAnsi="Arial" w:cs="Ta8"/>
          <w:sz w:val="24"/>
          <w:szCs w:val="24"/>
          <w:lang w:val="en-GB"/>
        </w:rPr>
        <w:t xml:space="preserve"> be estimated on the basis of the data published in </w:t>
      </w:r>
      <w:proofErr w:type="spellStart"/>
      <w:r w:rsidRPr="0090126B">
        <w:rPr>
          <w:rFonts w:ascii="Arial" w:hAnsi="Arial" w:cs="Ta8"/>
          <w:sz w:val="24"/>
          <w:szCs w:val="24"/>
          <w:lang w:val="en-GB"/>
        </w:rPr>
        <w:t>TNsG</w:t>
      </w:r>
      <w:proofErr w:type="spellEnd"/>
      <w:r w:rsidRPr="0090126B">
        <w:rPr>
          <w:rFonts w:ascii="Arial" w:hAnsi="Arial" w:cs="Ta8"/>
          <w:sz w:val="24"/>
          <w:szCs w:val="24"/>
          <w:lang w:val="en-GB"/>
        </w:rPr>
        <w:t xml:space="preserve"> / TNSG on Human Exposure / Report 2002 part 2. The excel spreadsheet can be found on the UK Health &amp; Safety Executive (HSE)</w:t>
      </w:r>
      <w:r w:rsidR="0084201C">
        <w:rPr>
          <w:rFonts w:ascii="Arial" w:hAnsi="Arial" w:cs="Ta8"/>
          <w:sz w:val="24"/>
          <w:szCs w:val="24"/>
          <w:lang w:val="en-GB"/>
        </w:rPr>
        <w:t xml:space="preserve"> website</w:t>
      </w:r>
      <w:r w:rsidRPr="0090126B">
        <w:rPr>
          <w:rFonts w:ascii="Arial" w:hAnsi="Arial" w:cs="Ta8"/>
          <w:sz w:val="24"/>
          <w:szCs w:val="24"/>
          <w:lang w:val="en-GB"/>
        </w:rPr>
        <w:t>.</w:t>
      </w:r>
    </w:p>
    <w:p w:rsidR="000E3EFA" w:rsidRPr="0090126B" w:rsidRDefault="000E3EFA" w:rsidP="000E3EFA">
      <w:pPr>
        <w:pStyle w:val="GroupWiseView"/>
        <w:jc w:val="both"/>
        <w:rPr>
          <w:rFonts w:ascii="Arial" w:hAnsi="Arial" w:cs="Ta8"/>
          <w:sz w:val="24"/>
          <w:szCs w:val="24"/>
          <w:lang w:val="en-GB"/>
        </w:rPr>
      </w:pPr>
    </w:p>
    <w:p w:rsidR="009F406D" w:rsidRPr="0090126B" w:rsidRDefault="000E3EFA" w:rsidP="000E3EFA">
      <w:pPr>
        <w:pStyle w:val="GroupWiseView"/>
        <w:jc w:val="both"/>
        <w:rPr>
          <w:rFonts w:ascii="Arial" w:hAnsi="Arial" w:cs="Ta8"/>
          <w:sz w:val="24"/>
          <w:szCs w:val="24"/>
          <w:lang w:val="en-GB"/>
        </w:rPr>
      </w:pPr>
      <w:r w:rsidRPr="0090126B">
        <w:rPr>
          <w:rFonts w:ascii="Arial" w:hAnsi="Arial" w:cs="Ta8"/>
          <w:sz w:val="24"/>
          <w:szCs w:val="24"/>
          <w:lang w:val="en-GB"/>
        </w:rPr>
        <w:t xml:space="preserve">For other </w:t>
      </w:r>
      <w:r w:rsidRPr="0090126B">
        <w:rPr>
          <w:rFonts w:ascii="Arial" w:hAnsi="Arial" w:cs="Ta8"/>
          <w:sz w:val="24"/>
          <w:szCs w:val="24"/>
          <w:u w:val="single"/>
          <w:lang w:val="en-GB"/>
        </w:rPr>
        <w:t>proposed uses that are less common</w:t>
      </w:r>
      <w:r w:rsidRPr="0090126B">
        <w:rPr>
          <w:rFonts w:ascii="Arial" w:hAnsi="Arial" w:cs="Ta8"/>
          <w:sz w:val="24"/>
          <w:szCs w:val="24"/>
          <w:lang w:val="en-GB"/>
        </w:rPr>
        <w:t>, the operator exposure should be est</w:t>
      </w:r>
      <w:r w:rsidR="009F406D" w:rsidRPr="0090126B">
        <w:rPr>
          <w:rFonts w:ascii="Arial" w:hAnsi="Arial" w:cs="Ta8"/>
          <w:sz w:val="24"/>
          <w:szCs w:val="24"/>
          <w:lang w:val="en-GB"/>
        </w:rPr>
        <w:t>imated by appropriate model if existing</w:t>
      </w:r>
      <w:r w:rsidR="002B5880">
        <w:rPr>
          <w:rFonts w:ascii="Arial" w:hAnsi="Arial" w:cs="Ta8"/>
          <w:sz w:val="24"/>
          <w:szCs w:val="24"/>
          <w:lang w:val="en-GB"/>
        </w:rPr>
        <w:t xml:space="preserve"> </w:t>
      </w:r>
      <w:r w:rsidR="005B6CA1">
        <w:rPr>
          <w:rFonts w:ascii="Arial" w:hAnsi="Arial" w:cs="Ta8"/>
          <w:sz w:val="24"/>
          <w:szCs w:val="24"/>
          <w:lang w:val="en-GB"/>
        </w:rPr>
        <w:t xml:space="preserve">(e.g. </w:t>
      </w:r>
      <w:r w:rsidR="002B5880">
        <w:rPr>
          <w:rFonts w:ascii="Arial" w:hAnsi="Arial" w:cs="Ta8"/>
          <w:sz w:val="24"/>
          <w:szCs w:val="24"/>
          <w:lang w:val="en-GB"/>
        </w:rPr>
        <w:t xml:space="preserve">for biocidal </w:t>
      </w:r>
      <w:r w:rsidR="0071034D">
        <w:rPr>
          <w:rFonts w:ascii="Arial" w:hAnsi="Arial" w:cs="Ta8"/>
          <w:sz w:val="24"/>
          <w:szCs w:val="24"/>
          <w:lang w:val="en-GB"/>
        </w:rPr>
        <w:t xml:space="preserve">product </w:t>
      </w:r>
      <w:r w:rsidR="002B5880">
        <w:rPr>
          <w:rFonts w:ascii="Arial" w:hAnsi="Arial" w:cs="Ta8"/>
          <w:sz w:val="24"/>
          <w:szCs w:val="24"/>
          <w:lang w:val="en-GB"/>
        </w:rPr>
        <w:t>uses</w:t>
      </w:r>
      <w:r w:rsidR="005B6CA1">
        <w:rPr>
          <w:rFonts w:ascii="Arial" w:hAnsi="Arial" w:cs="Ta8"/>
          <w:sz w:val="24"/>
          <w:szCs w:val="24"/>
          <w:lang w:val="en-GB"/>
        </w:rPr>
        <w:t>)</w:t>
      </w:r>
      <w:r w:rsidR="009F406D" w:rsidRPr="0090126B">
        <w:rPr>
          <w:rFonts w:ascii="Arial" w:hAnsi="Arial" w:cs="Ta8"/>
          <w:sz w:val="24"/>
          <w:szCs w:val="24"/>
          <w:lang w:val="en-GB"/>
        </w:rPr>
        <w:t xml:space="preserve">. </w:t>
      </w:r>
    </w:p>
    <w:p w:rsidR="009F406D" w:rsidRPr="0090126B" w:rsidRDefault="009F406D" w:rsidP="000E3EFA">
      <w:pPr>
        <w:pStyle w:val="GroupWiseView"/>
        <w:jc w:val="both"/>
        <w:rPr>
          <w:rFonts w:ascii="Arial" w:hAnsi="Arial" w:cs="Ta8"/>
          <w:sz w:val="24"/>
          <w:szCs w:val="24"/>
          <w:lang w:val="en-GB"/>
        </w:rPr>
      </w:pPr>
    </w:p>
    <w:p w:rsidR="00A065A2" w:rsidRPr="0090126B" w:rsidRDefault="00A065A2" w:rsidP="000E3EFA">
      <w:pPr>
        <w:pStyle w:val="GroupWiseView"/>
        <w:jc w:val="both"/>
        <w:rPr>
          <w:rFonts w:ascii="Arial" w:hAnsi="Arial" w:cs="Ta8"/>
          <w:sz w:val="24"/>
          <w:szCs w:val="24"/>
          <w:lang w:val="en-GB"/>
        </w:rPr>
      </w:pPr>
    </w:p>
    <w:p w:rsidR="0063633A" w:rsidRPr="0090126B" w:rsidRDefault="0063633A" w:rsidP="000E3EFA">
      <w:pPr>
        <w:pStyle w:val="GroupWiseView"/>
        <w:jc w:val="both"/>
        <w:rPr>
          <w:rFonts w:ascii="Arial" w:hAnsi="Arial" w:cs="Ta8"/>
          <w:sz w:val="24"/>
          <w:szCs w:val="24"/>
          <w:lang w:val="en-GB"/>
        </w:rPr>
      </w:pPr>
    </w:p>
    <w:p w:rsidR="000E3EFA" w:rsidRDefault="000E3EFA" w:rsidP="007001DC">
      <w:pPr>
        <w:pStyle w:val="GroupWiseView"/>
        <w:numPr>
          <w:ilvl w:val="2"/>
          <w:numId w:val="19"/>
        </w:numPr>
        <w:jc w:val="both"/>
        <w:rPr>
          <w:rFonts w:ascii="Arial" w:hAnsi="Arial" w:cs="Times New Roman"/>
          <w:b/>
          <w:bCs/>
          <w:sz w:val="24"/>
          <w:szCs w:val="24"/>
          <w:lang w:val="en-GB"/>
        </w:rPr>
      </w:pPr>
      <w:r w:rsidRPr="0090126B">
        <w:rPr>
          <w:rFonts w:ascii="Arial" w:hAnsi="Arial" w:cs="Times New Roman"/>
          <w:b/>
          <w:bCs/>
          <w:sz w:val="24"/>
          <w:szCs w:val="24"/>
          <w:lang w:val="en-GB"/>
        </w:rPr>
        <w:t xml:space="preserve">Use of Personal Protective Equipment (PPE) </w:t>
      </w:r>
    </w:p>
    <w:p w:rsidR="00FE2417" w:rsidRPr="00FE2417" w:rsidRDefault="00FE2417" w:rsidP="00FE2417">
      <w:pPr>
        <w:rPr>
          <w:rFonts w:ascii="Arial" w:hAnsi="Arial" w:cs="Arial"/>
          <w:lang w:val="en-GB"/>
        </w:rPr>
      </w:pPr>
    </w:p>
    <w:p w:rsidR="000E3EFA" w:rsidRPr="00FE2417" w:rsidRDefault="000E3EFA" w:rsidP="00FE2417">
      <w:pPr>
        <w:rPr>
          <w:rFonts w:ascii="Arial" w:hAnsi="Arial" w:cs="Arial"/>
          <w:b/>
          <w:bCs/>
        </w:rPr>
      </w:pPr>
      <w:r w:rsidRPr="00FE2417">
        <w:rPr>
          <w:rFonts w:ascii="Arial" w:hAnsi="Arial" w:cs="Arial"/>
        </w:rPr>
        <w:t>The PPE should be used in the Operator exposure models when:</w:t>
      </w:r>
    </w:p>
    <w:p w:rsidR="000E3EFA" w:rsidRPr="00FE2417" w:rsidRDefault="000E3EFA" w:rsidP="00FE2417">
      <w:pPr>
        <w:pStyle w:val="Odstavekseznama"/>
        <w:numPr>
          <w:ilvl w:val="0"/>
          <w:numId w:val="26"/>
        </w:numPr>
        <w:rPr>
          <w:rFonts w:ascii="Arial" w:hAnsi="Arial" w:cs="Arial"/>
          <w:b/>
          <w:bCs/>
        </w:rPr>
      </w:pPr>
      <w:proofErr w:type="spellStart"/>
      <w:r w:rsidRPr="00FE2417">
        <w:rPr>
          <w:rFonts w:ascii="Arial" w:hAnsi="Arial" w:cs="Arial"/>
        </w:rPr>
        <w:t>The</w:t>
      </w:r>
      <w:proofErr w:type="spellEnd"/>
      <w:r w:rsidRPr="00FE2417">
        <w:rPr>
          <w:rFonts w:ascii="Arial" w:hAnsi="Arial" w:cs="Arial"/>
        </w:rPr>
        <w:t xml:space="preserve"> </w:t>
      </w:r>
      <w:proofErr w:type="spellStart"/>
      <w:r w:rsidRPr="00FE2417">
        <w:rPr>
          <w:rFonts w:ascii="Arial" w:hAnsi="Arial" w:cs="Arial"/>
        </w:rPr>
        <w:t>exposure</w:t>
      </w:r>
      <w:proofErr w:type="spellEnd"/>
      <w:r w:rsidRPr="00FE2417">
        <w:rPr>
          <w:rFonts w:ascii="Arial" w:hAnsi="Arial" w:cs="Arial"/>
        </w:rPr>
        <w:t xml:space="preserve"> </w:t>
      </w:r>
      <w:proofErr w:type="spellStart"/>
      <w:r w:rsidRPr="00FE2417">
        <w:rPr>
          <w:rFonts w:ascii="Arial" w:hAnsi="Arial" w:cs="Arial"/>
        </w:rPr>
        <w:t>exceeds</w:t>
      </w:r>
      <w:proofErr w:type="spellEnd"/>
      <w:r w:rsidRPr="00FE2417">
        <w:rPr>
          <w:rFonts w:ascii="Arial" w:hAnsi="Arial" w:cs="Arial"/>
        </w:rPr>
        <w:t xml:space="preserve"> </w:t>
      </w:r>
      <w:proofErr w:type="spellStart"/>
      <w:r w:rsidRPr="00FE2417">
        <w:rPr>
          <w:rFonts w:ascii="Arial" w:hAnsi="Arial" w:cs="Arial"/>
        </w:rPr>
        <w:t>the</w:t>
      </w:r>
      <w:proofErr w:type="spellEnd"/>
      <w:r w:rsidRPr="00FE2417">
        <w:rPr>
          <w:rFonts w:ascii="Arial" w:hAnsi="Arial" w:cs="Arial"/>
        </w:rPr>
        <w:t xml:space="preserve"> AOEL and the use of PPE will reduce the exposure to an acceptable level. </w:t>
      </w:r>
    </w:p>
    <w:p w:rsidR="000E3EFA" w:rsidRPr="00FE2417" w:rsidRDefault="000E3EFA" w:rsidP="00FE2417">
      <w:pPr>
        <w:pStyle w:val="Odstavekseznama"/>
        <w:numPr>
          <w:ilvl w:val="0"/>
          <w:numId w:val="26"/>
        </w:numPr>
        <w:rPr>
          <w:rFonts w:ascii="Arial" w:hAnsi="Arial" w:cs="Arial"/>
          <w:b/>
          <w:bCs/>
        </w:rPr>
      </w:pPr>
      <w:proofErr w:type="spellStart"/>
      <w:r w:rsidRPr="00FE2417">
        <w:rPr>
          <w:rFonts w:ascii="Arial" w:hAnsi="Arial" w:cs="Arial"/>
        </w:rPr>
        <w:t>The</w:t>
      </w:r>
      <w:proofErr w:type="spellEnd"/>
      <w:r w:rsidRPr="00FE2417">
        <w:rPr>
          <w:rFonts w:ascii="Arial" w:hAnsi="Arial" w:cs="Arial"/>
        </w:rPr>
        <w:t xml:space="preserve"> hazard </w:t>
      </w:r>
      <w:proofErr w:type="spellStart"/>
      <w:r w:rsidRPr="00FE2417">
        <w:rPr>
          <w:rFonts w:ascii="Arial" w:hAnsi="Arial" w:cs="Arial"/>
        </w:rPr>
        <w:t>classification</w:t>
      </w:r>
      <w:proofErr w:type="spellEnd"/>
      <w:r w:rsidRPr="00FE2417">
        <w:rPr>
          <w:rFonts w:ascii="Arial" w:hAnsi="Arial" w:cs="Arial"/>
        </w:rPr>
        <w:t xml:space="preserve"> </w:t>
      </w:r>
      <w:proofErr w:type="spellStart"/>
      <w:r w:rsidRPr="00FE2417">
        <w:rPr>
          <w:rFonts w:ascii="Arial" w:hAnsi="Arial" w:cs="Arial"/>
        </w:rPr>
        <w:t>of</w:t>
      </w:r>
      <w:proofErr w:type="spellEnd"/>
      <w:r w:rsidRPr="00FE2417">
        <w:rPr>
          <w:rFonts w:ascii="Arial" w:hAnsi="Arial" w:cs="Arial"/>
        </w:rPr>
        <w:t xml:space="preserve"> the PPP requires wearing of specific PPE (PPE used even though the exposure without wearing PPE does not exceed the AOEL).</w:t>
      </w:r>
    </w:p>
    <w:p w:rsidR="00A065A2" w:rsidRPr="00FE2417" w:rsidRDefault="00A065A2" w:rsidP="00FE2417">
      <w:pPr>
        <w:rPr>
          <w:rFonts w:ascii="Arial" w:hAnsi="Arial" w:cs="Arial"/>
        </w:rPr>
      </w:pPr>
    </w:p>
    <w:p w:rsidR="00A065A2" w:rsidRPr="00FE2417" w:rsidRDefault="00A065A2" w:rsidP="00FE2417">
      <w:pPr>
        <w:rPr>
          <w:rFonts w:ascii="Arial" w:hAnsi="Arial" w:cs="Arial"/>
          <w:b/>
          <w:bCs/>
        </w:rPr>
      </w:pPr>
      <w:r w:rsidRPr="00FE2417">
        <w:rPr>
          <w:rFonts w:ascii="Arial" w:hAnsi="Arial" w:cs="Arial"/>
        </w:rPr>
        <w:t xml:space="preserve">The applicant should submit detailed information on the type of certain PPE that is considered to reduce the risk of operators to the acceptable level. </w:t>
      </w:r>
    </w:p>
    <w:p w:rsidR="0063633A" w:rsidRDefault="0063633A" w:rsidP="00FE2417">
      <w:pPr>
        <w:rPr>
          <w:b/>
          <w:bCs/>
        </w:rPr>
      </w:pPr>
    </w:p>
    <w:p w:rsidR="00FE2417" w:rsidRPr="0090126B" w:rsidRDefault="00FE2417" w:rsidP="00FE2417">
      <w:pPr>
        <w:rPr>
          <w:b/>
          <w:bCs/>
        </w:rPr>
      </w:pPr>
    </w:p>
    <w:p w:rsidR="000B3A5F" w:rsidRPr="0090126B" w:rsidRDefault="000B3A5F" w:rsidP="00FE2417"/>
    <w:p w:rsidR="0063633A" w:rsidRPr="00FE2417" w:rsidRDefault="000E3EFA" w:rsidP="00FE2417">
      <w:pPr>
        <w:pStyle w:val="Naslov3"/>
        <w:rPr>
          <w:rFonts w:cs="Ta8"/>
        </w:rPr>
      </w:pPr>
      <w:bookmarkStart w:id="10" w:name="_Toc120874251"/>
      <w:r w:rsidRPr="0090126B">
        <w:lastRenderedPageBreak/>
        <w:t>Worker (re-entry) exposure</w:t>
      </w:r>
      <w:bookmarkEnd w:id="10"/>
    </w:p>
    <w:p w:rsidR="000E3EFA" w:rsidRDefault="000E3EFA" w:rsidP="00FE2417">
      <w:pPr>
        <w:pStyle w:val="Naslov4"/>
        <w:numPr>
          <w:ilvl w:val="2"/>
          <w:numId w:val="25"/>
        </w:numPr>
      </w:pPr>
      <w:bookmarkStart w:id="11" w:name="_Toc120874252"/>
      <w:r w:rsidRPr="00FE2417">
        <w:t>Data</w:t>
      </w:r>
      <w:bookmarkEnd w:id="11"/>
    </w:p>
    <w:p w:rsidR="00FE2417" w:rsidRPr="00FE2417" w:rsidRDefault="00FE2417" w:rsidP="00FE2417"/>
    <w:p w:rsidR="006227D8" w:rsidRPr="00FE2417" w:rsidRDefault="006227D8" w:rsidP="00FE2417">
      <w:pPr>
        <w:rPr>
          <w:rFonts w:ascii="Arial" w:hAnsi="Arial" w:cs="Arial"/>
          <w:b/>
          <w:bCs/>
          <w:lang w:bidi="si-LK"/>
        </w:rPr>
      </w:pPr>
      <w:r w:rsidRPr="00FE2417">
        <w:rPr>
          <w:rFonts w:ascii="Arial" w:hAnsi="Arial" w:cs="Arial"/>
          <w:lang w:bidi="si-LK"/>
        </w:rPr>
        <w:t xml:space="preserve">Exposure of workers estimated according to the Guidance on the assessment of exposure of operators, workers, residents and bystanders in risk assessment for plant protection products (EFSA Journal 2014;12(10):3874) using the Agricultural Operator Exposure Model (AOEM) is acceptable. </w:t>
      </w:r>
    </w:p>
    <w:p w:rsidR="006227D8" w:rsidRDefault="006227D8" w:rsidP="00B266B4">
      <w:pPr>
        <w:rPr>
          <w:lang w:val="en-GB" w:bidi="si-LK"/>
        </w:rPr>
      </w:pPr>
    </w:p>
    <w:p w:rsidR="006227D8" w:rsidRPr="00B266B4" w:rsidRDefault="006227D8" w:rsidP="00B266B4">
      <w:pPr>
        <w:rPr>
          <w:rFonts w:ascii="Arial" w:hAnsi="Arial" w:cs="Ta8"/>
          <w:lang w:val="en-GB"/>
        </w:rPr>
      </w:pPr>
      <w:r w:rsidRPr="00B266B4">
        <w:rPr>
          <w:rFonts w:ascii="Arial" w:hAnsi="Arial" w:cs="Ta8"/>
          <w:lang w:val="en-GB"/>
        </w:rPr>
        <w:t>Acceptable refinements of worker exposure are:</w:t>
      </w:r>
    </w:p>
    <w:p w:rsidR="006227D8" w:rsidRPr="005B6CA1" w:rsidRDefault="006227D8" w:rsidP="00B266B4">
      <w:pPr>
        <w:numPr>
          <w:ilvl w:val="0"/>
          <w:numId w:val="20"/>
        </w:numPr>
        <w:rPr>
          <w:rFonts w:ascii="Arial" w:hAnsi="Arial" w:cs="Ta8"/>
          <w:lang w:val="en-GB"/>
        </w:rPr>
      </w:pPr>
      <w:r w:rsidRPr="00B266B4">
        <w:rPr>
          <w:rFonts w:ascii="Arial" w:hAnsi="Arial" w:cs="Ta8"/>
          <w:lang w:val="en-GB"/>
        </w:rPr>
        <w:t xml:space="preserve">Specific data of </w:t>
      </w:r>
      <w:proofErr w:type="spellStart"/>
      <w:r w:rsidRPr="005B6CA1">
        <w:rPr>
          <w:rFonts w:ascii="Arial" w:hAnsi="Arial" w:cs="Ta8"/>
          <w:lang w:val="en-GB"/>
        </w:rPr>
        <w:t>Dislodgeable</w:t>
      </w:r>
      <w:proofErr w:type="spellEnd"/>
      <w:r w:rsidRPr="005B6CA1">
        <w:rPr>
          <w:rFonts w:ascii="Arial" w:hAnsi="Arial" w:cs="Ta8"/>
          <w:lang w:val="en-GB"/>
        </w:rPr>
        <w:t xml:space="preserve"> foliar residues (</w:t>
      </w:r>
      <w:r w:rsidRPr="0090126B">
        <w:rPr>
          <w:rFonts w:ascii="Arial" w:hAnsi="Arial" w:cs="Ta8"/>
          <w:lang w:val="en-GB"/>
        </w:rPr>
        <w:t>DFR)</w:t>
      </w:r>
      <w:r>
        <w:rPr>
          <w:rFonts w:ascii="Arial" w:hAnsi="Arial" w:cs="Ta8"/>
          <w:lang w:val="en-GB"/>
        </w:rPr>
        <w:t>, measured on crop under evaluation. If data was obtained on other crop than the one under evaluation, justification why this information is applicable to evaluated crop must also be submitted.</w:t>
      </w:r>
    </w:p>
    <w:p w:rsidR="006227D8" w:rsidRPr="00B266B4" w:rsidRDefault="006227D8" w:rsidP="00B266B4">
      <w:pPr>
        <w:numPr>
          <w:ilvl w:val="0"/>
          <w:numId w:val="20"/>
        </w:numPr>
        <w:rPr>
          <w:lang w:val="en-GB" w:bidi="si-LK"/>
        </w:rPr>
      </w:pPr>
      <w:r>
        <w:rPr>
          <w:rFonts w:ascii="Arial" w:hAnsi="Arial" w:cs="Ta8"/>
          <w:lang w:val="en-GB"/>
        </w:rPr>
        <w:t>DT50 values for dissipation of active substance residues on plant surface. If data was obtained on other crop than the one under evaluation, justification why this information is applicable to evaluated crop must also be submitted.</w:t>
      </w:r>
    </w:p>
    <w:p w:rsidR="006227D8" w:rsidRDefault="006227D8" w:rsidP="000E3EFA">
      <w:pPr>
        <w:jc w:val="both"/>
        <w:rPr>
          <w:rFonts w:ascii="Arial" w:hAnsi="Arial" w:cs="Ta8"/>
          <w:lang w:val="en-GB" w:bidi="si-LK"/>
        </w:rPr>
      </w:pPr>
    </w:p>
    <w:p w:rsidR="000E3EFA" w:rsidRPr="0090126B" w:rsidRDefault="000E3EFA" w:rsidP="000E3EFA">
      <w:pPr>
        <w:jc w:val="both"/>
        <w:rPr>
          <w:rFonts w:ascii="Arial" w:hAnsi="Arial" w:cs="Ta8"/>
          <w:lang w:val="en-GB" w:bidi="si-LK"/>
        </w:rPr>
      </w:pPr>
      <w:r w:rsidRPr="0090126B">
        <w:rPr>
          <w:rFonts w:ascii="Arial" w:hAnsi="Arial" w:cs="Ta8"/>
          <w:lang w:val="en-GB" w:bidi="si-LK"/>
        </w:rPr>
        <w:t xml:space="preserve">The </w:t>
      </w:r>
      <w:r w:rsidR="00C60796" w:rsidRPr="0090126B">
        <w:rPr>
          <w:rFonts w:ascii="Arial" w:hAnsi="Arial" w:cs="Ta8"/>
          <w:lang w:val="en-GB" w:bidi="si-LK"/>
        </w:rPr>
        <w:t xml:space="preserve">higher </w:t>
      </w:r>
      <w:r w:rsidRPr="0090126B">
        <w:rPr>
          <w:rFonts w:ascii="Arial" w:hAnsi="Arial" w:cs="Ta8"/>
          <w:lang w:val="en-GB" w:bidi="si-LK"/>
        </w:rPr>
        <w:t xml:space="preserve">dermal absorption </w:t>
      </w:r>
      <w:r w:rsidR="00C60796" w:rsidRPr="0090126B">
        <w:rPr>
          <w:rFonts w:ascii="Arial" w:hAnsi="Arial" w:cs="Ta8"/>
          <w:lang w:val="en-GB" w:bidi="si-LK"/>
        </w:rPr>
        <w:t xml:space="preserve">value </w:t>
      </w:r>
      <w:r w:rsidRPr="0090126B">
        <w:rPr>
          <w:rFonts w:ascii="Arial" w:hAnsi="Arial" w:cs="Ta8"/>
          <w:lang w:val="en-GB" w:bidi="si-LK"/>
        </w:rPr>
        <w:t xml:space="preserve">is </w:t>
      </w:r>
      <w:r w:rsidR="00C60796" w:rsidRPr="0090126B">
        <w:rPr>
          <w:rFonts w:ascii="Arial" w:hAnsi="Arial" w:cs="Ta8"/>
          <w:lang w:val="en-GB" w:bidi="si-LK"/>
        </w:rPr>
        <w:t>generally considered in the worker exposure estimation</w:t>
      </w:r>
      <w:r w:rsidRPr="0090126B">
        <w:rPr>
          <w:rFonts w:ascii="Arial" w:hAnsi="Arial" w:cs="Ta8"/>
          <w:lang w:val="en-GB" w:bidi="si-LK"/>
        </w:rPr>
        <w:t>.</w:t>
      </w:r>
      <w:r w:rsidR="009B067F" w:rsidRPr="0090126B">
        <w:rPr>
          <w:rFonts w:ascii="Arial" w:hAnsi="Arial" w:cs="Ta8"/>
          <w:lang w:val="en-GB" w:bidi="si-LK"/>
        </w:rPr>
        <w:t xml:space="preserve"> The use of protective gloves is acceptable for the reduction of worker exposure</w:t>
      </w:r>
      <w:r w:rsidR="006227D8" w:rsidRPr="006227D8">
        <w:rPr>
          <w:rFonts w:ascii="Arial" w:hAnsi="Arial" w:cs="Ta8"/>
          <w:lang w:val="en-GB" w:bidi="si-LK"/>
        </w:rPr>
        <w:t xml:space="preserve"> </w:t>
      </w:r>
      <w:r w:rsidR="006227D8">
        <w:rPr>
          <w:rFonts w:ascii="Arial" w:hAnsi="Arial" w:cs="Ta8"/>
          <w:lang w:val="en-GB" w:bidi="si-LK"/>
        </w:rPr>
        <w:t>for some uses, depending on crop, type of re-entry task, season of application</w:t>
      </w:r>
      <w:r w:rsidR="009B067F" w:rsidRPr="0090126B">
        <w:rPr>
          <w:rFonts w:ascii="Arial" w:hAnsi="Arial" w:cs="Ta8"/>
          <w:lang w:val="en-GB" w:bidi="si-LK"/>
        </w:rPr>
        <w:t xml:space="preserve">. </w:t>
      </w:r>
    </w:p>
    <w:p w:rsidR="000E3EFA" w:rsidRPr="0090126B" w:rsidRDefault="000E3EFA" w:rsidP="000E3EFA">
      <w:pPr>
        <w:rPr>
          <w:rFonts w:ascii="Arial" w:hAnsi="Arial" w:cs="Ta8"/>
          <w:b/>
          <w:bCs/>
          <w:lang w:val="en-GB" w:bidi="si-LK"/>
        </w:rPr>
      </w:pPr>
    </w:p>
    <w:p w:rsidR="000B3A5F" w:rsidRPr="0090126B" w:rsidRDefault="000B3A5F" w:rsidP="000E3EFA">
      <w:pPr>
        <w:pStyle w:val="GroupWiseView"/>
        <w:jc w:val="both"/>
        <w:rPr>
          <w:rFonts w:ascii="Arial" w:hAnsi="Arial" w:cs="Ta8"/>
          <w:b/>
          <w:bCs/>
          <w:sz w:val="24"/>
          <w:szCs w:val="24"/>
          <w:lang w:val="en-GB"/>
        </w:rPr>
      </w:pPr>
    </w:p>
    <w:p w:rsidR="000E3EFA" w:rsidRDefault="00D4536D" w:rsidP="00FE2417">
      <w:pPr>
        <w:pStyle w:val="Naslov3"/>
      </w:pPr>
      <w:bookmarkStart w:id="12" w:name="_Toc120874253"/>
      <w:r w:rsidRPr="0090126B">
        <w:t>Bystander</w:t>
      </w:r>
      <w:r w:rsidR="000E3EFA" w:rsidRPr="0090126B">
        <w:t xml:space="preserve"> and </w:t>
      </w:r>
      <w:r w:rsidRPr="0090126B">
        <w:t>resident</w:t>
      </w:r>
      <w:r w:rsidR="000E3EFA" w:rsidRPr="0090126B">
        <w:t xml:space="preserve"> exposure</w:t>
      </w:r>
      <w:bookmarkEnd w:id="12"/>
    </w:p>
    <w:p w:rsidR="00FE2417" w:rsidRPr="0090126B" w:rsidRDefault="00FE2417" w:rsidP="00FE2417"/>
    <w:p w:rsidR="00B71DEF" w:rsidRPr="00FE2417" w:rsidRDefault="003A5584" w:rsidP="00FE2417">
      <w:pPr>
        <w:rPr>
          <w:rFonts w:ascii="Arial" w:hAnsi="Arial" w:cs="Arial"/>
          <w:b/>
          <w:bCs/>
          <w:lang w:bidi="si-LK"/>
        </w:rPr>
      </w:pPr>
      <w:r w:rsidRPr="00FE2417">
        <w:rPr>
          <w:rFonts w:ascii="Arial" w:hAnsi="Arial" w:cs="Arial"/>
        </w:rPr>
        <w:t xml:space="preserve">Bystander </w:t>
      </w:r>
      <w:r w:rsidR="003479BF" w:rsidRPr="00FE2417">
        <w:rPr>
          <w:rFonts w:ascii="Arial" w:hAnsi="Arial" w:cs="Arial"/>
        </w:rPr>
        <w:t xml:space="preserve">and resident </w:t>
      </w:r>
      <w:r w:rsidRPr="00FE2417">
        <w:rPr>
          <w:rFonts w:ascii="Arial" w:hAnsi="Arial" w:cs="Arial"/>
        </w:rPr>
        <w:t xml:space="preserve">exposure is </w:t>
      </w:r>
      <w:r w:rsidR="00BE5429" w:rsidRPr="00FE2417">
        <w:rPr>
          <w:rFonts w:ascii="Arial" w:hAnsi="Arial" w:cs="Arial"/>
        </w:rPr>
        <w:t>performed</w:t>
      </w:r>
      <w:r w:rsidRPr="00FE2417">
        <w:rPr>
          <w:rFonts w:ascii="Arial" w:hAnsi="Arial" w:cs="Arial"/>
        </w:rPr>
        <w:t xml:space="preserve"> for adults</w:t>
      </w:r>
      <w:r w:rsidR="003479BF" w:rsidRPr="00FE2417">
        <w:rPr>
          <w:rFonts w:ascii="Arial" w:hAnsi="Arial" w:cs="Arial"/>
        </w:rPr>
        <w:t xml:space="preserve"> and children according to </w:t>
      </w:r>
      <w:r w:rsidR="00B71DEF" w:rsidRPr="00FE2417">
        <w:rPr>
          <w:rFonts w:ascii="Arial" w:hAnsi="Arial" w:cs="Arial"/>
          <w:lang w:bidi="si-LK"/>
        </w:rPr>
        <w:t xml:space="preserve">the Guidance on the assessment of exposure of operators, workers, residents and bystanders in risk assessment for plant protection products (EFSA Journal 2014;12(10):3874) using the Agricultural Operator Exposure Model (AOEM). </w:t>
      </w:r>
    </w:p>
    <w:p w:rsidR="00B266B4" w:rsidRDefault="00B266B4" w:rsidP="007B28AA">
      <w:pPr>
        <w:pStyle w:val="GroupWiseView"/>
        <w:jc w:val="both"/>
        <w:rPr>
          <w:rFonts w:ascii="Arial" w:hAnsi="Arial" w:cs="Arial"/>
          <w:bCs/>
          <w:sz w:val="24"/>
          <w:szCs w:val="24"/>
          <w:lang w:val="en-GB"/>
        </w:rPr>
      </w:pPr>
    </w:p>
    <w:p w:rsidR="003479BF" w:rsidRPr="005B6CA1" w:rsidRDefault="00B71DEF" w:rsidP="007B28AA">
      <w:pPr>
        <w:pStyle w:val="GroupWiseView"/>
        <w:jc w:val="both"/>
        <w:rPr>
          <w:rFonts w:ascii="Arial" w:hAnsi="Arial" w:cs="Arial"/>
          <w:bCs/>
          <w:sz w:val="24"/>
          <w:szCs w:val="24"/>
          <w:lang w:val="en-GB"/>
        </w:rPr>
      </w:pPr>
      <w:r w:rsidRPr="006227D8">
        <w:rPr>
          <w:rFonts w:ascii="Arial" w:hAnsi="Arial" w:cs="Arial"/>
          <w:bCs/>
          <w:sz w:val="24"/>
          <w:szCs w:val="24"/>
          <w:lang w:val="en-GB"/>
        </w:rPr>
        <w:t xml:space="preserve">For Slovenia the use of drift reducing </w:t>
      </w:r>
      <w:r w:rsidR="007B28AA" w:rsidRPr="006227D8">
        <w:rPr>
          <w:rFonts w:ascii="Arial" w:hAnsi="Arial" w:cs="Arial"/>
          <w:bCs/>
          <w:sz w:val="24"/>
          <w:szCs w:val="24"/>
          <w:lang w:val="en-GB"/>
        </w:rPr>
        <w:t>nozzles</w:t>
      </w:r>
      <w:r w:rsidRPr="005B6CA1">
        <w:rPr>
          <w:rFonts w:ascii="Arial" w:hAnsi="Arial" w:cs="Arial"/>
          <w:bCs/>
          <w:sz w:val="24"/>
          <w:szCs w:val="24"/>
          <w:lang w:val="en-GB"/>
        </w:rPr>
        <w:t xml:space="preserve"> is not an acc</w:t>
      </w:r>
      <w:r w:rsidR="00920EF1">
        <w:rPr>
          <w:rFonts w:ascii="Arial" w:hAnsi="Arial" w:cs="Arial"/>
          <w:bCs/>
          <w:sz w:val="24"/>
          <w:szCs w:val="24"/>
          <w:lang w:val="en-GB"/>
        </w:rPr>
        <w:t>eptable risk mitigation measure</w:t>
      </w:r>
      <w:r w:rsidRPr="005B6CA1">
        <w:rPr>
          <w:rFonts w:ascii="Arial" w:hAnsi="Arial" w:cs="Arial"/>
          <w:bCs/>
          <w:sz w:val="24"/>
          <w:szCs w:val="24"/>
          <w:lang w:val="en-GB"/>
        </w:rPr>
        <w:t>. Buffer zones are also not acceptable refinement of resident and bystander exposure.</w:t>
      </w:r>
    </w:p>
    <w:p w:rsidR="00750E46" w:rsidRPr="00B21593" w:rsidRDefault="00750E46" w:rsidP="007B28AA">
      <w:pPr>
        <w:pStyle w:val="GroupWiseView"/>
        <w:jc w:val="both"/>
        <w:rPr>
          <w:rFonts w:ascii="Arial" w:hAnsi="Arial" w:cs="Arial"/>
          <w:bCs/>
          <w:sz w:val="24"/>
          <w:szCs w:val="24"/>
          <w:lang w:val="en-GB"/>
        </w:rPr>
      </w:pPr>
    </w:p>
    <w:p w:rsidR="00243EC3" w:rsidRDefault="003479BF" w:rsidP="00B266B4">
      <w:pPr>
        <w:pStyle w:val="GroupWiseView"/>
        <w:jc w:val="both"/>
        <w:rPr>
          <w:rFonts w:ascii="Arial" w:hAnsi="Arial" w:cs="Ta8"/>
          <w:sz w:val="24"/>
          <w:szCs w:val="24"/>
          <w:lang w:val="en-GB"/>
        </w:rPr>
      </w:pPr>
      <w:r w:rsidRPr="00B21593">
        <w:rPr>
          <w:rFonts w:ascii="Arial" w:hAnsi="Arial" w:cs="Ta8"/>
          <w:sz w:val="24"/>
          <w:szCs w:val="24"/>
          <w:lang w:val="en-GB"/>
        </w:rPr>
        <w:t xml:space="preserve">Dermal absorption value for the spray dilution is generally considered for </w:t>
      </w:r>
      <w:r w:rsidR="0090126B" w:rsidRPr="00B21593">
        <w:rPr>
          <w:rFonts w:ascii="Arial" w:hAnsi="Arial" w:cs="Ta8"/>
          <w:sz w:val="24"/>
          <w:szCs w:val="24"/>
          <w:lang w:val="en-GB"/>
        </w:rPr>
        <w:t>bystander exposure</w:t>
      </w:r>
      <w:r w:rsidRPr="00B21593">
        <w:rPr>
          <w:rFonts w:ascii="Arial" w:hAnsi="Arial" w:cs="Ta8"/>
          <w:sz w:val="24"/>
          <w:szCs w:val="24"/>
          <w:lang w:val="en-GB"/>
        </w:rPr>
        <w:t xml:space="preserve"> estimation. For resident </w:t>
      </w:r>
      <w:r w:rsidR="007B28AA" w:rsidRPr="00261971">
        <w:rPr>
          <w:rFonts w:ascii="Arial" w:hAnsi="Arial" w:cs="Ta8"/>
          <w:sz w:val="24"/>
          <w:szCs w:val="24"/>
          <w:lang w:val="en-GB"/>
        </w:rPr>
        <w:t xml:space="preserve">or bystander </w:t>
      </w:r>
      <w:r w:rsidRPr="00261971">
        <w:rPr>
          <w:rFonts w:ascii="Arial" w:hAnsi="Arial" w:cs="Ta8"/>
          <w:sz w:val="24"/>
          <w:szCs w:val="24"/>
          <w:lang w:val="en-GB"/>
        </w:rPr>
        <w:t>exposure estimation, the higher dermal absorption value is generally con</w:t>
      </w:r>
      <w:r w:rsidR="00750E46" w:rsidRPr="00261971">
        <w:rPr>
          <w:rFonts w:ascii="Arial" w:hAnsi="Arial" w:cs="Ta8"/>
          <w:sz w:val="24"/>
          <w:szCs w:val="24"/>
          <w:lang w:val="en-GB"/>
        </w:rPr>
        <w:t>sidered.</w:t>
      </w:r>
    </w:p>
    <w:p w:rsidR="00531988" w:rsidRPr="00261971" w:rsidRDefault="00531988" w:rsidP="00B266B4">
      <w:pPr>
        <w:pStyle w:val="GroupWiseView"/>
        <w:jc w:val="both"/>
        <w:rPr>
          <w:rFonts w:ascii="Arial" w:hAnsi="Arial" w:cs="Ta8"/>
          <w:sz w:val="24"/>
          <w:szCs w:val="24"/>
          <w:lang w:val="en-GB"/>
        </w:rPr>
      </w:pPr>
    </w:p>
    <w:p w:rsidR="00243EC3" w:rsidRDefault="00243EC3" w:rsidP="00243EC3">
      <w:pPr>
        <w:pStyle w:val="GroupWiseView"/>
        <w:rPr>
          <w:rFonts w:ascii="Arial" w:hAnsi="Arial" w:cs="Ta8"/>
          <w:sz w:val="24"/>
          <w:szCs w:val="24"/>
          <w:lang w:val="en-GB"/>
        </w:rPr>
      </w:pPr>
    </w:p>
    <w:p w:rsidR="00CA52CB" w:rsidRDefault="00CA52CB" w:rsidP="00FE2417">
      <w:pPr>
        <w:pStyle w:val="Naslov3"/>
      </w:pPr>
      <w:bookmarkStart w:id="13" w:name="_Toc120874254"/>
      <w:r w:rsidRPr="00B266B4">
        <w:t>Combined exposure</w:t>
      </w:r>
      <w:bookmarkEnd w:id="13"/>
      <w:r w:rsidRPr="00B266B4">
        <w:t xml:space="preserve"> </w:t>
      </w:r>
    </w:p>
    <w:p w:rsidR="00FE2417" w:rsidRPr="00B266B4" w:rsidRDefault="00FE2417" w:rsidP="00FE2417"/>
    <w:p w:rsidR="00E17687" w:rsidRPr="00FE2417" w:rsidRDefault="00CA52CB" w:rsidP="00FE2417">
      <w:pPr>
        <w:rPr>
          <w:rFonts w:ascii="Arial" w:hAnsi="Arial" w:cs="Arial"/>
          <w:b/>
        </w:rPr>
      </w:pPr>
      <w:r w:rsidRPr="00FE2417">
        <w:rPr>
          <w:rFonts w:ascii="Arial" w:hAnsi="Arial" w:cs="Arial"/>
        </w:rPr>
        <w:t xml:space="preserve">In cases where PPP contains more than one </w:t>
      </w:r>
      <w:proofErr w:type="spellStart"/>
      <w:r w:rsidRPr="00FE2417">
        <w:rPr>
          <w:rFonts w:ascii="Arial" w:hAnsi="Arial" w:cs="Arial"/>
        </w:rPr>
        <w:t>active</w:t>
      </w:r>
      <w:proofErr w:type="spellEnd"/>
      <w:r w:rsidRPr="00FE2417">
        <w:rPr>
          <w:rFonts w:ascii="Arial" w:hAnsi="Arial" w:cs="Arial"/>
        </w:rPr>
        <w:t xml:space="preserve"> substance</w:t>
      </w:r>
      <w:r w:rsidR="0072757D" w:rsidRPr="00FE2417">
        <w:rPr>
          <w:rFonts w:ascii="Arial" w:hAnsi="Arial" w:cs="Arial"/>
        </w:rPr>
        <w:t xml:space="preserve"> (</w:t>
      </w:r>
      <w:proofErr w:type="spellStart"/>
      <w:r w:rsidR="0072757D" w:rsidRPr="00FE2417">
        <w:rPr>
          <w:rFonts w:ascii="Arial" w:hAnsi="Arial" w:cs="Arial"/>
        </w:rPr>
        <w:t>including</w:t>
      </w:r>
      <w:proofErr w:type="spellEnd"/>
      <w:r w:rsidR="0072757D" w:rsidRPr="00FE2417">
        <w:rPr>
          <w:rFonts w:ascii="Arial" w:hAnsi="Arial" w:cs="Arial"/>
        </w:rPr>
        <w:t xml:space="preserve"> </w:t>
      </w:r>
      <w:proofErr w:type="spellStart"/>
      <w:r w:rsidR="0072757D" w:rsidRPr="00FE2417">
        <w:rPr>
          <w:rFonts w:ascii="Arial" w:hAnsi="Arial" w:cs="Arial"/>
        </w:rPr>
        <w:t>safeners</w:t>
      </w:r>
      <w:proofErr w:type="spellEnd"/>
      <w:r w:rsidR="0072757D" w:rsidRPr="00FE2417">
        <w:rPr>
          <w:rFonts w:ascii="Arial" w:hAnsi="Arial" w:cs="Arial"/>
        </w:rPr>
        <w:t xml:space="preserve">, </w:t>
      </w:r>
      <w:proofErr w:type="spellStart"/>
      <w:r w:rsidR="0072757D" w:rsidRPr="00FE2417">
        <w:rPr>
          <w:rFonts w:ascii="Arial" w:hAnsi="Arial" w:cs="Arial"/>
        </w:rPr>
        <w:t>agonists</w:t>
      </w:r>
      <w:proofErr w:type="spellEnd"/>
      <w:r w:rsidR="0072757D" w:rsidRPr="00FE2417">
        <w:rPr>
          <w:rFonts w:ascii="Arial" w:hAnsi="Arial" w:cs="Arial"/>
        </w:rPr>
        <w:t xml:space="preserve"> </w:t>
      </w:r>
      <w:proofErr w:type="spellStart"/>
      <w:r w:rsidR="0072757D" w:rsidRPr="00FE2417">
        <w:rPr>
          <w:rFonts w:ascii="Arial" w:hAnsi="Arial" w:cs="Arial"/>
        </w:rPr>
        <w:t>and</w:t>
      </w:r>
      <w:proofErr w:type="spellEnd"/>
      <w:r w:rsidR="0072757D" w:rsidRPr="00FE2417">
        <w:rPr>
          <w:rFonts w:ascii="Arial" w:hAnsi="Arial" w:cs="Arial"/>
        </w:rPr>
        <w:t xml:space="preserve"> </w:t>
      </w:r>
      <w:proofErr w:type="spellStart"/>
      <w:r w:rsidR="0072757D" w:rsidRPr="00FE2417">
        <w:rPr>
          <w:rFonts w:ascii="Arial" w:hAnsi="Arial" w:cs="Arial"/>
        </w:rPr>
        <w:t>synergists</w:t>
      </w:r>
      <w:proofErr w:type="spellEnd"/>
      <w:r w:rsidR="0072757D" w:rsidRPr="00FE2417">
        <w:rPr>
          <w:rFonts w:ascii="Arial" w:hAnsi="Arial" w:cs="Arial"/>
        </w:rPr>
        <w:t>)</w:t>
      </w:r>
      <w:r w:rsidRPr="00FE2417">
        <w:rPr>
          <w:rFonts w:ascii="Arial" w:hAnsi="Arial" w:cs="Arial"/>
        </w:rPr>
        <w:t xml:space="preserve"> the combined risk assessment for all active substances should be performed according to approach </w:t>
      </w:r>
      <w:r w:rsidR="00E17687" w:rsidRPr="00FE2417">
        <w:rPr>
          <w:rFonts w:ascii="Arial" w:hAnsi="Arial" w:cs="Arial"/>
        </w:rPr>
        <w:t xml:space="preserve">as proposed in Human health risk assessment from combined exposure in the framework of plant protection products and biocidal products, Stein et al., 2014, </w:t>
      </w:r>
      <w:hyperlink r:id="rId8" w:history="1">
        <w:proofErr w:type="spellStart"/>
        <w:r w:rsidR="00E17687" w:rsidRPr="00FE2417">
          <w:rPr>
            <w:rFonts w:ascii="Arial" w:hAnsi="Arial" w:cs="Arial"/>
          </w:rPr>
          <w:t>Journal</w:t>
        </w:r>
        <w:proofErr w:type="spellEnd"/>
        <w:r w:rsidR="00E17687" w:rsidRPr="00FE2417">
          <w:rPr>
            <w:rFonts w:ascii="Arial" w:hAnsi="Arial" w:cs="Arial"/>
          </w:rPr>
          <w:t xml:space="preserve"> </w:t>
        </w:r>
        <w:proofErr w:type="spellStart"/>
        <w:r w:rsidR="00E17687" w:rsidRPr="00FE2417">
          <w:rPr>
            <w:rFonts w:ascii="Arial" w:hAnsi="Arial" w:cs="Arial"/>
          </w:rPr>
          <w:t>für</w:t>
        </w:r>
        <w:proofErr w:type="spellEnd"/>
        <w:r w:rsidR="00E17687" w:rsidRPr="00FE2417">
          <w:rPr>
            <w:rFonts w:ascii="Arial" w:hAnsi="Arial" w:cs="Arial"/>
          </w:rPr>
          <w:t xml:space="preserve"> </w:t>
        </w:r>
        <w:proofErr w:type="spellStart"/>
        <w:r w:rsidR="00E17687" w:rsidRPr="00FE2417">
          <w:rPr>
            <w:rFonts w:ascii="Arial" w:hAnsi="Arial" w:cs="Arial"/>
          </w:rPr>
          <w:t>Verbraucherschutz</w:t>
        </w:r>
        <w:proofErr w:type="spellEnd"/>
        <w:r w:rsidR="00E17687" w:rsidRPr="00FE2417">
          <w:rPr>
            <w:rFonts w:ascii="Arial" w:hAnsi="Arial" w:cs="Arial"/>
          </w:rPr>
          <w:t xml:space="preserve"> </w:t>
        </w:r>
        <w:proofErr w:type="spellStart"/>
        <w:r w:rsidR="00E17687" w:rsidRPr="00FE2417">
          <w:rPr>
            <w:rFonts w:ascii="Arial" w:hAnsi="Arial" w:cs="Arial"/>
          </w:rPr>
          <w:t>und</w:t>
        </w:r>
        <w:proofErr w:type="spellEnd"/>
        <w:r w:rsidR="00E17687" w:rsidRPr="00FE2417">
          <w:rPr>
            <w:rFonts w:ascii="Arial" w:hAnsi="Arial" w:cs="Arial"/>
          </w:rPr>
          <w:t xml:space="preserve"> </w:t>
        </w:r>
        <w:proofErr w:type="spellStart"/>
        <w:r w:rsidR="00E17687" w:rsidRPr="00FE2417">
          <w:rPr>
            <w:rFonts w:ascii="Arial" w:hAnsi="Arial" w:cs="Arial"/>
          </w:rPr>
          <w:t>Lebensmittelsicherheit</w:t>
        </w:r>
        <w:proofErr w:type="spellEnd"/>
      </w:hyperlink>
      <w:r w:rsidR="00E17687" w:rsidRPr="00FE2417">
        <w:rPr>
          <w:rFonts w:ascii="Arial" w:hAnsi="Arial" w:cs="Arial"/>
        </w:rPr>
        <w:t xml:space="preserve">,  9,  367–376. </w:t>
      </w:r>
    </w:p>
    <w:p w:rsidR="009A56AC" w:rsidRDefault="009A56AC" w:rsidP="00B266B4">
      <w:pPr>
        <w:jc w:val="both"/>
      </w:pPr>
    </w:p>
    <w:p w:rsidR="00FE2417" w:rsidRDefault="00FE2417" w:rsidP="00B266B4">
      <w:pPr>
        <w:jc w:val="both"/>
      </w:pPr>
    </w:p>
    <w:p w:rsidR="00CA52CB" w:rsidRDefault="00B71DEF" w:rsidP="00243EC3">
      <w:pPr>
        <w:pStyle w:val="GroupWiseView"/>
        <w:rPr>
          <w:rFonts w:ascii="Arial" w:hAnsi="Arial" w:cs="Ta8"/>
          <w:sz w:val="24"/>
          <w:szCs w:val="24"/>
          <w:lang w:val="en-GB"/>
        </w:rPr>
      </w:pPr>
      <w:r>
        <w:rPr>
          <w:rFonts w:ascii="Arial" w:hAnsi="Arial" w:cs="Ta8"/>
          <w:sz w:val="24"/>
          <w:szCs w:val="24"/>
          <w:lang w:val="en-GB"/>
        </w:rPr>
        <w:lastRenderedPageBreak/>
        <w:t>Combined exposure should be assessed for operators, workers, residents and bystanders.</w:t>
      </w:r>
    </w:p>
    <w:p w:rsidR="0071034D" w:rsidRDefault="0071034D" w:rsidP="00243EC3">
      <w:pPr>
        <w:pStyle w:val="GroupWiseView"/>
        <w:rPr>
          <w:rFonts w:ascii="Arial" w:hAnsi="Arial" w:cs="Ta8"/>
          <w:sz w:val="24"/>
          <w:szCs w:val="24"/>
          <w:lang w:val="en-GB"/>
        </w:rPr>
      </w:pPr>
    </w:p>
    <w:p w:rsidR="0071034D" w:rsidRPr="0090126B" w:rsidRDefault="0071034D" w:rsidP="0071034D">
      <w:pPr>
        <w:pStyle w:val="GroupWiseView"/>
        <w:jc w:val="both"/>
        <w:rPr>
          <w:rFonts w:ascii="Arial" w:hAnsi="Arial" w:cs="Ta8"/>
          <w:sz w:val="24"/>
          <w:szCs w:val="24"/>
          <w:lang w:val="en-GB"/>
        </w:rPr>
      </w:pPr>
      <w:r w:rsidRPr="0090126B">
        <w:rPr>
          <w:rFonts w:ascii="Arial" w:hAnsi="Arial" w:cs="Ta8"/>
          <w:sz w:val="24"/>
          <w:szCs w:val="24"/>
          <w:lang w:val="en-GB"/>
        </w:rPr>
        <w:t>As s</w:t>
      </w:r>
      <w:r>
        <w:rPr>
          <w:rFonts w:ascii="Arial" w:hAnsi="Arial" w:cs="Ta8"/>
          <w:sz w:val="24"/>
          <w:szCs w:val="24"/>
          <w:lang w:val="en-GB"/>
        </w:rPr>
        <w:t>o</w:t>
      </w:r>
      <w:r w:rsidRPr="0090126B">
        <w:rPr>
          <w:rFonts w:ascii="Arial" w:hAnsi="Arial" w:cs="Ta8"/>
          <w:sz w:val="24"/>
          <w:szCs w:val="24"/>
          <w:lang w:val="en-GB"/>
        </w:rPr>
        <w:t xml:space="preserve">on as the new </w:t>
      </w:r>
      <w:r>
        <w:rPr>
          <w:rFonts w:ascii="Arial" w:hAnsi="Arial" w:cs="Ta8"/>
          <w:sz w:val="24"/>
          <w:szCs w:val="24"/>
          <w:lang w:val="en-GB"/>
        </w:rPr>
        <w:t xml:space="preserve">revised </w:t>
      </w:r>
      <w:r w:rsidRPr="0090126B">
        <w:rPr>
          <w:rFonts w:ascii="Arial" w:hAnsi="Arial" w:cs="Ta8"/>
          <w:sz w:val="24"/>
          <w:szCs w:val="24"/>
          <w:lang w:val="en-GB"/>
        </w:rPr>
        <w:t>EFSA Guidance document on Operator</w:t>
      </w:r>
      <w:r>
        <w:rPr>
          <w:rFonts w:ascii="Arial" w:hAnsi="Arial" w:cs="Ta8"/>
          <w:sz w:val="24"/>
          <w:szCs w:val="24"/>
          <w:lang w:val="en-GB"/>
        </w:rPr>
        <w:t>, worker, resident and bystander</w:t>
      </w:r>
      <w:r w:rsidRPr="0090126B">
        <w:rPr>
          <w:rFonts w:ascii="Arial" w:hAnsi="Arial" w:cs="Ta8"/>
          <w:sz w:val="24"/>
          <w:szCs w:val="24"/>
          <w:lang w:val="en-GB"/>
        </w:rPr>
        <w:t xml:space="preserve"> exposure</w:t>
      </w:r>
      <w:r>
        <w:rPr>
          <w:rFonts w:ascii="Arial" w:hAnsi="Arial" w:cs="Ta8"/>
          <w:sz w:val="24"/>
          <w:szCs w:val="24"/>
          <w:lang w:val="en-GB"/>
        </w:rPr>
        <w:t xml:space="preserve"> will be </w:t>
      </w:r>
      <w:r w:rsidRPr="0090126B">
        <w:rPr>
          <w:rFonts w:ascii="Arial" w:hAnsi="Arial" w:cs="Ta8"/>
          <w:sz w:val="24"/>
          <w:szCs w:val="24"/>
          <w:lang w:val="en-GB"/>
        </w:rPr>
        <w:t>available, it should be used in the risk assessment</w:t>
      </w:r>
      <w:r>
        <w:rPr>
          <w:rFonts w:ascii="Arial" w:hAnsi="Arial" w:cs="Ta8"/>
          <w:sz w:val="24"/>
          <w:szCs w:val="24"/>
          <w:lang w:val="en-GB"/>
        </w:rPr>
        <w:t xml:space="preserve"> </w:t>
      </w:r>
      <w:proofErr w:type="gramStart"/>
      <w:r>
        <w:rPr>
          <w:rFonts w:ascii="Arial" w:hAnsi="Arial" w:cs="Ta8"/>
          <w:sz w:val="24"/>
          <w:szCs w:val="24"/>
          <w:lang w:val="en-GB"/>
        </w:rPr>
        <w:t xml:space="preserve">for </w:t>
      </w:r>
      <w:r w:rsidRPr="0090126B">
        <w:rPr>
          <w:rFonts w:ascii="Arial" w:hAnsi="Arial" w:cs="Ta8"/>
          <w:sz w:val="24"/>
          <w:szCs w:val="24"/>
          <w:lang w:val="en-GB"/>
        </w:rPr>
        <w:t xml:space="preserve"> </w:t>
      </w:r>
      <w:r>
        <w:rPr>
          <w:rFonts w:ascii="Arial" w:hAnsi="Arial" w:cs="Ta8"/>
          <w:sz w:val="24"/>
          <w:szCs w:val="24"/>
          <w:lang w:val="en-GB"/>
        </w:rPr>
        <w:t>all</w:t>
      </w:r>
      <w:proofErr w:type="gramEnd"/>
      <w:r>
        <w:rPr>
          <w:rFonts w:ascii="Arial" w:hAnsi="Arial" w:cs="Ta8"/>
          <w:sz w:val="24"/>
          <w:szCs w:val="24"/>
          <w:lang w:val="en-GB"/>
        </w:rPr>
        <w:t xml:space="preserve"> exposed groups.</w:t>
      </w:r>
    </w:p>
    <w:p w:rsidR="0071034D" w:rsidRPr="0090126B" w:rsidRDefault="0071034D" w:rsidP="00243EC3">
      <w:pPr>
        <w:pStyle w:val="GroupWiseView"/>
        <w:rPr>
          <w:rFonts w:ascii="Arial" w:hAnsi="Arial" w:cs="Ta8"/>
          <w:sz w:val="24"/>
          <w:szCs w:val="24"/>
          <w:lang w:val="en-GB"/>
        </w:rPr>
      </w:pPr>
    </w:p>
    <w:p w:rsidR="005A6A1B" w:rsidRPr="0090126B" w:rsidRDefault="002907F4" w:rsidP="00FE2417">
      <w:pPr>
        <w:pStyle w:val="GroupWiseView"/>
        <w:numPr>
          <w:ilvl w:val="0"/>
          <w:numId w:val="25"/>
        </w:numPr>
        <w:rPr>
          <w:rFonts w:ascii="Arial" w:hAnsi="Arial" w:cs="Arial"/>
          <w:bCs/>
          <w:sz w:val="24"/>
          <w:szCs w:val="24"/>
          <w:lang w:val="en-GB"/>
        </w:rPr>
      </w:pPr>
      <w:r w:rsidRPr="0090126B">
        <w:rPr>
          <w:sz w:val="23"/>
          <w:szCs w:val="23"/>
          <w:lang w:val="en-GB"/>
        </w:rPr>
        <w:br w:type="page"/>
      </w:r>
      <w:bookmarkStart w:id="14" w:name="_Toc120874255"/>
      <w:r w:rsidR="00601BF5" w:rsidRPr="00FE2417">
        <w:rPr>
          <w:rStyle w:val="Naslov1Znak"/>
        </w:rPr>
        <w:lastRenderedPageBreak/>
        <w:t>FATE AND BEHAVIOUR</w:t>
      </w:r>
      <w:bookmarkEnd w:id="14"/>
    </w:p>
    <w:p w:rsidR="005A6A1B" w:rsidRPr="0090126B" w:rsidRDefault="005A6A1B" w:rsidP="00FE2417">
      <w:pPr>
        <w:rPr>
          <w:lang w:bidi="si-LK"/>
        </w:rPr>
      </w:pPr>
    </w:p>
    <w:p w:rsidR="00BB09E2" w:rsidRPr="0090126B" w:rsidRDefault="00BB09E2" w:rsidP="00FE2417">
      <w:pPr>
        <w:pStyle w:val="Naslov3"/>
      </w:pPr>
      <w:bookmarkStart w:id="15" w:name="_Toc120874256"/>
      <w:r w:rsidRPr="0090126B">
        <w:t>Predicted Environmental Concentration in Groundwater (PEC</w:t>
      </w:r>
      <w:r w:rsidRPr="0090126B">
        <w:rPr>
          <w:vertAlign w:val="subscript"/>
        </w:rPr>
        <w:t>GW</w:t>
      </w:r>
      <w:r w:rsidRPr="0090126B">
        <w:t>)</w:t>
      </w:r>
      <w:bookmarkEnd w:id="15"/>
    </w:p>
    <w:p w:rsidR="00FA4F4A" w:rsidRDefault="00FA4F4A" w:rsidP="00CF56A8">
      <w:pPr>
        <w:jc w:val="both"/>
        <w:rPr>
          <w:rFonts w:ascii="Arial" w:hAnsi="Arial" w:cs="Arial"/>
          <w:lang w:val="en-GB"/>
        </w:rPr>
      </w:pPr>
    </w:p>
    <w:p w:rsidR="00CF56A8" w:rsidRPr="00CF56A8" w:rsidRDefault="00BB09E2" w:rsidP="00CF56A8">
      <w:pPr>
        <w:jc w:val="both"/>
        <w:rPr>
          <w:rFonts w:ascii="Arial" w:hAnsi="Arial" w:cs="Arial"/>
          <w:lang w:val="en-GB"/>
        </w:rPr>
      </w:pPr>
      <w:r w:rsidRPr="00BB09E2">
        <w:rPr>
          <w:rFonts w:ascii="Arial" w:hAnsi="Arial" w:cs="Arial"/>
          <w:lang w:val="en-GB"/>
        </w:rPr>
        <w:t>Not yet harmonised. Follow the approaches that are used for the Approval submission of the (individual) active substance(s).</w:t>
      </w:r>
      <w:r>
        <w:rPr>
          <w:rFonts w:ascii="Arial" w:hAnsi="Arial" w:cs="Arial"/>
          <w:lang w:val="en-GB"/>
        </w:rPr>
        <w:t xml:space="preserve"> PEC soil calculations should be based on </w:t>
      </w:r>
      <w:r w:rsidR="00CF56A8" w:rsidRPr="00CF56A8">
        <w:rPr>
          <w:rFonts w:ascii="Arial" w:hAnsi="Arial" w:cs="Arial"/>
          <w:lang w:val="en-GB"/>
        </w:rPr>
        <w:t>guidance of the FOCUS workgroup on degradation kinetics [FOCUS Kinetics (2006, 2014)]. A soil bulk density of 1.5 g/cm</w:t>
      </w:r>
      <w:r w:rsidR="00CF56A8" w:rsidRPr="00CF56A8">
        <w:rPr>
          <w:rFonts w:ascii="Arial" w:hAnsi="Arial" w:cs="Arial"/>
          <w:vertAlign w:val="superscript"/>
          <w:lang w:val="en-GB"/>
        </w:rPr>
        <w:t>3</w:t>
      </w:r>
      <w:r w:rsidR="00CF56A8" w:rsidRPr="00CF56A8">
        <w:rPr>
          <w:rFonts w:ascii="Arial" w:hAnsi="Arial" w:cs="Arial"/>
          <w:lang w:val="en-GB"/>
        </w:rPr>
        <w:t xml:space="preserve"> and a soil layer depth of 5 cm </w:t>
      </w:r>
      <w:r w:rsidR="00CF56A8">
        <w:rPr>
          <w:rFonts w:ascii="Arial" w:hAnsi="Arial" w:cs="Arial"/>
          <w:lang w:val="en-GB"/>
        </w:rPr>
        <w:t>should be a</w:t>
      </w:r>
      <w:r w:rsidR="00CF56A8" w:rsidRPr="00CF56A8">
        <w:rPr>
          <w:rFonts w:ascii="Arial" w:hAnsi="Arial" w:cs="Arial"/>
          <w:lang w:val="en-GB"/>
        </w:rPr>
        <w:t xml:space="preserve">ssumed for the calculations. </w:t>
      </w:r>
      <w:r w:rsidR="00CF56A8">
        <w:rPr>
          <w:rFonts w:ascii="Arial" w:hAnsi="Arial" w:cs="Arial"/>
          <w:lang w:val="en-GB"/>
        </w:rPr>
        <w:t xml:space="preserve">If necessary, </w:t>
      </w:r>
      <w:r w:rsidR="00CF56A8" w:rsidRPr="00CF56A8">
        <w:rPr>
          <w:rFonts w:ascii="Arial" w:hAnsi="Arial" w:cs="Arial"/>
          <w:lang w:val="en-GB"/>
        </w:rPr>
        <w:t xml:space="preserve">the </w:t>
      </w:r>
      <w:r w:rsidR="00CF56A8">
        <w:rPr>
          <w:rFonts w:ascii="Arial" w:hAnsi="Arial" w:cs="Arial"/>
          <w:lang w:val="en-GB"/>
        </w:rPr>
        <w:t xml:space="preserve">PEC soil </w:t>
      </w:r>
      <w:r w:rsidR="00CF56A8" w:rsidRPr="00CF56A8">
        <w:rPr>
          <w:rFonts w:ascii="Arial" w:hAnsi="Arial" w:cs="Arial"/>
          <w:lang w:val="en-GB"/>
        </w:rPr>
        <w:t xml:space="preserve">accumulation potential of </w:t>
      </w:r>
      <w:r w:rsidR="00CF56A8">
        <w:rPr>
          <w:rFonts w:ascii="Arial" w:hAnsi="Arial" w:cs="Arial"/>
          <w:lang w:val="en-GB"/>
        </w:rPr>
        <w:t>active substance and metabolites should be presented.</w:t>
      </w:r>
    </w:p>
    <w:p w:rsidR="00BB09E2" w:rsidRPr="00BB09E2" w:rsidRDefault="00BB09E2" w:rsidP="00BB09E2">
      <w:pPr>
        <w:jc w:val="both"/>
        <w:rPr>
          <w:rFonts w:ascii="Arial" w:hAnsi="Arial" w:cs="Arial"/>
          <w:lang w:val="en-GB"/>
        </w:rPr>
      </w:pPr>
      <w:r>
        <w:rPr>
          <w:rFonts w:ascii="Arial" w:hAnsi="Arial" w:cs="Arial"/>
          <w:lang w:val="en-GB"/>
        </w:rPr>
        <w:t xml:space="preserve"> </w:t>
      </w:r>
    </w:p>
    <w:p w:rsidR="00336943" w:rsidRDefault="00336943">
      <w:pPr>
        <w:rPr>
          <w:rFonts w:ascii="Arial" w:hAnsi="Arial" w:cs="Ta8"/>
          <w:b/>
          <w:bCs/>
          <w:lang w:val="en-GB" w:bidi="si-LK"/>
        </w:rPr>
      </w:pPr>
    </w:p>
    <w:p w:rsidR="00BB09E2" w:rsidRPr="0090126B" w:rsidRDefault="00BB09E2">
      <w:pPr>
        <w:rPr>
          <w:rFonts w:ascii="Arial" w:hAnsi="Arial" w:cs="Ta8"/>
          <w:b/>
          <w:bCs/>
          <w:lang w:val="en-GB" w:bidi="si-LK"/>
        </w:rPr>
      </w:pPr>
    </w:p>
    <w:p w:rsidR="00E3381C" w:rsidRPr="0090126B" w:rsidRDefault="00E3381C" w:rsidP="00FE2417">
      <w:pPr>
        <w:pStyle w:val="Naslov3"/>
      </w:pPr>
      <w:bookmarkStart w:id="16" w:name="_Toc120874257"/>
      <w:r w:rsidRPr="0090126B">
        <w:t>Predicted Environmental Concentration in Groundwater (PEC</w:t>
      </w:r>
      <w:r w:rsidRPr="0090126B">
        <w:rPr>
          <w:vertAlign w:val="subscript"/>
        </w:rPr>
        <w:t>GW</w:t>
      </w:r>
      <w:r w:rsidRPr="0090126B">
        <w:t>)</w:t>
      </w:r>
      <w:bookmarkEnd w:id="16"/>
    </w:p>
    <w:p w:rsidR="00336943" w:rsidRPr="0090126B" w:rsidRDefault="00336943" w:rsidP="00DC7D54">
      <w:pPr>
        <w:jc w:val="both"/>
        <w:rPr>
          <w:rFonts w:ascii="Arial" w:hAnsi="Arial" w:cs="Arial"/>
          <w:b/>
          <w:bCs/>
          <w:color w:val="000000"/>
          <w:lang w:val="en-GB"/>
        </w:rPr>
      </w:pPr>
    </w:p>
    <w:p w:rsidR="0064739F" w:rsidRDefault="001A790A" w:rsidP="009D1432">
      <w:pPr>
        <w:jc w:val="both"/>
        <w:rPr>
          <w:rFonts w:ascii="Arial" w:hAnsi="Arial" w:cs="Arial"/>
          <w:color w:val="000000"/>
          <w:lang w:val="en-GB"/>
        </w:rPr>
      </w:pPr>
      <w:r w:rsidRPr="001A790A">
        <w:rPr>
          <w:rFonts w:ascii="Arial" w:hAnsi="Arial" w:cs="Arial"/>
          <w:lang w:val="en-GB"/>
        </w:rPr>
        <w:t>Groundwater simulations are to be performed based on the table of agreed endpoints and with the latest versions (at the time of submission) of both FOCUS PEARL and FOCUS PELMO</w:t>
      </w:r>
      <w:r>
        <w:rPr>
          <w:rFonts w:ascii="Arial" w:hAnsi="Arial" w:cs="Arial"/>
          <w:lang w:val="en-GB"/>
        </w:rPr>
        <w:t xml:space="preserve"> and using for Slovenia relevant ground water scenarios </w:t>
      </w:r>
      <w:proofErr w:type="spellStart"/>
      <w:r w:rsidR="0064739F" w:rsidRPr="0090126B">
        <w:rPr>
          <w:rFonts w:ascii="Arial" w:hAnsi="Arial" w:cs="Arial"/>
          <w:color w:val="000000"/>
          <w:lang w:val="en-GB"/>
        </w:rPr>
        <w:t>Chateaudun</w:t>
      </w:r>
      <w:proofErr w:type="spellEnd"/>
      <w:r w:rsidR="0064739F" w:rsidRPr="0090126B">
        <w:rPr>
          <w:rFonts w:ascii="Arial" w:hAnsi="Arial" w:cs="Arial"/>
          <w:color w:val="000000"/>
          <w:lang w:val="en-GB"/>
        </w:rPr>
        <w:t xml:space="preserve">, Hamburg, </w:t>
      </w:r>
      <w:proofErr w:type="spellStart"/>
      <w:r w:rsidR="0064739F" w:rsidRPr="0090126B">
        <w:rPr>
          <w:rFonts w:ascii="Arial" w:hAnsi="Arial" w:cs="Arial"/>
          <w:color w:val="000000"/>
          <w:lang w:val="en-GB"/>
        </w:rPr>
        <w:t>Kremsmuenster</w:t>
      </w:r>
      <w:proofErr w:type="spellEnd"/>
      <w:r w:rsidR="0064739F" w:rsidRPr="0090126B">
        <w:rPr>
          <w:rFonts w:ascii="Arial" w:hAnsi="Arial" w:cs="Arial"/>
          <w:color w:val="000000"/>
          <w:lang w:val="en-GB"/>
        </w:rPr>
        <w:t xml:space="preserve">, Piacenza, </w:t>
      </w:r>
      <w:r w:rsidR="00820314" w:rsidRPr="0090126B">
        <w:rPr>
          <w:rFonts w:ascii="Arial" w:hAnsi="Arial" w:cs="Arial"/>
          <w:color w:val="000000"/>
          <w:lang w:val="en-GB"/>
        </w:rPr>
        <w:t xml:space="preserve">and </w:t>
      </w:r>
      <w:proofErr w:type="spellStart"/>
      <w:r w:rsidR="00820314" w:rsidRPr="0090126B">
        <w:rPr>
          <w:rFonts w:ascii="Arial" w:hAnsi="Arial" w:cs="Arial"/>
          <w:color w:val="000000"/>
          <w:lang w:val="en-GB"/>
        </w:rPr>
        <w:t>Okehampton</w:t>
      </w:r>
      <w:proofErr w:type="spellEnd"/>
      <w:r w:rsidR="008B717C">
        <w:rPr>
          <w:rFonts w:ascii="Arial" w:hAnsi="Arial" w:cs="Arial"/>
          <w:color w:val="000000"/>
          <w:lang w:val="en-GB"/>
        </w:rPr>
        <w:t>.</w:t>
      </w:r>
    </w:p>
    <w:p w:rsidR="009D1432" w:rsidRDefault="009D1432" w:rsidP="009D1432">
      <w:pPr>
        <w:jc w:val="both"/>
        <w:rPr>
          <w:rFonts w:ascii="Arial" w:hAnsi="Arial" w:cs="Arial"/>
          <w:color w:val="000000"/>
          <w:lang w:val="en-GB"/>
        </w:rPr>
      </w:pPr>
    </w:p>
    <w:p w:rsidR="009D1432" w:rsidRPr="009D1432" w:rsidRDefault="009D1432" w:rsidP="009D1432">
      <w:pPr>
        <w:jc w:val="both"/>
        <w:rPr>
          <w:rFonts w:ascii="Arial" w:hAnsi="Arial" w:cs="Arial"/>
          <w:lang w:val="en-GB"/>
        </w:rPr>
      </w:pPr>
      <w:r w:rsidRPr="009D1432">
        <w:rPr>
          <w:rFonts w:ascii="Arial" w:hAnsi="Arial" w:cs="Arial"/>
          <w:lang w:val="en-GB"/>
        </w:rPr>
        <w:t xml:space="preserve">Simulations have to be conducted for all crops included in the GAP. When a crop is not included in the list of relevant scenarios, the user should select a crop resembling the intended crop based on expert judgement. The choice of crop should be justified. </w:t>
      </w:r>
    </w:p>
    <w:p w:rsidR="009D1432" w:rsidRPr="009D1432" w:rsidRDefault="009D1432" w:rsidP="009D1432">
      <w:pPr>
        <w:jc w:val="both"/>
        <w:rPr>
          <w:rFonts w:ascii="Arial" w:hAnsi="Arial" w:cs="Arial"/>
          <w:color w:val="000000"/>
          <w:lang w:val="en-GB"/>
        </w:rPr>
      </w:pPr>
      <w:r w:rsidRPr="009D1432">
        <w:rPr>
          <w:rFonts w:ascii="Arial" w:hAnsi="Arial" w:cs="Arial"/>
          <w:lang w:val="en-GB"/>
        </w:rPr>
        <w:t xml:space="preserve">The application timing should be selected using the most actual version of the software </w:t>
      </w:r>
      <w:proofErr w:type="spellStart"/>
      <w:r w:rsidRPr="009D1432">
        <w:rPr>
          <w:rFonts w:ascii="Arial" w:hAnsi="Arial" w:cs="Arial"/>
          <w:lang w:val="en-GB"/>
        </w:rPr>
        <w:t>AppDate</w:t>
      </w:r>
      <w:proofErr w:type="spellEnd"/>
      <w:r w:rsidRPr="009D1432">
        <w:rPr>
          <w:rFonts w:ascii="Arial" w:hAnsi="Arial" w:cs="Arial"/>
          <w:lang w:val="en-GB"/>
        </w:rPr>
        <w:t xml:space="preserve"> (M. Klein, </w:t>
      </w:r>
      <w:proofErr w:type="spellStart"/>
      <w:r w:rsidRPr="009D1432">
        <w:rPr>
          <w:rFonts w:ascii="Arial" w:hAnsi="Arial" w:cs="Arial"/>
          <w:lang w:val="en-GB"/>
        </w:rPr>
        <w:t>Fraunhofer-Institut</w:t>
      </w:r>
      <w:proofErr w:type="spellEnd"/>
      <w:r w:rsidRPr="009D1432">
        <w:rPr>
          <w:rFonts w:ascii="Arial" w:hAnsi="Arial" w:cs="Arial"/>
          <w:lang w:val="en-GB"/>
        </w:rPr>
        <w:t>).</w:t>
      </w:r>
    </w:p>
    <w:p w:rsidR="00E3381C" w:rsidRPr="0090126B" w:rsidRDefault="00E3381C" w:rsidP="00DC7D54">
      <w:pPr>
        <w:jc w:val="both"/>
        <w:rPr>
          <w:rFonts w:ascii="Arial" w:hAnsi="Arial" w:cs="Arial"/>
          <w:color w:val="000000"/>
          <w:lang w:val="en-GB"/>
        </w:rPr>
      </w:pPr>
    </w:p>
    <w:p w:rsidR="00336943" w:rsidRPr="0090126B" w:rsidRDefault="00336943" w:rsidP="00DC7D54">
      <w:pPr>
        <w:jc w:val="both"/>
        <w:rPr>
          <w:rFonts w:ascii="Arial" w:hAnsi="Arial" w:cs="Arial"/>
          <w:color w:val="000000"/>
          <w:lang w:val="en-GB"/>
        </w:rPr>
      </w:pPr>
    </w:p>
    <w:p w:rsidR="00336943" w:rsidRPr="00FE2417" w:rsidRDefault="00E3381C" w:rsidP="00FE2417">
      <w:pPr>
        <w:pStyle w:val="Naslov3"/>
      </w:pPr>
      <w:bookmarkStart w:id="17" w:name="_Toc120874258"/>
      <w:r w:rsidRPr="0090126B">
        <w:t xml:space="preserve">Predicted Environmental </w:t>
      </w:r>
      <w:r w:rsidR="007C3500" w:rsidRPr="0090126B">
        <w:t>Concentration</w:t>
      </w:r>
      <w:r w:rsidRPr="0090126B">
        <w:t xml:space="preserve"> in Surface water/Sediment (PECSW)</w:t>
      </w:r>
      <w:bookmarkEnd w:id="17"/>
    </w:p>
    <w:p w:rsidR="00E3381C" w:rsidRPr="0090126B" w:rsidRDefault="00E3381C" w:rsidP="00DC7D54">
      <w:pPr>
        <w:jc w:val="both"/>
        <w:rPr>
          <w:rFonts w:ascii="Arial" w:hAnsi="Arial" w:cs="Arial"/>
          <w:lang w:val="en-GB"/>
        </w:rPr>
      </w:pPr>
    </w:p>
    <w:p w:rsidR="005C51A1" w:rsidRDefault="008B717C" w:rsidP="00DC7D54">
      <w:pPr>
        <w:jc w:val="both"/>
        <w:rPr>
          <w:rFonts w:ascii="Arial" w:hAnsi="Arial" w:cs="Arial"/>
          <w:bCs/>
          <w:color w:val="000000"/>
          <w:lang w:val="en-GB"/>
        </w:rPr>
      </w:pPr>
      <w:r w:rsidRPr="008B717C">
        <w:rPr>
          <w:rFonts w:ascii="Arial" w:hAnsi="Arial" w:cs="Arial"/>
          <w:bCs/>
          <w:color w:val="000000"/>
          <w:lang w:val="en-GB"/>
        </w:rPr>
        <w:t xml:space="preserve">Only exposure via </w:t>
      </w:r>
      <w:r w:rsidR="00C56D6C">
        <w:rPr>
          <w:rFonts w:ascii="Arial" w:hAnsi="Arial" w:cs="Arial"/>
          <w:bCs/>
          <w:color w:val="000000"/>
          <w:lang w:val="en-GB"/>
        </w:rPr>
        <w:t xml:space="preserve">spray </w:t>
      </w:r>
      <w:r w:rsidRPr="008B717C">
        <w:rPr>
          <w:rFonts w:ascii="Arial" w:hAnsi="Arial" w:cs="Arial"/>
          <w:bCs/>
          <w:color w:val="000000"/>
          <w:lang w:val="en-GB"/>
        </w:rPr>
        <w:t xml:space="preserve">drift is considered at national level. </w:t>
      </w:r>
      <w:proofErr w:type="spellStart"/>
      <w:r w:rsidRPr="008B717C">
        <w:rPr>
          <w:rFonts w:ascii="Arial" w:hAnsi="Arial" w:cs="Arial"/>
          <w:bCs/>
          <w:color w:val="000000"/>
          <w:lang w:val="en-GB"/>
        </w:rPr>
        <w:t>PEC</w:t>
      </w:r>
      <w:r w:rsidR="00C56D6C">
        <w:rPr>
          <w:rFonts w:ascii="Arial" w:hAnsi="Arial" w:cs="Arial"/>
          <w:bCs/>
          <w:color w:val="000000"/>
          <w:lang w:val="en-GB"/>
        </w:rPr>
        <w:t>sw</w:t>
      </w:r>
      <w:proofErr w:type="spellEnd"/>
      <w:r w:rsidR="00C56D6C">
        <w:rPr>
          <w:rFonts w:ascii="Arial" w:hAnsi="Arial" w:cs="Arial"/>
          <w:bCs/>
          <w:color w:val="000000"/>
          <w:lang w:val="en-GB"/>
        </w:rPr>
        <w:t>/</w:t>
      </w:r>
      <w:proofErr w:type="spellStart"/>
      <w:r w:rsidR="00C56D6C">
        <w:rPr>
          <w:rFonts w:ascii="Arial" w:hAnsi="Arial" w:cs="Arial"/>
          <w:bCs/>
          <w:color w:val="000000"/>
          <w:lang w:val="en-GB"/>
        </w:rPr>
        <w:t>sed</w:t>
      </w:r>
      <w:proofErr w:type="spellEnd"/>
      <w:r w:rsidR="00C56D6C">
        <w:rPr>
          <w:rFonts w:ascii="Arial" w:hAnsi="Arial" w:cs="Arial"/>
          <w:bCs/>
          <w:color w:val="000000"/>
          <w:lang w:val="en-GB"/>
        </w:rPr>
        <w:t xml:space="preserve"> values</w:t>
      </w:r>
      <w:r w:rsidRPr="008B717C">
        <w:rPr>
          <w:rFonts w:ascii="Arial" w:hAnsi="Arial" w:cs="Arial"/>
          <w:bCs/>
          <w:color w:val="000000"/>
          <w:lang w:val="en-GB"/>
        </w:rPr>
        <w:t xml:space="preserve"> </w:t>
      </w:r>
      <w:r w:rsidR="00C56D6C">
        <w:rPr>
          <w:rFonts w:ascii="Arial" w:hAnsi="Arial" w:cs="Arial"/>
          <w:bCs/>
          <w:color w:val="000000"/>
          <w:lang w:val="en-GB"/>
        </w:rPr>
        <w:t xml:space="preserve">are </w:t>
      </w:r>
      <w:r w:rsidRPr="008B717C">
        <w:rPr>
          <w:rFonts w:ascii="Arial" w:hAnsi="Arial" w:cs="Arial"/>
          <w:bCs/>
          <w:color w:val="000000"/>
          <w:lang w:val="en-GB"/>
        </w:rPr>
        <w:t xml:space="preserve">calculated with </w:t>
      </w:r>
      <w:r w:rsidR="009963E3">
        <w:rPr>
          <w:rFonts w:ascii="Arial" w:hAnsi="Arial" w:cs="Arial"/>
          <w:bCs/>
          <w:color w:val="000000"/>
          <w:lang w:val="en-GB"/>
        </w:rPr>
        <w:t>PEC</w:t>
      </w:r>
      <w:r w:rsidRPr="008B717C">
        <w:rPr>
          <w:rFonts w:ascii="Arial" w:hAnsi="Arial" w:cs="Arial"/>
          <w:bCs/>
          <w:color w:val="000000"/>
          <w:lang w:val="en-GB"/>
        </w:rPr>
        <w:t xml:space="preserve"> Excel calculator </w:t>
      </w:r>
      <w:r w:rsidR="00C56D6C">
        <w:rPr>
          <w:rFonts w:ascii="Arial" w:hAnsi="Arial" w:cs="Arial"/>
          <w:bCs/>
          <w:color w:val="000000"/>
          <w:lang w:val="en-GB"/>
        </w:rPr>
        <w:t xml:space="preserve">and </w:t>
      </w:r>
      <w:r w:rsidRPr="008B717C">
        <w:rPr>
          <w:rFonts w:ascii="Arial" w:hAnsi="Arial" w:cs="Arial"/>
          <w:bCs/>
          <w:color w:val="000000"/>
          <w:lang w:val="en-GB"/>
        </w:rPr>
        <w:t>'Surface water – spray drift</w:t>
      </w:r>
      <w:r w:rsidR="00C56D6C">
        <w:rPr>
          <w:rFonts w:ascii="Arial" w:hAnsi="Arial" w:cs="Arial"/>
          <w:bCs/>
          <w:color w:val="000000"/>
          <w:lang w:val="en-GB"/>
        </w:rPr>
        <w:t xml:space="preserve"> values</w:t>
      </w:r>
      <w:r w:rsidRPr="008B717C">
        <w:rPr>
          <w:rFonts w:ascii="Arial" w:hAnsi="Arial" w:cs="Arial"/>
          <w:bCs/>
          <w:color w:val="000000"/>
          <w:lang w:val="en-GB"/>
        </w:rPr>
        <w:t xml:space="preserve"> based on BBA spray drift tables according to </w:t>
      </w:r>
      <w:proofErr w:type="spellStart"/>
      <w:r w:rsidRPr="008B717C">
        <w:rPr>
          <w:rFonts w:ascii="Arial" w:hAnsi="Arial" w:cs="Arial"/>
          <w:bCs/>
          <w:color w:val="000000"/>
          <w:lang w:val="en-GB"/>
        </w:rPr>
        <w:t>Rautmann</w:t>
      </w:r>
      <w:proofErr w:type="spellEnd"/>
      <w:r w:rsidRPr="008B717C">
        <w:rPr>
          <w:rFonts w:ascii="Arial" w:hAnsi="Arial" w:cs="Arial"/>
          <w:bCs/>
          <w:color w:val="000000"/>
          <w:lang w:val="en-GB"/>
        </w:rPr>
        <w:t xml:space="preserve"> et al. </w:t>
      </w:r>
      <w:r w:rsidR="009963E3">
        <w:rPr>
          <w:rFonts w:ascii="Arial" w:hAnsi="Arial" w:cs="Ta8"/>
          <w:lang w:val="en-GB"/>
        </w:rPr>
        <w:t>The Excel calculator</w:t>
      </w:r>
      <w:r w:rsidRPr="0090126B">
        <w:rPr>
          <w:rFonts w:ascii="Arial" w:hAnsi="Arial" w:cs="Ta8"/>
          <w:lang w:val="en-GB"/>
        </w:rPr>
        <w:t xml:space="preserve"> can be found on the UK Health &amp; Safety Executive (HSE)</w:t>
      </w:r>
      <w:r>
        <w:rPr>
          <w:rFonts w:ascii="Arial" w:hAnsi="Arial" w:cs="Ta8"/>
          <w:lang w:val="en-GB"/>
        </w:rPr>
        <w:t xml:space="preserve"> website</w:t>
      </w:r>
      <w:r w:rsidRPr="0090126B">
        <w:rPr>
          <w:rFonts w:ascii="Arial" w:hAnsi="Arial" w:cs="Ta8"/>
          <w:lang w:val="en-GB"/>
        </w:rPr>
        <w:t>.</w:t>
      </w:r>
      <w:r>
        <w:rPr>
          <w:rFonts w:ascii="Arial" w:hAnsi="Arial" w:cs="Ta8"/>
          <w:lang w:val="en-GB"/>
        </w:rPr>
        <w:t xml:space="preserve"> </w:t>
      </w:r>
      <w:r w:rsidRPr="008B717C">
        <w:rPr>
          <w:rFonts w:ascii="Arial" w:hAnsi="Arial" w:cs="Arial"/>
          <w:bCs/>
          <w:color w:val="000000"/>
          <w:lang w:val="en-GB"/>
        </w:rPr>
        <w:t xml:space="preserve">For horizontal boom sprayer, maximum non-spray buffer zone </w:t>
      </w:r>
      <w:r w:rsidR="008973D8">
        <w:rPr>
          <w:rFonts w:ascii="Arial" w:hAnsi="Arial" w:cs="Arial"/>
          <w:bCs/>
          <w:color w:val="000000"/>
          <w:lang w:val="en-GB"/>
        </w:rPr>
        <w:t xml:space="preserve">of </w:t>
      </w:r>
      <w:r w:rsidRPr="008B717C">
        <w:rPr>
          <w:rFonts w:ascii="Arial" w:hAnsi="Arial" w:cs="Arial"/>
          <w:bCs/>
          <w:color w:val="000000"/>
          <w:lang w:val="en-GB"/>
        </w:rPr>
        <w:t>20 m</w:t>
      </w:r>
      <w:r w:rsidR="008973D8">
        <w:rPr>
          <w:rFonts w:ascii="Arial" w:hAnsi="Arial" w:cs="Arial"/>
          <w:bCs/>
          <w:color w:val="000000"/>
          <w:lang w:val="en-GB"/>
        </w:rPr>
        <w:t xml:space="preserve"> can be considered</w:t>
      </w:r>
      <w:r w:rsidRPr="008B717C">
        <w:rPr>
          <w:rFonts w:ascii="Arial" w:hAnsi="Arial" w:cs="Arial"/>
          <w:bCs/>
          <w:color w:val="000000"/>
          <w:lang w:val="en-GB"/>
        </w:rPr>
        <w:t xml:space="preserve">. For vineyards, orchards and hop maximum non-spray buffer zone </w:t>
      </w:r>
      <w:r w:rsidR="008973D8">
        <w:rPr>
          <w:rFonts w:ascii="Arial" w:hAnsi="Arial" w:cs="Arial"/>
          <w:bCs/>
          <w:color w:val="000000"/>
          <w:lang w:val="en-GB"/>
        </w:rPr>
        <w:t xml:space="preserve">of </w:t>
      </w:r>
      <w:r w:rsidRPr="008B717C">
        <w:rPr>
          <w:rFonts w:ascii="Arial" w:hAnsi="Arial" w:cs="Arial"/>
          <w:bCs/>
          <w:color w:val="000000"/>
          <w:lang w:val="en-GB"/>
        </w:rPr>
        <w:t>50 m</w:t>
      </w:r>
      <w:r w:rsidR="008973D8">
        <w:rPr>
          <w:rFonts w:ascii="Arial" w:hAnsi="Arial" w:cs="Arial"/>
          <w:bCs/>
          <w:color w:val="000000"/>
          <w:lang w:val="en-GB"/>
        </w:rPr>
        <w:t xml:space="preserve"> can be considered</w:t>
      </w:r>
      <w:r w:rsidRPr="008B717C">
        <w:rPr>
          <w:rFonts w:ascii="Arial" w:hAnsi="Arial" w:cs="Arial"/>
          <w:bCs/>
          <w:color w:val="000000"/>
          <w:lang w:val="en-GB"/>
        </w:rPr>
        <w:t xml:space="preserve">. </w:t>
      </w:r>
      <w:r w:rsidR="00EA027D">
        <w:rPr>
          <w:rFonts w:ascii="Arial" w:hAnsi="Arial" w:cs="Arial"/>
          <w:bCs/>
          <w:color w:val="000000"/>
          <w:lang w:val="en-GB"/>
        </w:rPr>
        <w:t>D</w:t>
      </w:r>
      <w:r w:rsidRPr="008B717C">
        <w:rPr>
          <w:rFonts w:ascii="Arial" w:hAnsi="Arial" w:cs="Arial"/>
          <w:bCs/>
          <w:color w:val="000000"/>
          <w:lang w:val="en-GB"/>
        </w:rPr>
        <w:t xml:space="preserve">rift reduction nozzles in combination with non-spray buffer zone </w:t>
      </w:r>
      <w:r w:rsidR="00EA027D">
        <w:rPr>
          <w:rFonts w:ascii="Arial" w:hAnsi="Arial" w:cs="Arial"/>
          <w:bCs/>
          <w:color w:val="000000"/>
          <w:lang w:val="en-GB"/>
        </w:rPr>
        <w:t xml:space="preserve">are currently not a RMM in Slovenia. </w:t>
      </w:r>
    </w:p>
    <w:p w:rsidR="00C56D6C" w:rsidRDefault="00C56D6C" w:rsidP="00DC7D54">
      <w:pPr>
        <w:jc w:val="both"/>
        <w:rPr>
          <w:rFonts w:ascii="Arial" w:hAnsi="Arial" w:cs="Arial"/>
          <w:bCs/>
          <w:color w:val="000000"/>
          <w:lang w:val="en-GB"/>
        </w:rPr>
      </w:pPr>
    </w:p>
    <w:p w:rsidR="00C56D6C" w:rsidRPr="008B717C" w:rsidRDefault="00C56D6C" w:rsidP="00DC7D54">
      <w:pPr>
        <w:jc w:val="both"/>
        <w:rPr>
          <w:rFonts w:ascii="Arial" w:hAnsi="Arial" w:cs="Arial"/>
          <w:bCs/>
          <w:color w:val="000000"/>
          <w:lang w:val="en-GB"/>
        </w:rPr>
      </w:pPr>
    </w:p>
    <w:p w:rsidR="00E56F50" w:rsidRPr="0090126B" w:rsidRDefault="008C542B" w:rsidP="00FE2417">
      <w:pPr>
        <w:pStyle w:val="Naslov1"/>
        <w:numPr>
          <w:ilvl w:val="0"/>
          <w:numId w:val="25"/>
        </w:numPr>
      </w:pPr>
      <w:r w:rsidRPr="0090126B">
        <w:br w:type="page"/>
      </w:r>
      <w:bookmarkStart w:id="18" w:name="_Toc120874259"/>
      <w:r w:rsidR="00E56F50" w:rsidRPr="0090126B">
        <w:lastRenderedPageBreak/>
        <w:t>ECOTOXICOLOGY</w:t>
      </w:r>
      <w:bookmarkEnd w:id="18"/>
    </w:p>
    <w:p w:rsidR="008C542B" w:rsidRPr="0090126B" w:rsidRDefault="008C542B" w:rsidP="00DC7D54">
      <w:pPr>
        <w:jc w:val="both"/>
        <w:rPr>
          <w:rFonts w:ascii="Arial" w:hAnsi="Arial" w:cs="Arial"/>
          <w:b/>
          <w:bCs/>
          <w:color w:val="000000"/>
          <w:lang w:val="en-GB"/>
        </w:rPr>
      </w:pPr>
    </w:p>
    <w:p w:rsidR="00336943" w:rsidRPr="0090126B" w:rsidRDefault="00336943" w:rsidP="00DC7D54">
      <w:pPr>
        <w:jc w:val="both"/>
        <w:rPr>
          <w:rFonts w:ascii="Arial" w:hAnsi="Arial" w:cs="Arial"/>
          <w:b/>
          <w:bCs/>
          <w:color w:val="000000"/>
          <w:lang w:val="en-GB"/>
        </w:rPr>
      </w:pPr>
    </w:p>
    <w:p w:rsidR="00E3381C" w:rsidRPr="0090126B" w:rsidRDefault="00E3381C" w:rsidP="00FE2417">
      <w:pPr>
        <w:pStyle w:val="Naslov3"/>
      </w:pPr>
      <w:bookmarkStart w:id="19" w:name="_Toc120874260"/>
      <w:r w:rsidRPr="0090126B">
        <w:t>Aquatics</w:t>
      </w:r>
      <w:bookmarkEnd w:id="19"/>
    </w:p>
    <w:p w:rsidR="00E3381C" w:rsidRPr="0090126B" w:rsidRDefault="00E3381C" w:rsidP="00DC7D54">
      <w:pPr>
        <w:jc w:val="both"/>
        <w:rPr>
          <w:rFonts w:ascii="Arial" w:hAnsi="Arial" w:cs="Arial"/>
          <w:b/>
          <w:bCs/>
          <w:color w:val="000000"/>
          <w:lang w:val="en-GB"/>
        </w:rPr>
      </w:pPr>
    </w:p>
    <w:p w:rsidR="00E3381C" w:rsidRPr="0090126B" w:rsidRDefault="00E3381C" w:rsidP="00DC7D54">
      <w:pPr>
        <w:jc w:val="both"/>
        <w:rPr>
          <w:rFonts w:ascii="Arial" w:hAnsi="Arial" w:cs="Ta8"/>
          <w:b/>
          <w:bCs/>
          <w:lang w:val="en-GB" w:bidi="si-LK"/>
        </w:rPr>
      </w:pPr>
      <w:r w:rsidRPr="0090126B">
        <w:rPr>
          <w:rFonts w:ascii="Arial" w:hAnsi="Arial" w:cs="Arial"/>
          <w:color w:val="000000"/>
          <w:lang w:val="en-GB"/>
        </w:rPr>
        <w:t>Only exposure via drift is considered</w:t>
      </w:r>
      <w:r w:rsidR="00E96CB1">
        <w:rPr>
          <w:rFonts w:ascii="Arial" w:hAnsi="Arial" w:cs="Arial"/>
          <w:color w:val="000000"/>
          <w:lang w:val="en-GB"/>
        </w:rPr>
        <w:t xml:space="preserve"> (see Chapter 3).</w:t>
      </w:r>
      <w:r w:rsidRPr="0090126B">
        <w:rPr>
          <w:rFonts w:ascii="Arial" w:hAnsi="Arial" w:cs="Arial"/>
          <w:color w:val="000000"/>
          <w:lang w:val="en-GB"/>
        </w:rPr>
        <w:t xml:space="preserve"> </w:t>
      </w:r>
    </w:p>
    <w:p w:rsidR="00336943" w:rsidRPr="0090126B" w:rsidRDefault="00336943" w:rsidP="00DC7D54">
      <w:pPr>
        <w:jc w:val="both"/>
        <w:rPr>
          <w:rFonts w:ascii="Arial" w:hAnsi="Arial" w:cs="Arial"/>
          <w:b/>
          <w:bCs/>
          <w:color w:val="000000"/>
          <w:lang w:val="en-GB"/>
        </w:rPr>
      </w:pPr>
    </w:p>
    <w:p w:rsidR="00E3381C" w:rsidRPr="0090126B" w:rsidRDefault="00E3381C" w:rsidP="00FE2417">
      <w:pPr>
        <w:pStyle w:val="Naslov3"/>
      </w:pPr>
      <w:bookmarkStart w:id="20" w:name="_Toc120874261"/>
      <w:r w:rsidRPr="0090126B">
        <w:t>Birds and mammals</w:t>
      </w:r>
      <w:bookmarkEnd w:id="20"/>
    </w:p>
    <w:p w:rsidR="00E3381C" w:rsidRPr="0090126B" w:rsidRDefault="00E3381C" w:rsidP="00DC7D54">
      <w:pPr>
        <w:jc w:val="both"/>
        <w:rPr>
          <w:rFonts w:ascii="Arial" w:hAnsi="Arial" w:cs="Arial"/>
          <w:b/>
          <w:bCs/>
          <w:color w:val="000000"/>
          <w:lang w:val="en-GB"/>
        </w:rPr>
      </w:pPr>
    </w:p>
    <w:p w:rsidR="00E3381C" w:rsidRPr="0090126B" w:rsidRDefault="008B717C" w:rsidP="00DC7D54">
      <w:pPr>
        <w:jc w:val="both"/>
        <w:rPr>
          <w:rFonts w:ascii="Arial" w:hAnsi="Arial" w:cs="Arial"/>
          <w:color w:val="000000"/>
          <w:lang w:val="en-GB"/>
        </w:rPr>
      </w:pPr>
      <w:r w:rsidRPr="008B717C">
        <w:rPr>
          <w:rFonts w:ascii="Arial" w:hAnsi="Arial" w:cs="Arial"/>
          <w:color w:val="000000"/>
          <w:lang w:val="en-GB"/>
        </w:rPr>
        <w:t>Higher tier assessment following guidance in EFSA (2009). However, if the risk assessment for mammals considers the common vole (</w:t>
      </w:r>
      <w:r w:rsidRPr="008B717C">
        <w:rPr>
          <w:rFonts w:ascii="Arial" w:hAnsi="Arial" w:cs="Arial"/>
          <w:i/>
          <w:color w:val="000000"/>
          <w:lang w:val="en-GB"/>
        </w:rPr>
        <w:t xml:space="preserve">Microtus </w:t>
      </w:r>
      <w:proofErr w:type="spellStart"/>
      <w:r w:rsidRPr="008B717C">
        <w:rPr>
          <w:rFonts w:ascii="Arial" w:hAnsi="Arial" w:cs="Arial"/>
          <w:i/>
          <w:color w:val="000000"/>
          <w:lang w:val="en-GB"/>
        </w:rPr>
        <w:t>arvalis</w:t>
      </w:r>
      <w:proofErr w:type="spellEnd"/>
      <w:r w:rsidRPr="008B717C">
        <w:rPr>
          <w:rFonts w:ascii="Arial" w:hAnsi="Arial" w:cs="Arial"/>
          <w:color w:val="000000"/>
          <w:lang w:val="en-GB"/>
        </w:rPr>
        <w:t>) and the wood mouse (</w:t>
      </w:r>
      <w:proofErr w:type="spellStart"/>
      <w:r w:rsidRPr="008B717C">
        <w:rPr>
          <w:rFonts w:ascii="Arial" w:hAnsi="Arial" w:cs="Arial"/>
          <w:i/>
          <w:color w:val="000000"/>
          <w:lang w:val="en-GB"/>
        </w:rPr>
        <w:t>Apodemus</w:t>
      </w:r>
      <w:proofErr w:type="spellEnd"/>
      <w:r w:rsidRPr="008B717C">
        <w:rPr>
          <w:rFonts w:ascii="Arial" w:hAnsi="Arial" w:cs="Arial"/>
          <w:i/>
          <w:color w:val="000000"/>
          <w:lang w:val="en-GB"/>
        </w:rPr>
        <w:t xml:space="preserve"> </w:t>
      </w:r>
      <w:proofErr w:type="spellStart"/>
      <w:r w:rsidRPr="008B717C">
        <w:rPr>
          <w:rFonts w:ascii="Arial" w:hAnsi="Arial" w:cs="Arial"/>
          <w:i/>
          <w:color w:val="000000"/>
          <w:lang w:val="en-GB"/>
        </w:rPr>
        <w:t>sylvaticus</w:t>
      </w:r>
      <w:proofErr w:type="spellEnd"/>
      <w:r w:rsidRPr="008B717C">
        <w:rPr>
          <w:rFonts w:ascii="Arial" w:hAnsi="Arial" w:cs="Arial"/>
          <w:color w:val="000000"/>
          <w:lang w:val="en-GB"/>
        </w:rPr>
        <w:t>) to be relevant species, the acceptability criterion can be modified.  These species can indeed be viewed as the “worst case” for agricultural areas in Slovenia, with regard to their size and potential exposure. Since the toxicological endpoints for the assessment are still detected on phylogenetically closely related species, a TER ≥ 5 in the acute exposure scenario and a TER ≥ 2 in the long-term exposure scenario can be accepted as adequate.</w:t>
      </w:r>
    </w:p>
    <w:p w:rsidR="00336943" w:rsidRPr="0090126B" w:rsidRDefault="00336943" w:rsidP="00DC7D54">
      <w:pPr>
        <w:jc w:val="both"/>
        <w:rPr>
          <w:rFonts w:ascii="Arial" w:hAnsi="Arial" w:cs="Arial"/>
          <w:b/>
          <w:bCs/>
          <w:color w:val="000000"/>
          <w:lang w:val="en-GB"/>
        </w:rPr>
      </w:pPr>
    </w:p>
    <w:p w:rsidR="00E3381C" w:rsidRPr="0090126B" w:rsidRDefault="00E3381C" w:rsidP="00FE2417">
      <w:pPr>
        <w:pStyle w:val="Naslov3"/>
      </w:pPr>
      <w:bookmarkStart w:id="21" w:name="_Toc120874262"/>
      <w:r w:rsidRPr="0090126B">
        <w:t>Non-target arthropods</w:t>
      </w:r>
      <w:bookmarkEnd w:id="21"/>
    </w:p>
    <w:p w:rsidR="00E3381C" w:rsidRPr="0090126B" w:rsidRDefault="00E56F50" w:rsidP="00DC7D54">
      <w:pPr>
        <w:jc w:val="both"/>
        <w:rPr>
          <w:rFonts w:ascii="Arial" w:hAnsi="Arial" w:cs="Arial"/>
          <w:color w:val="000000"/>
          <w:lang w:val="en-GB"/>
        </w:rPr>
      </w:pPr>
      <w:r w:rsidRPr="0090126B">
        <w:rPr>
          <w:rFonts w:ascii="Arial" w:hAnsi="Arial" w:cs="Arial"/>
          <w:color w:val="000000"/>
          <w:lang w:val="en-GB"/>
        </w:rPr>
        <w:t>I</w:t>
      </w:r>
      <w:r w:rsidR="00E3381C" w:rsidRPr="0090126B">
        <w:rPr>
          <w:rFonts w:ascii="Arial" w:hAnsi="Arial" w:cs="Arial"/>
          <w:color w:val="000000"/>
          <w:lang w:val="en-GB"/>
        </w:rPr>
        <w:t>n case of HQ&gt;50 for bees, risk phrase 'Dangerous to bees' should be added to the label</w:t>
      </w:r>
      <w:r w:rsidR="00E8125D" w:rsidRPr="0090126B">
        <w:rPr>
          <w:rFonts w:ascii="Arial" w:hAnsi="Arial" w:cs="Arial"/>
          <w:color w:val="000000"/>
          <w:lang w:val="en-GB"/>
        </w:rPr>
        <w:t>.</w:t>
      </w:r>
    </w:p>
    <w:p w:rsidR="00E3381C" w:rsidRPr="0090126B" w:rsidRDefault="00E3381C" w:rsidP="00DC7D54">
      <w:pPr>
        <w:jc w:val="both"/>
        <w:rPr>
          <w:rFonts w:ascii="Arial" w:hAnsi="Arial" w:cs="Arial"/>
          <w:color w:val="000000"/>
          <w:lang w:val="en-GB"/>
        </w:rPr>
      </w:pPr>
    </w:p>
    <w:p w:rsidR="00336943" w:rsidRPr="0090126B" w:rsidRDefault="00336943" w:rsidP="00DC7D54">
      <w:pPr>
        <w:jc w:val="both"/>
        <w:rPr>
          <w:rFonts w:ascii="Arial" w:hAnsi="Arial" w:cs="Arial"/>
          <w:b/>
          <w:bCs/>
          <w:color w:val="000000"/>
          <w:lang w:val="en-GB"/>
        </w:rPr>
      </w:pPr>
    </w:p>
    <w:p w:rsidR="00E3381C" w:rsidRPr="0090126B" w:rsidRDefault="00E3381C" w:rsidP="00FE2417">
      <w:pPr>
        <w:pStyle w:val="Naslov3"/>
      </w:pPr>
      <w:bookmarkStart w:id="22" w:name="_Toc120874263"/>
      <w:r w:rsidRPr="0090126B">
        <w:t>Possible Risk Mitigation Options</w:t>
      </w:r>
      <w:bookmarkEnd w:id="22"/>
    </w:p>
    <w:p w:rsidR="00E3381C" w:rsidRPr="0090126B" w:rsidRDefault="00E3381C" w:rsidP="00DC7D54">
      <w:pPr>
        <w:jc w:val="both"/>
        <w:rPr>
          <w:rFonts w:ascii="Arial" w:hAnsi="Arial" w:cs="Arial"/>
          <w:b/>
          <w:bCs/>
          <w:color w:val="000000"/>
          <w:lang w:val="en-GB"/>
        </w:rPr>
      </w:pPr>
    </w:p>
    <w:p w:rsidR="008C542B" w:rsidRPr="0090126B" w:rsidRDefault="00E3381C" w:rsidP="00DC7D54">
      <w:pPr>
        <w:jc w:val="both"/>
        <w:rPr>
          <w:rFonts w:ascii="Arial" w:hAnsi="Arial" w:cs="Arial"/>
          <w:color w:val="000000"/>
          <w:lang w:val="en-GB"/>
        </w:rPr>
      </w:pPr>
      <w:r w:rsidRPr="0090126B">
        <w:rPr>
          <w:rFonts w:ascii="Arial" w:hAnsi="Arial" w:cs="Arial"/>
          <w:color w:val="000000"/>
          <w:lang w:val="en-GB"/>
        </w:rPr>
        <w:t xml:space="preserve">In certain </w:t>
      </w:r>
      <w:proofErr w:type="gramStart"/>
      <w:r w:rsidRPr="0090126B">
        <w:rPr>
          <w:rFonts w:ascii="Arial" w:hAnsi="Arial" w:cs="Arial"/>
          <w:color w:val="000000"/>
          <w:lang w:val="en-GB"/>
        </w:rPr>
        <w:t>cases</w:t>
      </w:r>
      <w:proofErr w:type="gramEnd"/>
      <w:r w:rsidRPr="0090126B">
        <w:rPr>
          <w:rFonts w:ascii="Arial" w:hAnsi="Arial" w:cs="Arial"/>
          <w:color w:val="000000"/>
          <w:lang w:val="en-GB"/>
        </w:rPr>
        <w:t xml:space="preserve"> drift reduction nozzles allowed to reduce exposure</w:t>
      </w:r>
      <w:r w:rsidR="008B717C">
        <w:rPr>
          <w:rFonts w:ascii="Arial" w:hAnsi="Arial" w:cs="Arial"/>
          <w:color w:val="000000"/>
          <w:lang w:val="en-GB"/>
        </w:rPr>
        <w:t xml:space="preserve"> (see Chapter 3)</w:t>
      </w:r>
      <w:r w:rsidRPr="0090126B">
        <w:rPr>
          <w:rFonts w:ascii="Arial" w:hAnsi="Arial" w:cs="Arial"/>
          <w:color w:val="000000"/>
          <w:lang w:val="en-GB"/>
        </w:rPr>
        <w:t>.</w:t>
      </w:r>
      <w:r w:rsidR="008C542B" w:rsidRPr="0090126B">
        <w:rPr>
          <w:rFonts w:ascii="Arial" w:hAnsi="Arial" w:cs="Arial"/>
          <w:color w:val="000000"/>
          <w:lang w:val="en-GB"/>
        </w:rPr>
        <w:t xml:space="preserve"> </w:t>
      </w:r>
    </w:p>
    <w:p w:rsidR="008C542B" w:rsidRPr="0090126B" w:rsidRDefault="008C542B" w:rsidP="00DC7D54">
      <w:pPr>
        <w:jc w:val="both"/>
        <w:rPr>
          <w:rFonts w:ascii="Arial" w:hAnsi="Arial" w:cs="Arial"/>
          <w:color w:val="000000"/>
          <w:lang w:val="en-GB"/>
        </w:rPr>
      </w:pPr>
    </w:p>
    <w:p w:rsidR="00E3381C" w:rsidRDefault="00E3381C" w:rsidP="00DC7D54">
      <w:pPr>
        <w:jc w:val="both"/>
        <w:rPr>
          <w:rFonts w:ascii="Arial" w:hAnsi="Arial" w:cs="Arial"/>
          <w:lang w:val="en-GB"/>
        </w:rPr>
      </w:pPr>
      <w:r w:rsidRPr="0090126B">
        <w:rPr>
          <w:rFonts w:ascii="Arial" w:hAnsi="Arial" w:cs="Arial"/>
          <w:lang w:val="en-GB"/>
        </w:rPr>
        <w:t>Run-off predictions in the FOCUS Surface Water R-scenarios are not accepted as a reliable basis for decision-making</w:t>
      </w:r>
      <w:r w:rsidR="00E8125D" w:rsidRPr="0090126B">
        <w:rPr>
          <w:rFonts w:ascii="Arial" w:hAnsi="Arial" w:cs="Arial"/>
          <w:lang w:val="en-GB"/>
        </w:rPr>
        <w:t>.</w:t>
      </w:r>
    </w:p>
    <w:p w:rsidR="004E7C4D" w:rsidRDefault="004E7C4D" w:rsidP="00DC7D54">
      <w:pPr>
        <w:jc w:val="both"/>
        <w:rPr>
          <w:rFonts w:ascii="Arial" w:hAnsi="Arial" w:cs="Arial"/>
          <w:lang w:val="en-GB"/>
        </w:rPr>
      </w:pPr>
    </w:p>
    <w:p w:rsidR="004E7C4D" w:rsidRPr="00FE2417" w:rsidRDefault="00A9258E" w:rsidP="00FE2417">
      <w:pPr>
        <w:pStyle w:val="Naslov1"/>
        <w:numPr>
          <w:ilvl w:val="0"/>
          <w:numId w:val="25"/>
        </w:numPr>
      </w:pPr>
      <w:r w:rsidRPr="00FE2417">
        <w:br w:type="page"/>
      </w:r>
      <w:bookmarkStart w:id="23" w:name="_Toc120874264"/>
      <w:r w:rsidR="004E7C4D" w:rsidRPr="00FE2417">
        <w:lastRenderedPageBreak/>
        <w:t>COMPARATIVE ASSESSMENT</w:t>
      </w:r>
      <w:bookmarkEnd w:id="23"/>
    </w:p>
    <w:p w:rsidR="004E7C4D" w:rsidRPr="00F05E19" w:rsidRDefault="004E7C4D" w:rsidP="00DC7D54">
      <w:pPr>
        <w:jc w:val="both"/>
        <w:rPr>
          <w:rFonts w:ascii="Arial" w:hAnsi="Arial" w:cs="Ta8"/>
          <w:b/>
          <w:bCs/>
          <w:lang w:val="en-GB" w:bidi="si-LK"/>
        </w:rPr>
      </w:pPr>
    </w:p>
    <w:p w:rsidR="00DA0D5D" w:rsidRPr="00F05E19" w:rsidRDefault="00DA0D5D" w:rsidP="00DA0D5D">
      <w:pPr>
        <w:jc w:val="both"/>
        <w:rPr>
          <w:rFonts w:ascii="Arial" w:hAnsi="Arial" w:cs="Arial"/>
          <w:lang w:val="en-GB"/>
        </w:rPr>
      </w:pPr>
      <w:r w:rsidRPr="00F05E19">
        <w:rPr>
          <w:rFonts w:ascii="Arial" w:hAnsi="Arial" w:cs="Arial"/>
          <w:lang w:val="en-GB"/>
        </w:rPr>
        <w:t>Active substances with certain properties specified in Regulat</w:t>
      </w:r>
      <w:r w:rsidR="009E6530" w:rsidRPr="00F05E19">
        <w:rPr>
          <w:rFonts w:ascii="Arial" w:hAnsi="Arial" w:cs="Arial"/>
          <w:lang w:val="en-GB"/>
        </w:rPr>
        <w:t>ion (EC) No 1907/2006 1107/2009</w:t>
      </w:r>
      <w:r w:rsidRPr="00F05E19">
        <w:rPr>
          <w:rFonts w:ascii="Arial" w:hAnsi="Arial" w:cs="Arial"/>
          <w:lang w:val="en-GB"/>
        </w:rPr>
        <w:t xml:space="preserve"> are considered as candidates for substitution.</w:t>
      </w:r>
      <w:r w:rsidR="00D27B7E" w:rsidRPr="00F05E19">
        <w:rPr>
          <w:rFonts w:ascii="Arial" w:hAnsi="Arial" w:cs="Arial"/>
          <w:lang w:val="en-GB"/>
        </w:rPr>
        <w:t xml:space="preserve"> </w:t>
      </w:r>
      <w:r w:rsidRPr="00F05E19">
        <w:rPr>
          <w:rFonts w:ascii="Arial" w:hAnsi="Arial" w:cs="Arial"/>
          <w:lang w:val="en-GB"/>
        </w:rPr>
        <w:t xml:space="preserve">For plant protection products containing active substances that are candidates for substitution, Member States are required when assessing an application for authorization to evaluate if they can be replaced by other appropriate chemical or non-chemical methods. </w:t>
      </w:r>
    </w:p>
    <w:p w:rsidR="00DA0D5D" w:rsidRPr="00F05E19" w:rsidRDefault="00DA0D5D" w:rsidP="00DA0D5D">
      <w:pPr>
        <w:jc w:val="both"/>
        <w:rPr>
          <w:rFonts w:ascii="Arial" w:hAnsi="Arial" w:cs="Arial"/>
          <w:b/>
          <w:lang w:val="en-GB"/>
        </w:rPr>
      </w:pPr>
    </w:p>
    <w:p w:rsidR="00F62945" w:rsidRPr="00F05E19" w:rsidRDefault="00DA0D5D" w:rsidP="00D27B7E">
      <w:pPr>
        <w:jc w:val="both"/>
        <w:rPr>
          <w:rFonts w:ascii="Arial" w:hAnsi="Arial" w:cs="Arial"/>
          <w:lang w:val="en-GB"/>
        </w:rPr>
      </w:pPr>
      <w:r w:rsidRPr="00F05E19">
        <w:rPr>
          <w:rFonts w:ascii="Arial" w:hAnsi="Arial" w:cs="Arial"/>
          <w:lang w:val="en-GB"/>
        </w:rPr>
        <w:t>Applicants for the registration of such PPPs in Slovenia have to submit</w:t>
      </w:r>
      <w:r w:rsidR="00F62945" w:rsidRPr="00F05E19">
        <w:rPr>
          <w:rFonts w:ascii="Arial" w:hAnsi="Arial" w:cs="Arial"/>
          <w:lang w:val="en-GB"/>
        </w:rPr>
        <w:t xml:space="preserve"> additional data </w:t>
      </w:r>
      <w:r w:rsidRPr="00F05E19">
        <w:rPr>
          <w:rFonts w:ascii="Arial" w:hAnsi="Arial" w:cs="Arial"/>
          <w:lang w:val="en-GB"/>
        </w:rPr>
        <w:t xml:space="preserve">enabling comparative assessment. </w:t>
      </w:r>
      <w:r w:rsidR="00F35595" w:rsidRPr="00F05E19">
        <w:rPr>
          <w:rFonts w:ascii="Arial" w:hAnsi="Arial" w:cs="Arial"/>
          <w:lang w:val="en-GB"/>
        </w:rPr>
        <w:t>Data have to be provided on template which is available in attachment below.</w:t>
      </w:r>
      <w:r w:rsidR="00D27B7E" w:rsidRPr="00F05E19">
        <w:rPr>
          <w:rFonts w:ascii="Arial" w:hAnsi="Arial" w:cs="Arial"/>
          <w:lang w:val="en-GB"/>
        </w:rPr>
        <w:t xml:space="preserve"> </w:t>
      </w:r>
      <w:r w:rsidR="00F62945" w:rsidRPr="00F05E19">
        <w:rPr>
          <w:rFonts w:ascii="Arial" w:hAnsi="Arial" w:cs="Arial"/>
          <w:lang w:val="en-GB"/>
        </w:rPr>
        <w:t>The template is prepared in accordance with the Draft Guidance document on Comparative Assessment and Substitution of Plant Protection Products in accordance with Regulation (EC) No 1107/2009 (SANCO / 11507/2013 rev. 12 10 October 2014) and EPPO Guidance on efficacy aspects of comparative assessment (PP 1/271 (3)).</w:t>
      </w:r>
    </w:p>
    <w:p w:rsidR="00F62945" w:rsidRPr="00F05E19" w:rsidRDefault="00F62945" w:rsidP="00F62945">
      <w:pPr>
        <w:pStyle w:val="povezave"/>
        <w:spacing w:before="0" w:beforeAutospacing="0" w:after="0" w:afterAutospacing="0"/>
        <w:jc w:val="both"/>
        <w:rPr>
          <w:rFonts w:ascii="Arial" w:hAnsi="Arial" w:cs="Arial"/>
          <w:lang w:val="en-GB"/>
        </w:rPr>
      </w:pPr>
    </w:p>
    <w:p w:rsidR="00F62945" w:rsidRPr="00F05E19" w:rsidRDefault="00F62945" w:rsidP="00F62945">
      <w:pPr>
        <w:pStyle w:val="povezave"/>
        <w:spacing w:before="0" w:beforeAutospacing="0" w:after="0" w:afterAutospacing="0"/>
        <w:jc w:val="both"/>
        <w:rPr>
          <w:rFonts w:ascii="Arial" w:hAnsi="Arial" w:cs="Arial"/>
          <w:lang w:val="en-GB"/>
        </w:rPr>
      </w:pPr>
      <w:r w:rsidRPr="00F05E19">
        <w:rPr>
          <w:rFonts w:ascii="Arial" w:hAnsi="Arial" w:cs="Arial"/>
          <w:lang w:val="en-GB"/>
        </w:rPr>
        <w:t xml:space="preserve">Comparative assessments which are an integral part of the application and will be submitted </w:t>
      </w:r>
      <w:r w:rsidRPr="00F05E19">
        <w:rPr>
          <w:rFonts w:ascii="Arial" w:hAnsi="Arial" w:cs="Arial"/>
          <w:u w:val="single"/>
          <w:lang w:val="en-GB"/>
        </w:rPr>
        <w:t>after 1 June 2022</w:t>
      </w:r>
      <w:r w:rsidRPr="00F05E19">
        <w:rPr>
          <w:rFonts w:ascii="Arial" w:hAnsi="Arial" w:cs="Arial"/>
          <w:lang w:val="en-GB"/>
        </w:rPr>
        <w:t>, must be prepared using a template</w:t>
      </w:r>
      <w:r w:rsidR="009E6530" w:rsidRPr="00F05E19">
        <w:rPr>
          <w:rFonts w:ascii="Arial" w:hAnsi="Arial" w:cs="Arial"/>
          <w:lang w:val="en-GB"/>
        </w:rPr>
        <w:t xml:space="preserve"> attached below </w:t>
      </w:r>
      <w:r w:rsidRPr="00F05E19">
        <w:rPr>
          <w:rFonts w:ascii="Arial" w:hAnsi="Arial" w:cs="Arial"/>
          <w:lang w:val="en-GB"/>
        </w:rPr>
        <w:t>otherwise an amendment will be required.</w:t>
      </w:r>
    </w:p>
    <w:p w:rsidR="009E6530" w:rsidRPr="00F05E19" w:rsidRDefault="009E6530" w:rsidP="00F62945">
      <w:pPr>
        <w:pStyle w:val="povezave"/>
        <w:spacing w:before="0" w:beforeAutospacing="0" w:after="0" w:afterAutospacing="0"/>
        <w:jc w:val="both"/>
        <w:rPr>
          <w:rFonts w:ascii="Arial" w:hAnsi="Arial" w:cs="Arial"/>
          <w:lang w:val="en-GB"/>
        </w:rPr>
      </w:pPr>
    </w:p>
    <w:bookmarkStart w:id="24" w:name="_GoBack"/>
    <w:bookmarkStart w:id="25" w:name="_MON_1731486233"/>
    <w:bookmarkEnd w:id="25"/>
    <w:p w:rsidR="00F62945" w:rsidRPr="00F05E19" w:rsidRDefault="001D792F" w:rsidP="00F62945">
      <w:pPr>
        <w:pStyle w:val="povezave"/>
        <w:spacing w:before="0" w:beforeAutospacing="0" w:after="0" w:afterAutospacing="0"/>
        <w:jc w:val="both"/>
        <w:rPr>
          <w:rFonts w:ascii="Arial" w:hAnsi="Arial" w:cs="Arial"/>
          <w:lang w:val="en-GB"/>
        </w:rPr>
      </w:pPr>
      <w:r>
        <w:rPr>
          <w:rFonts w:ascii="Arial" w:hAnsi="Arial" w:cs="Arial"/>
          <w:lang w:val="en-GB"/>
        </w:rPr>
        <w:object w:dxaOrig="153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mplate for Comparative assessment" style="width:76.5pt;height:49.5pt" o:ole="">
            <v:imagedata r:id="rId9" o:title=""/>
          </v:shape>
          <o:OLEObject Type="Embed" ProgID="Word.Document.12" ShapeID="_x0000_i1025" DrawAspect="Icon" ObjectID="_1731487012" r:id="rId10">
            <o:FieldCodes>\s</o:FieldCodes>
          </o:OLEObject>
        </w:object>
      </w:r>
      <w:bookmarkEnd w:id="24"/>
    </w:p>
    <w:p w:rsidR="004E7C4D" w:rsidRPr="00F05E19" w:rsidRDefault="004E7C4D" w:rsidP="00DC7D54">
      <w:pPr>
        <w:jc w:val="both"/>
        <w:rPr>
          <w:rFonts w:ascii="Arial" w:hAnsi="Arial" w:cs="Arial"/>
          <w:b/>
          <w:bCs/>
          <w:lang w:val="en-GB" w:bidi="si-LK"/>
        </w:rPr>
      </w:pPr>
    </w:p>
    <w:sectPr w:rsidR="004E7C4D" w:rsidRPr="00F05E19" w:rsidSect="00327A4A">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5C" w:rsidRDefault="0022735C">
      <w:r>
        <w:separator/>
      </w:r>
    </w:p>
  </w:endnote>
  <w:endnote w:type="continuationSeparator" w:id="0">
    <w:p w:rsidR="0022735C" w:rsidRDefault="0022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8">
    <w:altName w:val="Tahoma"/>
    <w:charset w:val="EE"/>
    <w:family w:val="swiss"/>
    <w:pitch w:val="variable"/>
    <w:sig w:usb0="61007A87" w:usb1="80000000" w:usb2="00000008" w:usb3="00000000" w:csb0="000101FF" w:csb1="00000000"/>
  </w:font>
  <w:font w:name="">
    <w:charset w:val="56"/>
    <w:family w:val="swiss"/>
    <w:pitch w:val="variable"/>
    <w:sig w:usb0="01020306" w:usb1="04020202" w:usb2="00000287" w:usb3="00000000" w:csb0="0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D47" w:rsidRDefault="00335D47" w:rsidP="00327A4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35D47" w:rsidRDefault="00335D47" w:rsidP="00327A4A">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D47" w:rsidRDefault="00335D47" w:rsidP="00327A4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66710">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266710">
      <w:rPr>
        <w:rStyle w:val="tevilkastrani"/>
        <w:noProof/>
      </w:rPr>
      <w:t>11</w:t>
    </w:r>
    <w:r>
      <w:rPr>
        <w:rStyle w:val="tevilkastrani"/>
      </w:rPr>
      <w:fldChar w:fldCharType="end"/>
    </w:r>
  </w:p>
  <w:p w:rsidR="00335D47" w:rsidRDefault="00335D47" w:rsidP="00327A4A">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5C" w:rsidRDefault="0022735C">
      <w:r>
        <w:separator/>
      </w:r>
    </w:p>
  </w:footnote>
  <w:footnote w:type="continuationSeparator" w:id="0">
    <w:p w:rsidR="0022735C" w:rsidRDefault="00227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3953"/>
    <w:multiLevelType w:val="multilevel"/>
    <w:tmpl w:val="E8084314"/>
    <w:lvl w:ilvl="0">
      <w:start w:val="1"/>
      <w:numFmt w:val="decimal"/>
      <w:lvlText w:val="%1."/>
      <w:lvlJc w:val="left"/>
      <w:pPr>
        <w:ind w:left="720" w:hanging="360"/>
      </w:pPr>
      <w:rPr>
        <w:rFonts w:hint="default"/>
        <w:b w:val="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3130D2"/>
    <w:multiLevelType w:val="hybridMultilevel"/>
    <w:tmpl w:val="933E5196"/>
    <w:lvl w:ilvl="0" w:tplc="611CF91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E48F8"/>
    <w:multiLevelType w:val="hybridMultilevel"/>
    <w:tmpl w:val="0C34788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B0863A8"/>
    <w:multiLevelType w:val="hybridMultilevel"/>
    <w:tmpl w:val="EF2E5C0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0B74221C"/>
    <w:multiLevelType w:val="multilevel"/>
    <w:tmpl w:val="AEC8A4C0"/>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5" w15:restartNumberingAfterBreak="0">
    <w:nsid w:val="0BFE3774"/>
    <w:multiLevelType w:val="hybridMultilevel"/>
    <w:tmpl w:val="36D8726E"/>
    <w:lvl w:ilvl="0" w:tplc="433472E2">
      <w:start w:val="1"/>
      <w:numFmt w:val="bullet"/>
      <w:lvlText w:val=""/>
      <w:lvlJc w:val="righ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F0F60D4"/>
    <w:multiLevelType w:val="multilevel"/>
    <w:tmpl w:val="BD8C30C2"/>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879"/>
        </w:tabs>
        <w:ind w:left="879" w:hanging="52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7" w15:restartNumberingAfterBreak="0">
    <w:nsid w:val="10571517"/>
    <w:multiLevelType w:val="multilevel"/>
    <w:tmpl w:val="8568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D53E24"/>
    <w:multiLevelType w:val="hybridMultilevel"/>
    <w:tmpl w:val="AF34CE20"/>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17E90306"/>
    <w:multiLevelType w:val="hybridMultilevel"/>
    <w:tmpl w:val="48B49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2156F6"/>
    <w:multiLevelType w:val="hybridMultilevel"/>
    <w:tmpl w:val="CD68B2DC"/>
    <w:lvl w:ilvl="0" w:tplc="53962DAE">
      <w:start w:val="1"/>
      <w:numFmt w:val="bullet"/>
      <w:lvlText w:val="•"/>
      <w:lvlJc w:val="left"/>
      <w:pPr>
        <w:tabs>
          <w:tab w:val="num" w:pos="720"/>
        </w:tabs>
        <w:ind w:left="720" w:hanging="360"/>
      </w:pPr>
      <w:rPr>
        <w:rFonts w:ascii="Times New Roman" w:hAnsi="Times New Roman" w:hint="default"/>
      </w:rPr>
    </w:lvl>
    <w:lvl w:ilvl="1" w:tplc="CF2206B8" w:tentative="1">
      <w:start w:val="1"/>
      <w:numFmt w:val="bullet"/>
      <w:lvlText w:val="•"/>
      <w:lvlJc w:val="left"/>
      <w:pPr>
        <w:tabs>
          <w:tab w:val="num" w:pos="1440"/>
        </w:tabs>
        <w:ind w:left="1440" w:hanging="360"/>
      </w:pPr>
      <w:rPr>
        <w:rFonts w:ascii="Times New Roman" w:hAnsi="Times New Roman" w:hint="default"/>
      </w:rPr>
    </w:lvl>
    <w:lvl w:ilvl="2" w:tplc="236E7918" w:tentative="1">
      <w:start w:val="1"/>
      <w:numFmt w:val="bullet"/>
      <w:lvlText w:val="•"/>
      <w:lvlJc w:val="left"/>
      <w:pPr>
        <w:tabs>
          <w:tab w:val="num" w:pos="2160"/>
        </w:tabs>
        <w:ind w:left="2160" w:hanging="360"/>
      </w:pPr>
      <w:rPr>
        <w:rFonts w:ascii="Times New Roman" w:hAnsi="Times New Roman" w:hint="default"/>
      </w:rPr>
    </w:lvl>
    <w:lvl w:ilvl="3" w:tplc="1EB8BE56" w:tentative="1">
      <w:start w:val="1"/>
      <w:numFmt w:val="bullet"/>
      <w:lvlText w:val="•"/>
      <w:lvlJc w:val="left"/>
      <w:pPr>
        <w:tabs>
          <w:tab w:val="num" w:pos="2880"/>
        </w:tabs>
        <w:ind w:left="2880" w:hanging="360"/>
      </w:pPr>
      <w:rPr>
        <w:rFonts w:ascii="Times New Roman" w:hAnsi="Times New Roman" w:hint="default"/>
      </w:rPr>
    </w:lvl>
    <w:lvl w:ilvl="4" w:tplc="5D90E9E6" w:tentative="1">
      <w:start w:val="1"/>
      <w:numFmt w:val="bullet"/>
      <w:lvlText w:val="•"/>
      <w:lvlJc w:val="left"/>
      <w:pPr>
        <w:tabs>
          <w:tab w:val="num" w:pos="3600"/>
        </w:tabs>
        <w:ind w:left="3600" w:hanging="360"/>
      </w:pPr>
      <w:rPr>
        <w:rFonts w:ascii="Times New Roman" w:hAnsi="Times New Roman" w:hint="default"/>
      </w:rPr>
    </w:lvl>
    <w:lvl w:ilvl="5" w:tplc="A6520E26" w:tentative="1">
      <w:start w:val="1"/>
      <w:numFmt w:val="bullet"/>
      <w:lvlText w:val="•"/>
      <w:lvlJc w:val="left"/>
      <w:pPr>
        <w:tabs>
          <w:tab w:val="num" w:pos="4320"/>
        </w:tabs>
        <w:ind w:left="4320" w:hanging="360"/>
      </w:pPr>
      <w:rPr>
        <w:rFonts w:ascii="Times New Roman" w:hAnsi="Times New Roman" w:hint="default"/>
      </w:rPr>
    </w:lvl>
    <w:lvl w:ilvl="6" w:tplc="2304D0B2" w:tentative="1">
      <w:start w:val="1"/>
      <w:numFmt w:val="bullet"/>
      <w:lvlText w:val="•"/>
      <w:lvlJc w:val="left"/>
      <w:pPr>
        <w:tabs>
          <w:tab w:val="num" w:pos="5040"/>
        </w:tabs>
        <w:ind w:left="5040" w:hanging="360"/>
      </w:pPr>
      <w:rPr>
        <w:rFonts w:ascii="Times New Roman" w:hAnsi="Times New Roman" w:hint="default"/>
      </w:rPr>
    </w:lvl>
    <w:lvl w:ilvl="7" w:tplc="ECE8234A" w:tentative="1">
      <w:start w:val="1"/>
      <w:numFmt w:val="bullet"/>
      <w:lvlText w:val="•"/>
      <w:lvlJc w:val="left"/>
      <w:pPr>
        <w:tabs>
          <w:tab w:val="num" w:pos="5760"/>
        </w:tabs>
        <w:ind w:left="5760" w:hanging="360"/>
      </w:pPr>
      <w:rPr>
        <w:rFonts w:ascii="Times New Roman" w:hAnsi="Times New Roman" w:hint="default"/>
      </w:rPr>
    </w:lvl>
    <w:lvl w:ilvl="8" w:tplc="4370940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5E25A29"/>
    <w:multiLevelType w:val="multilevel"/>
    <w:tmpl w:val="570E370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121F75"/>
    <w:multiLevelType w:val="hybridMultilevel"/>
    <w:tmpl w:val="10B06B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7B9779C"/>
    <w:multiLevelType w:val="multilevel"/>
    <w:tmpl w:val="C9544F5E"/>
    <w:lvl w:ilvl="0">
      <w:start w:val="2"/>
      <w:numFmt w:val="decimal"/>
      <w:lvlText w:val="%1"/>
      <w:lvlJc w:val="left"/>
      <w:pPr>
        <w:ind w:left="525" w:hanging="525"/>
      </w:pPr>
      <w:rPr>
        <w:rFonts w:hint="default"/>
      </w:rPr>
    </w:lvl>
    <w:lvl w:ilvl="1">
      <w:start w:val="3"/>
      <w:numFmt w:val="decimal"/>
      <w:lvlText w:val="%1.%2"/>
      <w:lvlJc w:val="left"/>
      <w:pPr>
        <w:ind w:left="1065" w:hanging="525"/>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A545631"/>
    <w:multiLevelType w:val="hybridMultilevel"/>
    <w:tmpl w:val="1916DE4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73ED9"/>
    <w:multiLevelType w:val="hybridMultilevel"/>
    <w:tmpl w:val="40A8C8AA"/>
    <w:lvl w:ilvl="0" w:tplc="04240001">
      <w:start w:val="1"/>
      <w:numFmt w:val="bullet"/>
      <w:lvlText w:val=""/>
      <w:lvlJc w:val="left"/>
      <w:pPr>
        <w:ind w:left="1110" w:hanging="360"/>
      </w:pPr>
      <w:rPr>
        <w:rFonts w:ascii="Symbol" w:hAnsi="Symbol" w:hint="default"/>
      </w:rPr>
    </w:lvl>
    <w:lvl w:ilvl="1" w:tplc="04240003" w:tentative="1">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16" w15:restartNumberingAfterBreak="0">
    <w:nsid w:val="4B856021"/>
    <w:multiLevelType w:val="hybridMultilevel"/>
    <w:tmpl w:val="4F282ABA"/>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7" w15:restartNumberingAfterBreak="0">
    <w:nsid w:val="5A570538"/>
    <w:multiLevelType w:val="hybridMultilevel"/>
    <w:tmpl w:val="B5F29CA6"/>
    <w:lvl w:ilvl="0" w:tplc="12AA76C4">
      <w:start w:val="1"/>
      <w:numFmt w:val="bullet"/>
      <w:lvlText w:val="•"/>
      <w:lvlJc w:val="left"/>
      <w:pPr>
        <w:tabs>
          <w:tab w:val="num" w:pos="720"/>
        </w:tabs>
        <w:ind w:left="720" w:hanging="360"/>
      </w:pPr>
      <w:rPr>
        <w:rFonts w:ascii="Times New Roman" w:hAnsi="Times New Roman" w:hint="default"/>
      </w:rPr>
    </w:lvl>
    <w:lvl w:ilvl="1" w:tplc="9730B17A" w:tentative="1">
      <w:start w:val="1"/>
      <w:numFmt w:val="bullet"/>
      <w:lvlText w:val="•"/>
      <w:lvlJc w:val="left"/>
      <w:pPr>
        <w:tabs>
          <w:tab w:val="num" w:pos="1440"/>
        </w:tabs>
        <w:ind w:left="1440" w:hanging="360"/>
      </w:pPr>
      <w:rPr>
        <w:rFonts w:ascii="Times New Roman" w:hAnsi="Times New Roman" w:hint="default"/>
      </w:rPr>
    </w:lvl>
    <w:lvl w:ilvl="2" w:tplc="04A212E4" w:tentative="1">
      <w:start w:val="1"/>
      <w:numFmt w:val="bullet"/>
      <w:lvlText w:val="•"/>
      <w:lvlJc w:val="left"/>
      <w:pPr>
        <w:tabs>
          <w:tab w:val="num" w:pos="2160"/>
        </w:tabs>
        <w:ind w:left="2160" w:hanging="360"/>
      </w:pPr>
      <w:rPr>
        <w:rFonts w:ascii="Times New Roman" w:hAnsi="Times New Roman" w:hint="default"/>
      </w:rPr>
    </w:lvl>
    <w:lvl w:ilvl="3" w:tplc="FEEC4842" w:tentative="1">
      <w:start w:val="1"/>
      <w:numFmt w:val="bullet"/>
      <w:lvlText w:val="•"/>
      <w:lvlJc w:val="left"/>
      <w:pPr>
        <w:tabs>
          <w:tab w:val="num" w:pos="2880"/>
        </w:tabs>
        <w:ind w:left="2880" w:hanging="360"/>
      </w:pPr>
      <w:rPr>
        <w:rFonts w:ascii="Times New Roman" w:hAnsi="Times New Roman" w:hint="default"/>
      </w:rPr>
    </w:lvl>
    <w:lvl w:ilvl="4" w:tplc="907419F4" w:tentative="1">
      <w:start w:val="1"/>
      <w:numFmt w:val="bullet"/>
      <w:lvlText w:val="•"/>
      <w:lvlJc w:val="left"/>
      <w:pPr>
        <w:tabs>
          <w:tab w:val="num" w:pos="3600"/>
        </w:tabs>
        <w:ind w:left="3600" w:hanging="360"/>
      </w:pPr>
      <w:rPr>
        <w:rFonts w:ascii="Times New Roman" w:hAnsi="Times New Roman" w:hint="default"/>
      </w:rPr>
    </w:lvl>
    <w:lvl w:ilvl="5" w:tplc="2D06A73C" w:tentative="1">
      <w:start w:val="1"/>
      <w:numFmt w:val="bullet"/>
      <w:lvlText w:val="•"/>
      <w:lvlJc w:val="left"/>
      <w:pPr>
        <w:tabs>
          <w:tab w:val="num" w:pos="4320"/>
        </w:tabs>
        <w:ind w:left="4320" w:hanging="360"/>
      </w:pPr>
      <w:rPr>
        <w:rFonts w:ascii="Times New Roman" w:hAnsi="Times New Roman" w:hint="default"/>
      </w:rPr>
    </w:lvl>
    <w:lvl w:ilvl="6" w:tplc="1732325A" w:tentative="1">
      <w:start w:val="1"/>
      <w:numFmt w:val="bullet"/>
      <w:lvlText w:val="•"/>
      <w:lvlJc w:val="left"/>
      <w:pPr>
        <w:tabs>
          <w:tab w:val="num" w:pos="5040"/>
        </w:tabs>
        <w:ind w:left="5040" w:hanging="360"/>
      </w:pPr>
      <w:rPr>
        <w:rFonts w:ascii="Times New Roman" w:hAnsi="Times New Roman" w:hint="default"/>
      </w:rPr>
    </w:lvl>
    <w:lvl w:ilvl="7" w:tplc="071860D4" w:tentative="1">
      <w:start w:val="1"/>
      <w:numFmt w:val="bullet"/>
      <w:lvlText w:val="•"/>
      <w:lvlJc w:val="left"/>
      <w:pPr>
        <w:tabs>
          <w:tab w:val="num" w:pos="5760"/>
        </w:tabs>
        <w:ind w:left="5760" w:hanging="360"/>
      </w:pPr>
      <w:rPr>
        <w:rFonts w:ascii="Times New Roman" w:hAnsi="Times New Roman" w:hint="default"/>
      </w:rPr>
    </w:lvl>
    <w:lvl w:ilvl="8" w:tplc="216ED0A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B4D59AF"/>
    <w:multiLevelType w:val="hybridMultilevel"/>
    <w:tmpl w:val="F4FE423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5ECB6C9F"/>
    <w:multiLevelType w:val="multilevel"/>
    <w:tmpl w:val="3BF0C19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6414311F"/>
    <w:multiLevelType w:val="multilevel"/>
    <w:tmpl w:val="5F48AE2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5CC21C2"/>
    <w:multiLevelType w:val="multilevel"/>
    <w:tmpl w:val="AEC8A4C0"/>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68A83513"/>
    <w:multiLevelType w:val="hybridMultilevel"/>
    <w:tmpl w:val="BF049DC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8B952BB"/>
    <w:multiLevelType w:val="hybridMultilevel"/>
    <w:tmpl w:val="0B587126"/>
    <w:lvl w:ilvl="0" w:tplc="2BD85906">
      <w:start w:val="1"/>
      <w:numFmt w:val="bullet"/>
      <w:lvlText w:val="•"/>
      <w:lvlJc w:val="left"/>
      <w:pPr>
        <w:tabs>
          <w:tab w:val="num" w:pos="720"/>
        </w:tabs>
        <w:ind w:left="720" w:hanging="360"/>
      </w:pPr>
      <w:rPr>
        <w:rFonts w:ascii="Times New Roman" w:hAnsi="Times New Roman" w:hint="default"/>
      </w:rPr>
    </w:lvl>
    <w:lvl w:ilvl="1" w:tplc="A6B04328" w:tentative="1">
      <w:start w:val="1"/>
      <w:numFmt w:val="bullet"/>
      <w:lvlText w:val="•"/>
      <w:lvlJc w:val="left"/>
      <w:pPr>
        <w:tabs>
          <w:tab w:val="num" w:pos="1440"/>
        </w:tabs>
        <w:ind w:left="1440" w:hanging="360"/>
      </w:pPr>
      <w:rPr>
        <w:rFonts w:ascii="Times New Roman" w:hAnsi="Times New Roman" w:hint="default"/>
      </w:rPr>
    </w:lvl>
    <w:lvl w:ilvl="2" w:tplc="ADB449F6" w:tentative="1">
      <w:start w:val="1"/>
      <w:numFmt w:val="bullet"/>
      <w:lvlText w:val="•"/>
      <w:lvlJc w:val="left"/>
      <w:pPr>
        <w:tabs>
          <w:tab w:val="num" w:pos="2160"/>
        </w:tabs>
        <w:ind w:left="2160" w:hanging="360"/>
      </w:pPr>
      <w:rPr>
        <w:rFonts w:ascii="Times New Roman" w:hAnsi="Times New Roman" w:hint="default"/>
      </w:rPr>
    </w:lvl>
    <w:lvl w:ilvl="3" w:tplc="CE203C9C" w:tentative="1">
      <w:start w:val="1"/>
      <w:numFmt w:val="bullet"/>
      <w:lvlText w:val="•"/>
      <w:lvlJc w:val="left"/>
      <w:pPr>
        <w:tabs>
          <w:tab w:val="num" w:pos="2880"/>
        </w:tabs>
        <w:ind w:left="2880" w:hanging="360"/>
      </w:pPr>
      <w:rPr>
        <w:rFonts w:ascii="Times New Roman" w:hAnsi="Times New Roman" w:hint="default"/>
      </w:rPr>
    </w:lvl>
    <w:lvl w:ilvl="4" w:tplc="8F763E00" w:tentative="1">
      <w:start w:val="1"/>
      <w:numFmt w:val="bullet"/>
      <w:lvlText w:val="•"/>
      <w:lvlJc w:val="left"/>
      <w:pPr>
        <w:tabs>
          <w:tab w:val="num" w:pos="3600"/>
        </w:tabs>
        <w:ind w:left="3600" w:hanging="360"/>
      </w:pPr>
      <w:rPr>
        <w:rFonts w:ascii="Times New Roman" w:hAnsi="Times New Roman" w:hint="default"/>
      </w:rPr>
    </w:lvl>
    <w:lvl w:ilvl="5" w:tplc="F59603BE" w:tentative="1">
      <w:start w:val="1"/>
      <w:numFmt w:val="bullet"/>
      <w:lvlText w:val="•"/>
      <w:lvlJc w:val="left"/>
      <w:pPr>
        <w:tabs>
          <w:tab w:val="num" w:pos="4320"/>
        </w:tabs>
        <w:ind w:left="4320" w:hanging="360"/>
      </w:pPr>
      <w:rPr>
        <w:rFonts w:ascii="Times New Roman" w:hAnsi="Times New Roman" w:hint="default"/>
      </w:rPr>
    </w:lvl>
    <w:lvl w:ilvl="6" w:tplc="00EA699E" w:tentative="1">
      <w:start w:val="1"/>
      <w:numFmt w:val="bullet"/>
      <w:lvlText w:val="•"/>
      <w:lvlJc w:val="left"/>
      <w:pPr>
        <w:tabs>
          <w:tab w:val="num" w:pos="5040"/>
        </w:tabs>
        <w:ind w:left="5040" w:hanging="360"/>
      </w:pPr>
      <w:rPr>
        <w:rFonts w:ascii="Times New Roman" w:hAnsi="Times New Roman" w:hint="default"/>
      </w:rPr>
    </w:lvl>
    <w:lvl w:ilvl="7" w:tplc="663A41BA" w:tentative="1">
      <w:start w:val="1"/>
      <w:numFmt w:val="bullet"/>
      <w:lvlText w:val="•"/>
      <w:lvlJc w:val="left"/>
      <w:pPr>
        <w:tabs>
          <w:tab w:val="num" w:pos="5760"/>
        </w:tabs>
        <w:ind w:left="5760" w:hanging="360"/>
      </w:pPr>
      <w:rPr>
        <w:rFonts w:ascii="Times New Roman" w:hAnsi="Times New Roman" w:hint="default"/>
      </w:rPr>
    </w:lvl>
    <w:lvl w:ilvl="8" w:tplc="EE2245B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B2346CE"/>
    <w:multiLevelType w:val="multilevel"/>
    <w:tmpl w:val="20E2DCEE"/>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7D7211"/>
    <w:multiLevelType w:val="multilevel"/>
    <w:tmpl w:val="ED0807E0"/>
    <w:lvl w:ilvl="0">
      <w:start w:val="1"/>
      <w:numFmt w:val="decimal"/>
      <w:lvlText w:val="%1."/>
      <w:lvlJc w:val="left"/>
      <w:pPr>
        <w:ind w:left="720" w:hanging="360"/>
      </w:pPr>
      <w:rPr>
        <w:rFonts w:hint="default"/>
        <w:b/>
        <w:sz w:val="28"/>
        <w:szCs w:val="28"/>
      </w:rPr>
    </w:lvl>
    <w:lvl w:ilvl="1">
      <w:start w:val="1"/>
      <w:numFmt w:val="decimal"/>
      <w:pStyle w:val="Naslov3"/>
      <w:isLgl/>
      <w:lvlText w:val="%1.%2"/>
      <w:lvlJc w:val="left"/>
      <w:pPr>
        <w:ind w:left="1113" w:hanging="40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14"/>
  </w:num>
  <w:num w:numId="2">
    <w:abstractNumId w:val="20"/>
  </w:num>
  <w:num w:numId="3">
    <w:abstractNumId w:val="7"/>
  </w:num>
  <w:num w:numId="4">
    <w:abstractNumId w:val="19"/>
  </w:num>
  <w:num w:numId="5">
    <w:abstractNumId w:val="3"/>
  </w:num>
  <w:num w:numId="6">
    <w:abstractNumId w:val="4"/>
  </w:num>
  <w:num w:numId="7">
    <w:abstractNumId w:val="12"/>
  </w:num>
  <w:num w:numId="8">
    <w:abstractNumId w:val="17"/>
  </w:num>
  <w:num w:numId="9">
    <w:abstractNumId w:val="23"/>
  </w:num>
  <w:num w:numId="10">
    <w:abstractNumId w:val="10"/>
  </w:num>
  <w:num w:numId="11">
    <w:abstractNumId w:val="21"/>
  </w:num>
  <w:num w:numId="12">
    <w:abstractNumId w:val="6"/>
  </w:num>
  <w:num w:numId="13">
    <w:abstractNumId w:val="11"/>
  </w:num>
  <w:num w:numId="14">
    <w:abstractNumId w:val="5"/>
  </w:num>
  <w:num w:numId="15">
    <w:abstractNumId w:val="8"/>
  </w:num>
  <w:num w:numId="16">
    <w:abstractNumId w:val="15"/>
  </w:num>
  <w:num w:numId="17">
    <w:abstractNumId w:val="18"/>
  </w:num>
  <w:num w:numId="18">
    <w:abstractNumId w:val="24"/>
  </w:num>
  <w:num w:numId="19">
    <w:abstractNumId w:val="13"/>
  </w:num>
  <w:num w:numId="20">
    <w:abstractNumId w:val="1"/>
  </w:num>
  <w:num w:numId="21">
    <w:abstractNumId w:val="9"/>
  </w:num>
  <w:num w:numId="22">
    <w:abstractNumId w:val="16"/>
  </w:num>
  <w:num w:numId="23">
    <w:abstractNumId w:val="2"/>
  </w:num>
  <w:num w:numId="24">
    <w:abstractNumId w:val="22"/>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52"/>
    <w:rsid w:val="00011D2A"/>
    <w:rsid w:val="00022E8D"/>
    <w:rsid w:val="00022F5F"/>
    <w:rsid w:val="00027AEB"/>
    <w:rsid w:val="00033096"/>
    <w:rsid w:val="00033AC9"/>
    <w:rsid w:val="0004356A"/>
    <w:rsid w:val="000441EF"/>
    <w:rsid w:val="00050FD0"/>
    <w:rsid w:val="00051729"/>
    <w:rsid w:val="00056C5A"/>
    <w:rsid w:val="00065844"/>
    <w:rsid w:val="00085F5A"/>
    <w:rsid w:val="00096990"/>
    <w:rsid w:val="000A7A29"/>
    <w:rsid w:val="000B3A5F"/>
    <w:rsid w:val="000C4641"/>
    <w:rsid w:val="000D237C"/>
    <w:rsid w:val="000D4DE8"/>
    <w:rsid w:val="000D5DB8"/>
    <w:rsid w:val="000E3EFA"/>
    <w:rsid w:val="001076DC"/>
    <w:rsid w:val="00116450"/>
    <w:rsid w:val="00136982"/>
    <w:rsid w:val="00143523"/>
    <w:rsid w:val="001521CC"/>
    <w:rsid w:val="00154F80"/>
    <w:rsid w:val="0016198F"/>
    <w:rsid w:val="00161B1E"/>
    <w:rsid w:val="001626FB"/>
    <w:rsid w:val="0016401C"/>
    <w:rsid w:val="0017243E"/>
    <w:rsid w:val="0017750E"/>
    <w:rsid w:val="00195A5C"/>
    <w:rsid w:val="001A790A"/>
    <w:rsid w:val="001D5407"/>
    <w:rsid w:val="001D6824"/>
    <w:rsid w:val="001D792F"/>
    <w:rsid w:val="001E3D93"/>
    <w:rsid w:val="00202C8F"/>
    <w:rsid w:val="00226F06"/>
    <w:rsid w:val="0022735C"/>
    <w:rsid w:val="00243EC3"/>
    <w:rsid w:val="002470CE"/>
    <w:rsid w:val="00255007"/>
    <w:rsid w:val="00261971"/>
    <w:rsid w:val="002663FC"/>
    <w:rsid w:val="00266710"/>
    <w:rsid w:val="002676BF"/>
    <w:rsid w:val="00281AA8"/>
    <w:rsid w:val="002907F4"/>
    <w:rsid w:val="002A4CC9"/>
    <w:rsid w:val="002B5880"/>
    <w:rsid w:val="002B5EDE"/>
    <w:rsid w:val="002C1D98"/>
    <w:rsid w:val="002C44AE"/>
    <w:rsid w:val="002E72F1"/>
    <w:rsid w:val="002F191E"/>
    <w:rsid w:val="0031136D"/>
    <w:rsid w:val="003139EA"/>
    <w:rsid w:val="003279C9"/>
    <w:rsid w:val="00327A4A"/>
    <w:rsid w:val="00335D47"/>
    <w:rsid w:val="00336943"/>
    <w:rsid w:val="00340A68"/>
    <w:rsid w:val="003479BF"/>
    <w:rsid w:val="00351E99"/>
    <w:rsid w:val="003633E0"/>
    <w:rsid w:val="0037224F"/>
    <w:rsid w:val="00390172"/>
    <w:rsid w:val="00396D9F"/>
    <w:rsid w:val="003971B4"/>
    <w:rsid w:val="003A35E6"/>
    <w:rsid w:val="003A44B9"/>
    <w:rsid w:val="003A5584"/>
    <w:rsid w:val="003B3DC3"/>
    <w:rsid w:val="003B4EF4"/>
    <w:rsid w:val="003C082B"/>
    <w:rsid w:val="003C1288"/>
    <w:rsid w:val="003D243A"/>
    <w:rsid w:val="003D7644"/>
    <w:rsid w:val="003D7E11"/>
    <w:rsid w:val="003E0CDA"/>
    <w:rsid w:val="003F49AC"/>
    <w:rsid w:val="003F722B"/>
    <w:rsid w:val="004162A3"/>
    <w:rsid w:val="0041644F"/>
    <w:rsid w:val="004314BD"/>
    <w:rsid w:val="00444164"/>
    <w:rsid w:val="00444DAC"/>
    <w:rsid w:val="00445614"/>
    <w:rsid w:val="0044635B"/>
    <w:rsid w:val="00447551"/>
    <w:rsid w:val="004576D0"/>
    <w:rsid w:val="00463BEF"/>
    <w:rsid w:val="00476E9E"/>
    <w:rsid w:val="00480581"/>
    <w:rsid w:val="00493623"/>
    <w:rsid w:val="00495902"/>
    <w:rsid w:val="004A047D"/>
    <w:rsid w:val="004C6189"/>
    <w:rsid w:val="004E4115"/>
    <w:rsid w:val="004E7C4D"/>
    <w:rsid w:val="004F448E"/>
    <w:rsid w:val="004F60E0"/>
    <w:rsid w:val="00506027"/>
    <w:rsid w:val="00510C71"/>
    <w:rsid w:val="0052480A"/>
    <w:rsid w:val="00531988"/>
    <w:rsid w:val="00572974"/>
    <w:rsid w:val="00582914"/>
    <w:rsid w:val="00590601"/>
    <w:rsid w:val="00590F68"/>
    <w:rsid w:val="00591499"/>
    <w:rsid w:val="005A5D17"/>
    <w:rsid w:val="005A6A1B"/>
    <w:rsid w:val="005B0C24"/>
    <w:rsid w:val="005B6CA1"/>
    <w:rsid w:val="005C08BA"/>
    <w:rsid w:val="005C51A1"/>
    <w:rsid w:val="005F24D6"/>
    <w:rsid w:val="00601BF5"/>
    <w:rsid w:val="006227D8"/>
    <w:rsid w:val="006310E0"/>
    <w:rsid w:val="0063633A"/>
    <w:rsid w:val="0064680D"/>
    <w:rsid w:val="0064739F"/>
    <w:rsid w:val="006509C7"/>
    <w:rsid w:val="00652CC5"/>
    <w:rsid w:val="00673F9D"/>
    <w:rsid w:val="0067638D"/>
    <w:rsid w:val="00690298"/>
    <w:rsid w:val="006A6164"/>
    <w:rsid w:val="006B0AB0"/>
    <w:rsid w:val="006E5418"/>
    <w:rsid w:val="006E5656"/>
    <w:rsid w:val="006E7912"/>
    <w:rsid w:val="006F58E2"/>
    <w:rsid w:val="006F7269"/>
    <w:rsid w:val="007001DC"/>
    <w:rsid w:val="0071034D"/>
    <w:rsid w:val="00713401"/>
    <w:rsid w:val="007237FD"/>
    <w:rsid w:val="0072757D"/>
    <w:rsid w:val="007435CA"/>
    <w:rsid w:val="00744ACA"/>
    <w:rsid w:val="00750E46"/>
    <w:rsid w:val="00760581"/>
    <w:rsid w:val="00763A2A"/>
    <w:rsid w:val="007653E8"/>
    <w:rsid w:val="00770D68"/>
    <w:rsid w:val="0077578F"/>
    <w:rsid w:val="00776D32"/>
    <w:rsid w:val="00785060"/>
    <w:rsid w:val="007872EF"/>
    <w:rsid w:val="00795BB0"/>
    <w:rsid w:val="00795E55"/>
    <w:rsid w:val="007A57BD"/>
    <w:rsid w:val="007B10D1"/>
    <w:rsid w:val="007B28AA"/>
    <w:rsid w:val="007B576D"/>
    <w:rsid w:val="007B6AAB"/>
    <w:rsid w:val="007B776B"/>
    <w:rsid w:val="007C3500"/>
    <w:rsid w:val="007C6F52"/>
    <w:rsid w:val="007D58DC"/>
    <w:rsid w:val="007E59FF"/>
    <w:rsid w:val="007F2D43"/>
    <w:rsid w:val="007F542A"/>
    <w:rsid w:val="007F6DCA"/>
    <w:rsid w:val="00802A85"/>
    <w:rsid w:val="0080498B"/>
    <w:rsid w:val="00812034"/>
    <w:rsid w:val="00814D37"/>
    <w:rsid w:val="00820314"/>
    <w:rsid w:val="0084201C"/>
    <w:rsid w:val="00843DDB"/>
    <w:rsid w:val="008570B4"/>
    <w:rsid w:val="00881BC9"/>
    <w:rsid w:val="00886638"/>
    <w:rsid w:val="008973D8"/>
    <w:rsid w:val="008B1D17"/>
    <w:rsid w:val="008B30E4"/>
    <w:rsid w:val="008B369C"/>
    <w:rsid w:val="008B717C"/>
    <w:rsid w:val="008C14C5"/>
    <w:rsid w:val="008C1A5D"/>
    <w:rsid w:val="008C542B"/>
    <w:rsid w:val="008C5E12"/>
    <w:rsid w:val="008D1CB0"/>
    <w:rsid w:val="008D4DC0"/>
    <w:rsid w:val="008F106C"/>
    <w:rsid w:val="008F17DF"/>
    <w:rsid w:val="008F7C92"/>
    <w:rsid w:val="0090126B"/>
    <w:rsid w:val="0090465C"/>
    <w:rsid w:val="00905CE1"/>
    <w:rsid w:val="00906B06"/>
    <w:rsid w:val="00910183"/>
    <w:rsid w:val="00920EF1"/>
    <w:rsid w:val="0093114E"/>
    <w:rsid w:val="00951207"/>
    <w:rsid w:val="00955A94"/>
    <w:rsid w:val="00956CFC"/>
    <w:rsid w:val="009638A0"/>
    <w:rsid w:val="009726E7"/>
    <w:rsid w:val="00994076"/>
    <w:rsid w:val="009963E3"/>
    <w:rsid w:val="009A56AC"/>
    <w:rsid w:val="009A6F2C"/>
    <w:rsid w:val="009B01EF"/>
    <w:rsid w:val="009B067F"/>
    <w:rsid w:val="009B2C0F"/>
    <w:rsid w:val="009D1432"/>
    <w:rsid w:val="009E47FA"/>
    <w:rsid w:val="009E6530"/>
    <w:rsid w:val="009E6A14"/>
    <w:rsid w:val="009E757F"/>
    <w:rsid w:val="009F347B"/>
    <w:rsid w:val="009F406D"/>
    <w:rsid w:val="009F492E"/>
    <w:rsid w:val="009F773B"/>
    <w:rsid w:val="00A065A2"/>
    <w:rsid w:val="00A15727"/>
    <w:rsid w:val="00A329DF"/>
    <w:rsid w:val="00A32A77"/>
    <w:rsid w:val="00A37A7C"/>
    <w:rsid w:val="00A457D9"/>
    <w:rsid w:val="00A476FB"/>
    <w:rsid w:val="00A5638E"/>
    <w:rsid w:val="00A6291B"/>
    <w:rsid w:val="00A76E55"/>
    <w:rsid w:val="00A9258E"/>
    <w:rsid w:val="00A942D6"/>
    <w:rsid w:val="00A95E7B"/>
    <w:rsid w:val="00AA225E"/>
    <w:rsid w:val="00AA35C9"/>
    <w:rsid w:val="00AD5DA2"/>
    <w:rsid w:val="00AD74DA"/>
    <w:rsid w:val="00AE3901"/>
    <w:rsid w:val="00AE7295"/>
    <w:rsid w:val="00AF2FB1"/>
    <w:rsid w:val="00B07771"/>
    <w:rsid w:val="00B15A6A"/>
    <w:rsid w:val="00B21593"/>
    <w:rsid w:val="00B266B4"/>
    <w:rsid w:val="00B35A75"/>
    <w:rsid w:val="00B71DEF"/>
    <w:rsid w:val="00B84225"/>
    <w:rsid w:val="00B842D2"/>
    <w:rsid w:val="00B90F7A"/>
    <w:rsid w:val="00B952C4"/>
    <w:rsid w:val="00BA675C"/>
    <w:rsid w:val="00BB09E2"/>
    <w:rsid w:val="00BE2CF9"/>
    <w:rsid w:val="00BE5429"/>
    <w:rsid w:val="00BE7E44"/>
    <w:rsid w:val="00BF683E"/>
    <w:rsid w:val="00C018E5"/>
    <w:rsid w:val="00C064B5"/>
    <w:rsid w:val="00C13B86"/>
    <w:rsid w:val="00C34531"/>
    <w:rsid w:val="00C41B37"/>
    <w:rsid w:val="00C47081"/>
    <w:rsid w:val="00C5023C"/>
    <w:rsid w:val="00C50999"/>
    <w:rsid w:val="00C5401E"/>
    <w:rsid w:val="00C56D6C"/>
    <w:rsid w:val="00C60796"/>
    <w:rsid w:val="00C75D6A"/>
    <w:rsid w:val="00C75E73"/>
    <w:rsid w:val="00C76F48"/>
    <w:rsid w:val="00C8054F"/>
    <w:rsid w:val="00C823EA"/>
    <w:rsid w:val="00C901AB"/>
    <w:rsid w:val="00C94248"/>
    <w:rsid w:val="00C97548"/>
    <w:rsid w:val="00CA52CB"/>
    <w:rsid w:val="00CB029E"/>
    <w:rsid w:val="00CC70BE"/>
    <w:rsid w:val="00CF56A8"/>
    <w:rsid w:val="00D039D7"/>
    <w:rsid w:val="00D157D3"/>
    <w:rsid w:val="00D158EC"/>
    <w:rsid w:val="00D165B0"/>
    <w:rsid w:val="00D27747"/>
    <w:rsid w:val="00D27B7E"/>
    <w:rsid w:val="00D27FF7"/>
    <w:rsid w:val="00D346DF"/>
    <w:rsid w:val="00D4536D"/>
    <w:rsid w:val="00D52237"/>
    <w:rsid w:val="00D635AB"/>
    <w:rsid w:val="00D76409"/>
    <w:rsid w:val="00D90FA9"/>
    <w:rsid w:val="00D97EBE"/>
    <w:rsid w:val="00DA0D5D"/>
    <w:rsid w:val="00DA7B18"/>
    <w:rsid w:val="00DB5C6F"/>
    <w:rsid w:val="00DC4239"/>
    <w:rsid w:val="00DC7D54"/>
    <w:rsid w:val="00DE5769"/>
    <w:rsid w:val="00DF0CC2"/>
    <w:rsid w:val="00E17687"/>
    <w:rsid w:val="00E3381C"/>
    <w:rsid w:val="00E47E6C"/>
    <w:rsid w:val="00E56F50"/>
    <w:rsid w:val="00E62914"/>
    <w:rsid w:val="00E6373D"/>
    <w:rsid w:val="00E63A44"/>
    <w:rsid w:val="00E7087C"/>
    <w:rsid w:val="00E8125D"/>
    <w:rsid w:val="00E92E96"/>
    <w:rsid w:val="00E96CB1"/>
    <w:rsid w:val="00EA027D"/>
    <w:rsid w:val="00EA41C4"/>
    <w:rsid w:val="00EA61A0"/>
    <w:rsid w:val="00EE1927"/>
    <w:rsid w:val="00EF084B"/>
    <w:rsid w:val="00EF575C"/>
    <w:rsid w:val="00F05E19"/>
    <w:rsid w:val="00F215E6"/>
    <w:rsid w:val="00F279DA"/>
    <w:rsid w:val="00F34AFB"/>
    <w:rsid w:val="00F34F4C"/>
    <w:rsid w:val="00F35595"/>
    <w:rsid w:val="00F4470E"/>
    <w:rsid w:val="00F62945"/>
    <w:rsid w:val="00F779AC"/>
    <w:rsid w:val="00F85DD7"/>
    <w:rsid w:val="00F95205"/>
    <w:rsid w:val="00FA4F4A"/>
    <w:rsid w:val="00FB0FB9"/>
    <w:rsid w:val="00FC20A1"/>
    <w:rsid w:val="00FD2D2B"/>
    <w:rsid w:val="00FD4E76"/>
    <w:rsid w:val="00FD6E17"/>
    <w:rsid w:val="00FE0328"/>
    <w:rsid w:val="00FE2036"/>
    <w:rsid w:val="00FE2417"/>
    <w:rsid w:val="00FE5B7E"/>
    <w:rsid w:val="00FF0304"/>
    <w:rsid w:val="00FF13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4D1C5"/>
  <w15:chartTrackingRefBased/>
  <w15:docId w15:val="{2A152731-0B5A-4E6C-8BF5-0E65E23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uiPriority w:val="9"/>
    <w:qFormat/>
    <w:rsid w:val="00FE2417"/>
    <w:pPr>
      <w:ind w:left="360"/>
      <w:outlineLvl w:val="0"/>
    </w:pPr>
    <w:rPr>
      <w:rFonts w:ascii="Arial" w:hAnsi="Arial"/>
      <w:b/>
      <w:bCs/>
      <w:sz w:val="28"/>
      <w:lang w:val="en-GB"/>
    </w:rPr>
  </w:style>
  <w:style w:type="paragraph" w:styleId="Naslov2">
    <w:name w:val="heading 2"/>
    <w:basedOn w:val="Navaden"/>
    <w:next w:val="Navaden"/>
    <w:link w:val="Naslov2Znak"/>
    <w:uiPriority w:val="9"/>
    <w:semiHidden/>
    <w:unhideWhenUsed/>
    <w:qFormat/>
    <w:rsid w:val="002667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Odstavekseznama"/>
    <w:qFormat/>
    <w:rsid w:val="00FE2417"/>
    <w:pPr>
      <w:numPr>
        <w:ilvl w:val="1"/>
        <w:numId w:val="25"/>
      </w:numPr>
      <w:outlineLvl w:val="2"/>
    </w:pPr>
    <w:rPr>
      <w:rFonts w:ascii="Arial" w:hAnsi="Arial"/>
      <w:b/>
      <w:bCs/>
      <w:lang w:val="en-GB"/>
    </w:rPr>
  </w:style>
  <w:style w:type="paragraph" w:styleId="Naslov4">
    <w:name w:val="heading 4"/>
    <w:basedOn w:val="Navaden"/>
    <w:next w:val="Navaden"/>
    <w:qFormat/>
    <w:rsid w:val="00FE2417"/>
    <w:pPr>
      <w:keepNext/>
      <w:spacing w:before="240" w:after="60"/>
      <w:outlineLvl w:val="3"/>
    </w:pPr>
    <w:rPr>
      <w:rFonts w:ascii="Arial" w:hAnsi="Arial"/>
      <w:b/>
      <w:bCs/>
      <w:szCs w:val="28"/>
    </w:rPr>
  </w:style>
  <w:style w:type="paragraph" w:styleId="Naslov9">
    <w:name w:val="heading 9"/>
    <w:basedOn w:val="Navaden"/>
    <w:next w:val="Navaden"/>
    <w:qFormat/>
    <w:rsid w:val="00D635AB"/>
    <w:pPr>
      <w:spacing w:before="240" w:after="60"/>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4F60E0"/>
    <w:rPr>
      <w:color w:val="0000FF"/>
      <w:u w:val="single"/>
    </w:rPr>
  </w:style>
  <w:style w:type="character" w:styleId="Pripombasklic">
    <w:name w:val="annotation reference"/>
    <w:semiHidden/>
    <w:rsid w:val="008F17DF"/>
    <w:rPr>
      <w:sz w:val="16"/>
      <w:szCs w:val="16"/>
    </w:rPr>
  </w:style>
  <w:style w:type="paragraph" w:styleId="Pripombabesedilo">
    <w:name w:val="annotation text"/>
    <w:basedOn w:val="Navaden"/>
    <w:semiHidden/>
    <w:rsid w:val="008F17DF"/>
    <w:rPr>
      <w:sz w:val="20"/>
      <w:szCs w:val="20"/>
    </w:rPr>
  </w:style>
  <w:style w:type="paragraph" w:styleId="Zadevapripombe">
    <w:name w:val="annotation subject"/>
    <w:basedOn w:val="Pripombabesedilo"/>
    <w:next w:val="Pripombabesedilo"/>
    <w:semiHidden/>
    <w:rsid w:val="008F17DF"/>
    <w:rPr>
      <w:b/>
      <w:bCs/>
    </w:rPr>
  </w:style>
  <w:style w:type="paragraph" w:styleId="Besedilooblaka">
    <w:name w:val="Balloon Text"/>
    <w:basedOn w:val="Navaden"/>
    <w:semiHidden/>
    <w:rsid w:val="008F17DF"/>
    <w:rPr>
      <w:rFonts w:ascii="Ta8" w:hAnsi="Ta8"/>
      <w:sz w:val="16"/>
      <w:szCs w:val="16"/>
    </w:rPr>
  </w:style>
  <w:style w:type="paragraph" w:customStyle="1" w:styleId="GroupWiseView">
    <w:name w:val="GroupWiseView"/>
    <w:rsid w:val="00F779AC"/>
    <w:pPr>
      <w:widowControl w:val="0"/>
      <w:autoSpaceDE w:val="0"/>
      <w:autoSpaceDN w:val="0"/>
      <w:adjustRightInd w:val="0"/>
    </w:pPr>
    <w:rPr>
      <w:rFonts w:ascii="Ta8" w:hAnsi="Ta8" w:cs=""/>
      <w:sz w:val="16"/>
      <w:szCs w:val="16"/>
      <w:lang w:bidi="si-LK"/>
    </w:rPr>
  </w:style>
  <w:style w:type="character" w:styleId="HTML-kratica">
    <w:name w:val="HTML Acronym"/>
    <w:basedOn w:val="Privzetapisavaodstavka"/>
    <w:rsid w:val="00085F5A"/>
  </w:style>
  <w:style w:type="paragraph" w:styleId="Noga">
    <w:name w:val="footer"/>
    <w:basedOn w:val="Navaden"/>
    <w:rsid w:val="00327A4A"/>
    <w:pPr>
      <w:tabs>
        <w:tab w:val="center" w:pos="4536"/>
        <w:tab w:val="right" w:pos="9072"/>
      </w:tabs>
    </w:pPr>
  </w:style>
  <w:style w:type="character" w:styleId="tevilkastrani">
    <w:name w:val="page number"/>
    <w:basedOn w:val="Privzetapisavaodstavka"/>
    <w:rsid w:val="00327A4A"/>
  </w:style>
  <w:style w:type="paragraph" w:styleId="Glava">
    <w:name w:val="header"/>
    <w:basedOn w:val="Navaden"/>
    <w:rsid w:val="00327A4A"/>
    <w:pPr>
      <w:tabs>
        <w:tab w:val="center" w:pos="4536"/>
        <w:tab w:val="right" w:pos="9072"/>
      </w:tabs>
    </w:pPr>
  </w:style>
  <w:style w:type="paragraph" w:customStyle="1" w:styleId="snaslov1">
    <w:name w:val="snaslov1"/>
    <w:basedOn w:val="Navaden"/>
    <w:rsid w:val="00327A4A"/>
    <w:pPr>
      <w:spacing w:before="100" w:beforeAutospacing="1" w:after="100" w:afterAutospacing="1"/>
    </w:pPr>
    <w:rPr>
      <w:lang w:bidi="si-LK"/>
    </w:rPr>
  </w:style>
  <w:style w:type="paragraph" w:customStyle="1" w:styleId="besedilo">
    <w:name w:val="besedilo"/>
    <w:basedOn w:val="Navaden"/>
    <w:rsid w:val="00327A4A"/>
    <w:pPr>
      <w:spacing w:before="100" w:beforeAutospacing="1" w:after="100" w:afterAutospacing="1"/>
    </w:pPr>
    <w:rPr>
      <w:lang w:bidi="si-LK"/>
    </w:rPr>
  </w:style>
  <w:style w:type="character" w:customStyle="1" w:styleId="zadnjavrstica">
    <w:name w:val="zadnjavrstica"/>
    <w:basedOn w:val="Privzetapisavaodstavka"/>
    <w:rsid w:val="006E5418"/>
  </w:style>
  <w:style w:type="paragraph" w:customStyle="1" w:styleId="Default">
    <w:name w:val="Default"/>
    <w:rsid w:val="00A065A2"/>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A065A2"/>
    <w:rPr>
      <w:rFonts w:cs="Times New Roman"/>
      <w:color w:val="auto"/>
    </w:rPr>
  </w:style>
  <w:style w:type="paragraph" w:customStyle="1" w:styleId="CM3">
    <w:name w:val="CM3"/>
    <w:basedOn w:val="Default"/>
    <w:next w:val="Default"/>
    <w:uiPriority w:val="99"/>
    <w:rsid w:val="00A065A2"/>
    <w:rPr>
      <w:rFonts w:cs="Times New Roman"/>
      <w:color w:val="auto"/>
    </w:rPr>
  </w:style>
  <w:style w:type="paragraph" w:customStyle="1" w:styleId="CM4">
    <w:name w:val="CM4"/>
    <w:basedOn w:val="Default"/>
    <w:next w:val="Default"/>
    <w:uiPriority w:val="99"/>
    <w:rsid w:val="00A065A2"/>
    <w:rPr>
      <w:rFonts w:cs="Times New Roman"/>
      <w:color w:val="auto"/>
    </w:rPr>
  </w:style>
  <w:style w:type="paragraph" w:styleId="Odstavekseznama">
    <w:name w:val="List Paragraph"/>
    <w:basedOn w:val="Navaden"/>
    <w:uiPriority w:val="34"/>
    <w:qFormat/>
    <w:rsid w:val="007B776B"/>
    <w:pPr>
      <w:ind w:left="720"/>
    </w:pPr>
    <w:rPr>
      <w:rFonts w:ascii="Calibri" w:hAnsi="Calibri"/>
      <w:szCs w:val="22"/>
      <w:lang w:eastAsia="en-US"/>
    </w:rPr>
  </w:style>
  <w:style w:type="character" w:customStyle="1" w:styleId="Naslov1Znak">
    <w:name w:val="Naslov 1 Znak"/>
    <w:link w:val="Naslov1"/>
    <w:uiPriority w:val="9"/>
    <w:rsid w:val="00FE2417"/>
    <w:rPr>
      <w:rFonts w:ascii="Arial" w:hAnsi="Arial"/>
      <w:b/>
      <w:bCs/>
      <w:sz w:val="28"/>
      <w:szCs w:val="24"/>
      <w:lang w:val="en-GB"/>
    </w:rPr>
  </w:style>
  <w:style w:type="character" w:customStyle="1" w:styleId="acopre">
    <w:name w:val="acopre"/>
    <w:rsid w:val="00F215E6"/>
  </w:style>
  <w:style w:type="character" w:customStyle="1" w:styleId="u-visually-hidden">
    <w:name w:val="u-visually-hidden"/>
    <w:rsid w:val="00E17687"/>
  </w:style>
  <w:style w:type="paragraph" w:styleId="Navadensplet">
    <w:name w:val="Normal (Web)"/>
    <w:basedOn w:val="Navaden"/>
    <w:uiPriority w:val="99"/>
    <w:semiHidden/>
    <w:unhideWhenUsed/>
    <w:rsid w:val="00590F68"/>
    <w:pPr>
      <w:spacing w:before="100" w:beforeAutospacing="1" w:after="100" w:afterAutospacing="1"/>
    </w:pPr>
  </w:style>
  <w:style w:type="paragraph" w:customStyle="1" w:styleId="povezave">
    <w:name w:val="povezave"/>
    <w:basedOn w:val="Navaden"/>
    <w:rsid w:val="00F62945"/>
    <w:pPr>
      <w:spacing w:before="100" w:beforeAutospacing="1" w:after="100" w:afterAutospacing="1"/>
    </w:pPr>
  </w:style>
  <w:style w:type="paragraph" w:styleId="Naslov">
    <w:name w:val="Title"/>
    <w:basedOn w:val="Navaden"/>
    <w:next w:val="Navaden"/>
    <w:link w:val="NaslovZnak"/>
    <w:uiPriority w:val="10"/>
    <w:qFormat/>
    <w:rsid w:val="00FE2417"/>
    <w:pPr>
      <w:jc w:val="center"/>
    </w:pPr>
    <w:rPr>
      <w:rFonts w:ascii="Arial" w:hAnsi="Arial"/>
      <w:b/>
      <w:bCs/>
      <w:sz w:val="32"/>
      <w:szCs w:val="32"/>
      <w:lang w:val="en-GB"/>
    </w:rPr>
  </w:style>
  <w:style w:type="character" w:customStyle="1" w:styleId="NaslovZnak">
    <w:name w:val="Naslov Znak"/>
    <w:basedOn w:val="Privzetapisavaodstavka"/>
    <w:link w:val="Naslov"/>
    <w:uiPriority w:val="10"/>
    <w:rsid w:val="00FE2417"/>
    <w:rPr>
      <w:rFonts w:ascii="Arial" w:hAnsi="Arial"/>
      <w:b/>
      <w:bCs/>
      <w:sz w:val="32"/>
      <w:szCs w:val="32"/>
      <w:lang w:val="en-GB"/>
    </w:rPr>
  </w:style>
  <w:style w:type="character" w:customStyle="1" w:styleId="Naslov2Znak">
    <w:name w:val="Naslov 2 Znak"/>
    <w:basedOn w:val="Privzetapisavaodstavka"/>
    <w:link w:val="Naslov2"/>
    <w:uiPriority w:val="9"/>
    <w:semiHidden/>
    <w:rsid w:val="00266710"/>
    <w:rPr>
      <w:rFonts w:asciiTheme="majorHAnsi" w:eastAsiaTheme="majorEastAsia" w:hAnsiTheme="majorHAnsi" w:cstheme="majorBidi"/>
      <w:color w:val="2E74B5" w:themeColor="accent1" w:themeShade="BF"/>
      <w:sz w:val="26"/>
      <w:szCs w:val="26"/>
    </w:rPr>
  </w:style>
  <w:style w:type="paragraph" w:styleId="Kazalovsebine1">
    <w:name w:val="toc 1"/>
    <w:basedOn w:val="Navaden"/>
    <w:next w:val="Navaden"/>
    <w:autoRedefine/>
    <w:uiPriority w:val="39"/>
    <w:unhideWhenUsed/>
    <w:rsid w:val="00266710"/>
    <w:pPr>
      <w:spacing w:after="100"/>
    </w:pPr>
  </w:style>
  <w:style w:type="paragraph" w:styleId="Kazalovsebine2">
    <w:name w:val="toc 2"/>
    <w:basedOn w:val="Navaden"/>
    <w:next w:val="Navaden"/>
    <w:autoRedefine/>
    <w:uiPriority w:val="39"/>
    <w:unhideWhenUsed/>
    <w:rsid w:val="00266710"/>
    <w:pPr>
      <w:spacing w:after="100"/>
      <w:ind w:left="240"/>
    </w:pPr>
  </w:style>
  <w:style w:type="paragraph" w:styleId="Kazalovsebine3">
    <w:name w:val="toc 3"/>
    <w:basedOn w:val="Navaden"/>
    <w:next w:val="Navaden"/>
    <w:autoRedefine/>
    <w:uiPriority w:val="39"/>
    <w:unhideWhenUsed/>
    <w:rsid w:val="0026671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61377">
      <w:bodyDiv w:val="1"/>
      <w:marLeft w:val="0"/>
      <w:marRight w:val="0"/>
      <w:marTop w:val="0"/>
      <w:marBottom w:val="0"/>
      <w:divBdr>
        <w:top w:val="none" w:sz="0" w:space="0" w:color="auto"/>
        <w:left w:val="none" w:sz="0" w:space="0" w:color="auto"/>
        <w:bottom w:val="none" w:sz="0" w:space="0" w:color="auto"/>
        <w:right w:val="none" w:sz="0" w:space="0" w:color="auto"/>
      </w:divBdr>
    </w:div>
    <w:div w:id="67119151">
      <w:bodyDiv w:val="1"/>
      <w:marLeft w:val="0"/>
      <w:marRight w:val="0"/>
      <w:marTop w:val="0"/>
      <w:marBottom w:val="0"/>
      <w:divBdr>
        <w:top w:val="none" w:sz="0" w:space="0" w:color="auto"/>
        <w:left w:val="none" w:sz="0" w:space="0" w:color="auto"/>
        <w:bottom w:val="none" w:sz="0" w:space="0" w:color="auto"/>
        <w:right w:val="none" w:sz="0" w:space="0" w:color="auto"/>
      </w:divBdr>
      <w:divsChild>
        <w:div w:id="1554341124">
          <w:marLeft w:val="0"/>
          <w:marRight w:val="0"/>
          <w:marTop w:val="0"/>
          <w:marBottom w:val="0"/>
          <w:divBdr>
            <w:top w:val="none" w:sz="0" w:space="0" w:color="auto"/>
            <w:left w:val="none" w:sz="0" w:space="0" w:color="auto"/>
            <w:bottom w:val="none" w:sz="0" w:space="0" w:color="auto"/>
            <w:right w:val="none" w:sz="0" w:space="0" w:color="auto"/>
          </w:divBdr>
          <w:divsChild>
            <w:div w:id="7094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2935">
      <w:bodyDiv w:val="1"/>
      <w:marLeft w:val="0"/>
      <w:marRight w:val="0"/>
      <w:marTop w:val="0"/>
      <w:marBottom w:val="0"/>
      <w:divBdr>
        <w:top w:val="none" w:sz="0" w:space="0" w:color="auto"/>
        <w:left w:val="none" w:sz="0" w:space="0" w:color="auto"/>
        <w:bottom w:val="none" w:sz="0" w:space="0" w:color="auto"/>
        <w:right w:val="none" w:sz="0" w:space="0" w:color="auto"/>
      </w:divBdr>
    </w:div>
    <w:div w:id="122041678">
      <w:bodyDiv w:val="1"/>
      <w:marLeft w:val="0"/>
      <w:marRight w:val="0"/>
      <w:marTop w:val="0"/>
      <w:marBottom w:val="0"/>
      <w:divBdr>
        <w:top w:val="none" w:sz="0" w:space="0" w:color="auto"/>
        <w:left w:val="none" w:sz="0" w:space="0" w:color="auto"/>
        <w:bottom w:val="none" w:sz="0" w:space="0" w:color="auto"/>
        <w:right w:val="none" w:sz="0" w:space="0" w:color="auto"/>
      </w:divBdr>
    </w:div>
    <w:div w:id="129249290">
      <w:bodyDiv w:val="1"/>
      <w:marLeft w:val="0"/>
      <w:marRight w:val="0"/>
      <w:marTop w:val="0"/>
      <w:marBottom w:val="0"/>
      <w:divBdr>
        <w:top w:val="none" w:sz="0" w:space="0" w:color="auto"/>
        <w:left w:val="none" w:sz="0" w:space="0" w:color="auto"/>
        <w:bottom w:val="none" w:sz="0" w:space="0" w:color="auto"/>
        <w:right w:val="none" w:sz="0" w:space="0" w:color="auto"/>
      </w:divBdr>
      <w:divsChild>
        <w:div w:id="823014440">
          <w:marLeft w:val="0"/>
          <w:marRight w:val="0"/>
          <w:marTop w:val="0"/>
          <w:marBottom w:val="0"/>
          <w:divBdr>
            <w:top w:val="none" w:sz="0" w:space="0" w:color="auto"/>
            <w:left w:val="none" w:sz="0" w:space="0" w:color="auto"/>
            <w:bottom w:val="none" w:sz="0" w:space="0" w:color="auto"/>
            <w:right w:val="none" w:sz="0" w:space="0" w:color="auto"/>
          </w:divBdr>
        </w:div>
      </w:divsChild>
    </w:div>
    <w:div w:id="198204267">
      <w:bodyDiv w:val="1"/>
      <w:marLeft w:val="0"/>
      <w:marRight w:val="0"/>
      <w:marTop w:val="0"/>
      <w:marBottom w:val="0"/>
      <w:divBdr>
        <w:top w:val="none" w:sz="0" w:space="0" w:color="auto"/>
        <w:left w:val="none" w:sz="0" w:space="0" w:color="auto"/>
        <w:bottom w:val="none" w:sz="0" w:space="0" w:color="auto"/>
        <w:right w:val="none" w:sz="0" w:space="0" w:color="auto"/>
      </w:divBdr>
    </w:div>
    <w:div w:id="246041683">
      <w:bodyDiv w:val="1"/>
      <w:marLeft w:val="0"/>
      <w:marRight w:val="0"/>
      <w:marTop w:val="0"/>
      <w:marBottom w:val="0"/>
      <w:divBdr>
        <w:top w:val="none" w:sz="0" w:space="0" w:color="auto"/>
        <w:left w:val="none" w:sz="0" w:space="0" w:color="auto"/>
        <w:bottom w:val="none" w:sz="0" w:space="0" w:color="auto"/>
        <w:right w:val="none" w:sz="0" w:space="0" w:color="auto"/>
      </w:divBdr>
      <w:divsChild>
        <w:div w:id="2127656265">
          <w:marLeft w:val="0"/>
          <w:marRight w:val="0"/>
          <w:marTop w:val="0"/>
          <w:marBottom w:val="0"/>
          <w:divBdr>
            <w:top w:val="none" w:sz="0" w:space="0" w:color="auto"/>
            <w:left w:val="none" w:sz="0" w:space="0" w:color="auto"/>
            <w:bottom w:val="none" w:sz="0" w:space="0" w:color="auto"/>
            <w:right w:val="none" w:sz="0" w:space="0" w:color="auto"/>
          </w:divBdr>
          <w:divsChild>
            <w:div w:id="140198363">
              <w:marLeft w:val="0"/>
              <w:marRight w:val="0"/>
              <w:marTop w:val="0"/>
              <w:marBottom w:val="0"/>
              <w:divBdr>
                <w:top w:val="none" w:sz="0" w:space="0" w:color="auto"/>
                <w:left w:val="none" w:sz="0" w:space="0" w:color="auto"/>
                <w:bottom w:val="none" w:sz="0" w:space="0" w:color="auto"/>
                <w:right w:val="none" w:sz="0" w:space="0" w:color="auto"/>
              </w:divBdr>
            </w:div>
            <w:div w:id="928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052">
      <w:bodyDiv w:val="1"/>
      <w:marLeft w:val="0"/>
      <w:marRight w:val="0"/>
      <w:marTop w:val="0"/>
      <w:marBottom w:val="0"/>
      <w:divBdr>
        <w:top w:val="none" w:sz="0" w:space="0" w:color="auto"/>
        <w:left w:val="none" w:sz="0" w:space="0" w:color="auto"/>
        <w:bottom w:val="none" w:sz="0" w:space="0" w:color="auto"/>
        <w:right w:val="none" w:sz="0" w:space="0" w:color="auto"/>
      </w:divBdr>
    </w:div>
    <w:div w:id="491216665">
      <w:bodyDiv w:val="1"/>
      <w:marLeft w:val="0"/>
      <w:marRight w:val="0"/>
      <w:marTop w:val="0"/>
      <w:marBottom w:val="0"/>
      <w:divBdr>
        <w:top w:val="none" w:sz="0" w:space="0" w:color="auto"/>
        <w:left w:val="none" w:sz="0" w:space="0" w:color="auto"/>
        <w:bottom w:val="none" w:sz="0" w:space="0" w:color="auto"/>
        <w:right w:val="none" w:sz="0" w:space="0" w:color="auto"/>
      </w:divBdr>
      <w:divsChild>
        <w:div w:id="1088311653">
          <w:marLeft w:val="0"/>
          <w:marRight w:val="0"/>
          <w:marTop w:val="0"/>
          <w:marBottom w:val="0"/>
          <w:divBdr>
            <w:top w:val="none" w:sz="0" w:space="0" w:color="auto"/>
            <w:left w:val="none" w:sz="0" w:space="0" w:color="auto"/>
            <w:bottom w:val="none" w:sz="0" w:space="0" w:color="auto"/>
            <w:right w:val="none" w:sz="0" w:space="0" w:color="auto"/>
          </w:divBdr>
          <w:divsChild>
            <w:div w:id="736442545">
              <w:marLeft w:val="0"/>
              <w:marRight w:val="0"/>
              <w:marTop w:val="0"/>
              <w:marBottom w:val="0"/>
              <w:divBdr>
                <w:top w:val="none" w:sz="0" w:space="0" w:color="auto"/>
                <w:left w:val="none" w:sz="0" w:space="0" w:color="auto"/>
                <w:bottom w:val="none" w:sz="0" w:space="0" w:color="auto"/>
                <w:right w:val="none" w:sz="0" w:space="0" w:color="auto"/>
              </w:divBdr>
            </w:div>
            <w:div w:id="19907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2598">
      <w:bodyDiv w:val="1"/>
      <w:marLeft w:val="0"/>
      <w:marRight w:val="0"/>
      <w:marTop w:val="0"/>
      <w:marBottom w:val="0"/>
      <w:divBdr>
        <w:top w:val="none" w:sz="0" w:space="0" w:color="auto"/>
        <w:left w:val="none" w:sz="0" w:space="0" w:color="auto"/>
        <w:bottom w:val="none" w:sz="0" w:space="0" w:color="auto"/>
        <w:right w:val="none" w:sz="0" w:space="0" w:color="auto"/>
      </w:divBdr>
      <w:divsChild>
        <w:div w:id="1089886636">
          <w:marLeft w:val="0"/>
          <w:marRight w:val="0"/>
          <w:marTop w:val="0"/>
          <w:marBottom w:val="0"/>
          <w:divBdr>
            <w:top w:val="none" w:sz="0" w:space="0" w:color="auto"/>
            <w:left w:val="none" w:sz="0" w:space="0" w:color="auto"/>
            <w:bottom w:val="none" w:sz="0" w:space="0" w:color="auto"/>
            <w:right w:val="none" w:sz="0" w:space="0" w:color="auto"/>
          </w:divBdr>
        </w:div>
      </w:divsChild>
    </w:div>
    <w:div w:id="914776772">
      <w:bodyDiv w:val="1"/>
      <w:marLeft w:val="0"/>
      <w:marRight w:val="0"/>
      <w:marTop w:val="0"/>
      <w:marBottom w:val="0"/>
      <w:divBdr>
        <w:top w:val="none" w:sz="0" w:space="0" w:color="auto"/>
        <w:left w:val="none" w:sz="0" w:space="0" w:color="auto"/>
        <w:bottom w:val="none" w:sz="0" w:space="0" w:color="auto"/>
        <w:right w:val="none" w:sz="0" w:space="0" w:color="auto"/>
      </w:divBdr>
    </w:div>
    <w:div w:id="957220293">
      <w:bodyDiv w:val="1"/>
      <w:marLeft w:val="0"/>
      <w:marRight w:val="0"/>
      <w:marTop w:val="0"/>
      <w:marBottom w:val="0"/>
      <w:divBdr>
        <w:top w:val="none" w:sz="0" w:space="0" w:color="auto"/>
        <w:left w:val="none" w:sz="0" w:space="0" w:color="auto"/>
        <w:bottom w:val="none" w:sz="0" w:space="0" w:color="auto"/>
        <w:right w:val="none" w:sz="0" w:space="0" w:color="auto"/>
      </w:divBdr>
    </w:div>
    <w:div w:id="1139036067">
      <w:bodyDiv w:val="1"/>
      <w:marLeft w:val="0"/>
      <w:marRight w:val="0"/>
      <w:marTop w:val="0"/>
      <w:marBottom w:val="0"/>
      <w:divBdr>
        <w:top w:val="none" w:sz="0" w:space="0" w:color="auto"/>
        <w:left w:val="none" w:sz="0" w:space="0" w:color="auto"/>
        <w:bottom w:val="none" w:sz="0" w:space="0" w:color="auto"/>
        <w:right w:val="none" w:sz="0" w:space="0" w:color="auto"/>
      </w:divBdr>
    </w:div>
    <w:div w:id="1322347281">
      <w:bodyDiv w:val="1"/>
      <w:marLeft w:val="0"/>
      <w:marRight w:val="0"/>
      <w:marTop w:val="0"/>
      <w:marBottom w:val="0"/>
      <w:divBdr>
        <w:top w:val="none" w:sz="0" w:space="0" w:color="auto"/>
        <w:left w:val="none" w:sz="0" w:space="0" w:color="auto"/>
        <w:bottom w:val="none" w:sz="0" w:space="0" w:color="auto"/>
        <w:right w:val="none" w:sz="0" w:space="0" w:color="auto"/>
      </w:divBdr>
    </w:div>
    <w:div w:id="1673220142">
      <w:bodyDiv w:val="1"/>
      <w:marLeft w:val="0"/>
      <w:marRight w:val="0"/>
      <w:marTop w:val="0"/>
      <w:marBottom w:val="0"/>
      <w:divBdr>
        <w:top w:val="none" w:sz="0" w:space="0" w:color="auto"/>
        <w:left w:val="none" w:sz="0" w:space="0" w:color="auto"/>
        <w:bottom w:val="none" w:sz="0" w:space="0" w:color="auto"/>
        <w:right w:val="none" w:sz="0" w:space="0" w:color="auto"/>
      </w:divBdr>
      <w:divsChild>
        <w:div w:id="1280795544">
          <w:marLeft w:val="0"/>
          <w:marRight w:val="0"/>
          <w:marTop w:val="0"/>
          <w:marBottom w:val="0"/>
          <w:divBdr>
            <w:top w:val="none" w:sz="0" w:space="0" w:color="auto"/>
            <w:left w:val="none" w:sz="0" w:space="0" w:color="auto"/>
            <w:bottom w:val="none" w:sz="0" w:space="0" w:color="auto"/>
            <w:right w:val="none" w:sz="0" w:space="0" w:color="auto"/>
          </w:divBdr>
        </w:div>
      </w:divsChild>
    </w:div>
    <w:div w:id="1684241177">
      <w:bodyDiv w:val="1"/>
      <w:marLeft w:val="0"/>
      <w:marRight w:val="0"/>
      <w:marTop w:val="0"/>
      <w:marBottom w:val="0"/>
      <w:divBdr>
        <w:top w:val="none" w:sz="0" w:space="0" w:color="auto"/>
        <w:left w:val="none" w:sz="0" w:space="0" w:color="auto"/>
        <w:bottom w:val="none" w:sz="0" w:space="0" w:color="auto"/>
        <w:right w:val="none" w:sz="0" w:space="0" w:color="auto"/>
      </w:divBdr>
    </w:div>
    <w:div w:id="1755009870">
      <w:bodyDiv w:val="1"/>
      <w:marLeft w:val="0"/>
      <w:marRight w:val="0"/>
      <w:marTop w:val="0"/>
      <w:marBottom w:val="0"/>
      <w:divBdr>
        <w:top w:val="none" w:sz="0" w:space="0" w:color="auto"/>
        <w:left w:val="none" w:sz="0" w:space="0" w:color="auto"/>
        <w:bottom w:val="none" w:sz="0" w:space="0" w:color="auto"/>
        <w:right w:val="none" w:sz="0" w:space="0" w:color="auto"/>
      </w:divBdr>
    </w:div>
    <w:div w:id="1899245910">
      <w:bodyDiv w:val="1"/>
      <w:marLeft w:val="0"/>
      <w:marRight w:val="0"/>
      <w:marTop w:val="0"/>
      <w:marBottom w:val="0"/>
      <w:divBdr>
        <w:top w:val="none" w:sz="0" w:space="0" w:color="auto"/>
        <w:left w:val="none" w:sz="0" w:space="0" w:color="auto"/>
        <w:bottom w:val="none" w:sz="0" w:space="0" w:color="auto"/>
        <w:right w:val="none" w:sz="0" w:space="0" w:color="auto"/>
      </w:divBdr>
      <w:divsChild>
        <w:div w:id="476991403">
          <w:marLeft w:val="0"/>
          <w:marRight w:val="0"/>
          <w:marTop w:val="0"/>
          <w:marBottom w:val="0"/>
          <w:divBdr>
            <w:top w:val="none" w:sz="0" w:space="0" w:color="auto"/>
            <w:left w:val="none" w:sz="0" w:space="0" w:color="auto"/>
            <w:bottom w:val="none" w:sz="0" w:space="0" w:color="auto"/>
            <w:right w:val="none" w:sz="0" w:space="0" w:color="auto"/>
          </w:divBdr>
          <w:divsChild>
            <w:div w:id="17022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499003">
      <w:bodyDiv w:val="1"/>
      <w:marLeft w:val="0"/>
      <w:marRight w:val="0"/>
      <w:marTop w:val="0"/>
      <w:marBottom w:val="0"/>
      <w:divBdr>
        <w:top w:val="none" w:sz="0" w:space="0" w:color="auto"/>
        <w:left w:val="none" w:sz="0" w:space="0" w:color="auto"/>
        <w:bottom w:val="none" w:sz="0" w:space="0" w:color="auto"/>
        <w:right w:val="none" w:sz="0" w:space="0" w:color="auto"/>
      </w:divBdr>
    </w:div>
    <w:div w:id="2093234101">
      <w:bodyDiv w:val="1"/>
      <w:marLeft w:val="0"/>
      <w:marRight w:val="0"/>
      <w:marTop w:val="0"/>
      <w:marBottom w:val="0"/>
      <w:divBdr>
        <w:top w:val="none" w:sz="0" w:space="0" w:color="auto"/>
        <w:left w:val="none" w:sz="0" w:space="0" w:color="auto"/>
        <w:bottom w:val="none" w:sz="0" w:space="0" w:color="auto"/>
        <w:right w:val="none" w:sz="0" w:space="0" w:color="auto"/>
      </w:divBdr>
    </w:div>
    <w:div w:id="20959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journal/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Microsoft_Wordov_dokument.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2D074-E2DD-49B5-9B62-33233D63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2619</Words>
  <Characters>14932</Characters>
  <Application>Microsoft Office Word</Application>
  <DocSecurity>0</DocSecurity>
  <Lines>124</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NATIONAL REQUIREMENTS FOR REGISTRATION OF PLANT PROTECTION PRODUCTS (PPPs) IN SLOVENIA</vt:lpstr>
      <vt:lpstr>NATIONAL REQUIREMENTS FOR REGISTRATION OF PLANT PROTECTION PRODUCTS (PPPs) IN SLOVENIA</vt:lpstr>
    </vt:vector>
  </TitlesOfParts>
  <Company>IVZ RS</Company>
  <LinksUpToDate>false</LinksUpToDate>
  <CharactersWithSpaces>17516</CharactersWithSpaces>
  <SharedDoc>false</SharedDoc>
  <HLinks>
    <vt:vector size="6" baseType="variant">
      <vt:variant>
        <vt:i4>2359411</vt:i4>
      </vt:variant>
      <vt:variant>
        <vt:i4>0</vt:i4>
      </vt:variant>
      <vt:variant>
        <vt:i4>0</vt:i4>
      </vt:variant>
      <vt:variant>
        <vt:i4>5</vt:i4>
      </vt:variant>
      <vt:variant>
        <vt:lpwstr>https://link.springer.com/journal/3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REQUIREMENTS FOR REGISTRATION OF PLANT PROTECTION PRODUCTS (PPPs) IN SLOVENIA</dc:title>
  <dc:subject/>
  <dc:creator>IT</dc:creator>
  <cp:keywords/>
  <cp:lastModifiedBy>Nina Pezdirec</cp:lastModifiedBy>
  <cp:revision>6</cp:revision>
  <cp:lastPrinted>2013-05-28T05:58:00Z</cp:lastPrinted>
  <dcterms:created xsi:type="dcterms:W3CDTF">2022-12-02T10:32:00Z</dcterms:created>
  <dcterms:modified xsi:type="dcterms:W3CDTF">2022-12-02T10:50:00Z</dcterms:modified>
</cp:coreProperties>
</file>