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34" w:rsidRDefault="00F476A0" w:rsidP="005B0074">
      <w:pPr>
        <w:pStyle w:val="Naslov2"/>
        <w:spacing w:before="60" w:after="0"/>
      </w:pPr>
      <w:r>
        <w:t>Smukec (</w:t>
      </w:r>
      <w:proofErr w:type="spellStart"/>
      <w:r>
        <w:t>T</w:t>
      </w:r>
      <w:r w:rsidR="00587123">
        <w:t>alc</w:t>
      </w:r>
      <w:proofErr w:type="spellEnd"/>
      <w:r w:rsidR="00587123">
        <w:t>)</w:t>
      </w:r>
    </w:p>
    <w:p w:rsidR="005B0074" w:rsidRPr="005B0074" w:rsidRDefault="005B0074" w:rsidP="005B0074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587123" w:rsidRDefault="00587123" w:rsidP="005B0074">
      <w:pPr>
        <w:pStyle w:val="Telobesedila"/>
        <w:spacing w:before="60" w:after="0"/>
        <w:jc w:val="both"/>
      </w:pPr>
      <w:r>
        <w:t xml:space="preserve">- </w:t>
      </w:r>
      <w:r w:rsidRPr="00587123">
        <w:t xml:space="preserve">Izvedbena uredba Komisije (EU) 2018/691 z dne 7. maja </w:t>
      </w:r>
      <w:r w:rsidR="00F476A0">
        <w:t xml:space="preserve">2018 o odobritvi osnovne snovi </w:t>
      </w:r>
      <w:proofErr w:type="spellStart"/>
      <w:r w:rsidR="00F476A0">
        <w:t>Talc</w:t>
      </w:r>
      <w:proofErr w:type="spellEnd"/>
      <w:r w:rsidRPr="00587123">
        <w:t xml:space="preserve"> E553B v skladu z Uredbo (ES) št. 1107/2009 Evropskega parlamenta in Sveta o dajanju fitofarmacevtskih sredstev v promet ter o spremembi Priloge k Izvedbeni uredbi Komisije (EU) št. 540/2011</w:t>
      </w:r>
      <w:r>
        <w:t>.</w:t>
      </w:r>
    </w:p>
    <w:p w:rsidR="005B0074" w:rsidRPr="005B0074" w:rsidRDefault="007E3331" w:rsidP="005B0074">
      <w:pPr>
        <w:pStyle w:val="Default"/>
        <w:spacing w:before="60"/>
        <w:jc w:val="both"/>
      </w:pPr>
      <w:r>
        <w:rPr>
          <w:rFonts w:ascii="Arial" w:hAnsi="Arial" w:cs="Arial"/>
          <w:color w:val="auto"/>
        </w:rPr>
        <w:t>-</w:t>
      </w:r>
      <w:r w:rsidR="005B0074">
        <w:rPr>
          <w:rFonts w:ascii="Arial" w:hAnsi="Arial" w:cs="Arial"/>
        </w:rPr>
        <w:t xml:space="preserve"> </w:t>
      </w:r>
      <w:proofErr w:type="spellStart"/>
      <w:r w:rsidR="0002655D">
        <w:rPr>
          <w:rFonts w:ascii="Arial" w:hAnsi="Arial" w:cs="Arial"/>
          <w:bCs/>
        </w:rPr>
        <w:t>Tehnično</w:t>
      </w:r>
      <w:proofErr w:type="spellEnd"/>
      <w:r w:rsidR="0002655D">
        <w:rPr>
          <w:rFonts w:ascii="Arial" w:hAnsi="Arial" w:cs="Arial"/>
          <w:bCs/>
        </w:rPr>
        <w:t xml:space="preserve"> </w:t>
      </w:r>
      <w:proofErr w:type="spellStart"/>
      <w:r w:rsidR="0002655D">
        <w:rPr>
          <w:rFonts w:ascii="Arial" w:hAnsi="Arial" w:cs="Arial"/>
          <w:bCs/>
        </w:rPr>
        <w:t>poročilo</w:t>
      </w:r>
      <w:proofErr w:type="spellEnd"/>
      <w:r w:rsidR="0002655D">
        <w:rPr>
          <w:rFonts w:ascii="Arial" w:hAnsi="Arial" w:cs="Arial"/>
          <w:bCs/>
        </w:rPr>
        <w:t xml:space="preserve"> EFSA</w:t>
      </w:r>
      <w:r w:rsidR="005B0074">
        <w:rPr>
          <w:rFonts w:ascii="Arial" w:hAnsi="Arial" w:cs="Arial"/>
          <w:bCs/>
        </w:rPr>
        <w:t xml:space="preserve">: </w:t>
      </w:r>
      <w:r w:rsidR="00354AEF" w:rsidRPr="00354AEF">
        <w:rPr>
          <w:rFonts w:ascii="Arial" w:hAnsi="Arial" w:cs="Arial"/>
          <w:bCs/>
        </w:rPr>
        <w:t>Outcome of the consultation with Member States and EFSA on the additional information submitted in relation to the b</w:t>
      </w:r>
      <w:r w:rsidR="00F476A0">
        <w:rPr>
          <w:rFonts w:ascii="Arial" w:hAnsi="Arial" w:cs="Arial"/>
          <w:bCs/>
        </w:rPr>
        <w:t>asic substance application for T</w:t>
      </w:r>
      <w:r w:rsidR="00354AEF" w:rsidRPr="00354AEF">
        <w:rPr>
          <w:rFonts w:ascii="Arial" w:hAnsi="Arial" w:cs="Arial"/>
          <w:bCs/>
        </w:rPr>
        <w:t>alc E553B for use in plant protection as repellent on fruit trees and grapevines</w:t>
      </w:r>
      <w:r w:rsidR="005B0074">
        <w:rPr>
          <w:rFonts w:ascii="Arial" w:hAnsi="Arial" w:cs="Arial"/>
          <w:bCs/>
        </w:rPr>
        <w:t>.</w:t>
      </w:r>
    </w:p>
    <w:p w:rsidR="0052449E" w:rsidRPr="005B0074" w:rsidRDefault="007E3331" w:rsidP="005B0074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2655D">
        <w:rPr>
          <w:rFonts w:ascii="Arial" w:hAnsi="Arial" w:cs="Arial"/>
          <w:sz w:val="24"/>
          <w:szCs w:val="24"/>
        </w:rPr>
        <w:t xml:space="preserve">Poročilo o pregledu: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Review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report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for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the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basic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Talc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E553b</w:t>
      </w:r>
      <w:r w:rsidR="0052449E" w:rsidRPr="0052449E">
        <w:rPr>
          <w:rFonts w:ascii="Arial" w:hAnsi="Arial" w:cs="Arial"/>
          <w:sz w:val="24"/>
          <w:szCs w:val="24"/>
        </w:rPr>
        <w:t xml:space="preserve">, </w:t>
      </w:r>
      <w:r w:rsidR="00354AEF" w:rsidRPr="00354AEF">
        <w:rPr>
          <w:rFonts w:ascii="Arial" w:hAnsi="Arial" w:cs="Arial"/>
          <w:sz w:val="24"/>
          <w:szCs w:val="24"/>
        </w:rPr>
        <w:t>SANTE/11639/2017 rev.4</w:t>
      </w:r>
      <w:r w:rsidR="0052449E" w:rsidRPr="0052449E">
        <w:rPr>
          <w:rFonts w:ascii="Arial" w:hAnsi="Arial" w:cs="Arial"/>
          <w:sz w:val="24"/>
          <w:szCs w:val="24"/>
        </w:rPr>
        <w:t>, 2</w:t>
      </w:r>
      <w:r w:rsidR="00354AEF">
        <w:rPr>
          <w:rFonts w:ascii="Arial" w:hAnsi="Arial" w:cs="Arial"/>
          <w:sz w:val="24"/>
          <w:szCs w:val="24"/>
        </w:rPr>
        <w:t>2 Marec</w:t>
      </w:r>
      <w:r w:rsidR="0052449E" w:rsidRPr="0052449E">
        <w:rPr>
          <w:rFonts w:ascii="Arial" w:hAnsi="Arial" w:cs="Arial"/>
          <w:sz w:val="24"/>
          <w:szCs w:val="24"/>
        </w:rPr>
        <w:t xml:space="preserve"> 201</w:t>
      </w:r>
      <w:r w:rsidR="00354AEF">
        <w:rPr>
          <w:rFonts w:ascii="Arial" w:hAnsi="Arial" w:cs="Arial"/>
          <w:sz w:val="24"/>
          <w:szCs w:val="24"/>
        </w:rPr>
        <w:t>8.</w:t>
      </w:r>
    </w:p>
    <w:p w:rsidR="00BD676A" w:rsidRPr="00F24E82" w:rsidRDefault="00BD676A" w:rsidP="005B0074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BD676A" w:rsidRPr="00F24E82" w:rsidRDefault="00BD676A" w:rsidP="00C530EB">
      <w:pPr>
        <w:pStyle w:val="Naslov2"/>
        <w:rPr>
          <w:sz w:val="24"/>
          <w:szCs w:val="24"/>
        </w:rPr>
      </w:pPr>
      <w:r w:rsidRPr="00F24E82">
        <w:rPr>
          <w:sz w:val="24"/>
          <w:szCs w:val="24"/>
        </w:rPr>
        <w:t>Identiteta in biološke lastnost</w:t>
      </w:r>
      <w:r w:rsidR="00C530EB" w:rsidRPr="00F24E82">
        <w:rPr>
          <w:sz w:val="24"/>
          <w:szCs w:val="24"/>
        </w:rPr>
        <w:t>i</w:t>
      </w:r>
    </w:p>
    <w:p w:rsidR="00BD676A" w:rsidRPr="00F24E82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  <w:tblCaption w:val="Identiteta in biološke lastnosti"/>
        <w:tblDescription w:val="Identiteta in biološke lastnosti"/>
      </w:tblPr>
      <w:tblGrid>
        <w:gridCol w:w="3510"/>
        <w:gridCol w:w="10519"/>
      </w:tblGrid>
      <w:tr w:rsidR="00BD676A" w:rsidRPr="00F24E82" w:rsidTr="006D4A0A">
        <w:trPr>
          <w:tblHeader/>
        </w:trPr>
        <w:tc>
          <w:tcPr>
            <w:tcW w:w="3510" w:type="dxa"/>
          </w:tcPr>
          <w:p w:rsidR="00BD676A" w:rsidRPr="00F24E82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Splošno ime (ISO)</w:t>
            </w:r>
          </w:p>
        </w:tc>
        <w:tc>
          <w:tcPr>
            <w:tcW w:w="10519" w:type="dxa"/>
          </w:tcPr>
          <w:p w:rsidR="00BD676A" w:rsidRPr="00F24E82" w:rsidRDefault="00E60617" w:rsidP="00F728F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BD676A" w:rsidRPr="00F24E82" w:rsidTr="006750A1">
        <w:tc>
          <w:tcPr>
            <w:tcW w:w="3510" w:type="dxa"/>
          </w:tcPr>
          <w:p w:rsidR="00BD676A" w:rsidRPr="00F24E82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10519" w:type="dxa"/>
          </w:tcPr>
          <w:p w:rsidR="00354AEF" w:rsidRDefault="00354AEF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Magnesium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hydrogen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metasilicate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676A" w:rsidRPr="00F24E82" w:rsidRDefault="00354AEF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silicate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mineral</w:t>
            </w:r>
          </w:p>
        </w:tc>
      </w:tr>
      <w:tr w:rsidR="00BD676A" w:rsidRPr="00F24E82" w:rsidTr="006750A1">
        <w:tc>
          <w:tcPr>
            <w:tcW w:w="3510" w:type="dxa"/>
          </w:tcPr>
          <w:p w:rsidR="00BD676A" w:rsidRPr="00F24E82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10519" w:type="dxa"/>
          </w:tcPr>
          <w:p w:rsidR="00354AEF" w:rsidRPr="00354AEF" w:rsidRDefault="00354AEF" w:rsidP="00354AE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Magnesium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hydrogen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metasilicate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676A" w:rsidRPr="00F24E82" w:rsidRDefault="00354AEF" w:rsidP="00354AE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silicate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mineral</w:t>
            </w:r>
          </w:p>
        </w:tc>
      </w:tr>
      <w:tr w:rsidR="00354AEF" w:rsidRPr="00F24E82" w:rsidTr="006750A1">
        <w:tc>
          <w:tcPr>
            <w:tcW w:w="3510" w:type="dxa"/>
          </w:tcPr>
          <w:p w:rsidR="00354AEF" w:rsidRPr="00F24E82" w:rsidRDefault="00354AEF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9" w:type="dxa"/>
          </w:tcPr>
          <w:p w:rsidR="00354AEF" w:rsidRPr="00354AEF" w:rsidRDefault="00354AEF" w:rsidP="00354AE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E553b</w:t>
            </w:r>
          </w:p>
        </w:tc>
      </w:tr>
      <w:tr w:rsidR="00BD676A" w:rsidRPr="00F24E82" w:rsidTr="006750A1">
        <w:tc>
          <w:tcPr>
            <w:tcW w:w="3510" w:type="dxa"/>
          </w:tcPr>
          <w:p w:rsidR="00BD676A" w:rsidRPr="00F24E82" w:rsidRDefault="00C04BC1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Splošna imena</w:t>
            </w:r>
          </w:p>
        </w:tc>
        <w:tc>
          <w:tcPr>
            <w:tcW w:w="10519" w:type="dxa"/>
          </w:tcPr>
          <w:p w:rsidR="00C04BC1" w:rsidRPr="00354AEF" w:rsidRDefault="00354AEF" w:rsidP="00824946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Smukec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824946" w:rsidRPr="008603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2417" w:rsidRPr="00F24E82" w:rsidTr="006750A1">
        <w:tc>
          <w:tcPr>
            <w:tcW w:w="3510" w:type="dxa"/>
          </w:tcPr>
          <w:p w:rsidR="00842417" w:rsidRPr="00F24E82" w:rsidRDefault="0084241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Definicija</w:t>
            </w:r>
          </w:p>
        </w:tc>
        <w:tc>
          <w:tcPr>
            <w:tcW w:w="10519" w:type="dxa"/>
          </w:tcPr>
          <w:p w:rsidR="00842417" w:rsidRDefault="00842417" w:rsidP="00824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Naravno pojavna oblika magnezijevega silikata hidroksida (lojevec), ki vsebuje različne deleže združenih mineralov, kot so alfa kvarc</w:t>
            </w:r>
            <w:r w:rsidR="00744504">
              <w:rPr>
                <w:rFonts w:ascii="Arial" w:hAnsi="Arial" w:cs="Arial"/>
                <w:sz w:val="24"/>
                <w:szCs w:val="24"/>
              </w:rPr>
              <w:t xml:space="preserve">, kalcit, klorit, dolomit, magnezit in </w:t>
            </w:r>
            <w:proofErr w:type="spellStart"/>
            <w:r w:rsidR="00744504">
              <w:rPr>
                <w:rFonts w:ascii="Arial" w:hAnsi="Arial" w:cs="Arial"/>
                <w:sz w:val="24"/>
                <w:szCs w:val="24"/>
              </w:rPr>
              <w:t>flogopit</w:t>
            </w:r>
            <w:proofErr w:type="spellEnd"/>
            <w:r w:rsidR="00744504">
              <w:rPr>
                <w:rFonts w:ascii="Arial" w:hAnsi="Arial" w:cs="Arial"/>
                <w:sz w:val="24"/>
                <w:szCs w:val="24"/>
              </w:rPr>
              <w:t>. Proizvod ne sme vsebovati azbesta.</w:t>
            </w:r>
          </w:p>
        </w:tc>
      </w:tr>
      <w:tr w:rsidR="00C360BA" w:rsidRPr="00F24E82" w:rsidTr="006750A1">
        <w:tc>
          <w:tcPr>
            <w:tcW w:w="3510" w:type="dxa"/>
          </w:tcPr>
          <w:p w:rsidR="00C360BA" w:rsidRPr="00F24E8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10519" w:type="dxa"/>
          </w:tcPr>
          <w:p w:rsidR="00C360BA" w:rsidRPr="00F24E82" w:rsidRDefault="00F728F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14807-96-6</w:t>
            </w:r>
          </w:p>
        </w:tc>
      </w:tr>
      <w:tr w:rsidR="00322742" w:rsidRPr="00F24E82" w:rsidTr="006750A1">
        <w:tc>
          <w:tcPr>
            <w:tcW w:w="3510" w:type="dxa"/>
          </w:tcPr>
          <w:p w:rsidR="00322742" w:rsidRPr="00F24E82" w:rsidRDefault="00322742" w:rsidP="00F728F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CIPAC </w:t>
            </w:r>
          </w:p>
        </w:tc>
        <w:tc>
          <w:tcPr>
            <w:tcW w:w="10519" w:type="dxa"/>
          </w:tcPr>
          <w:p w:rsidR="00322742" w:rsidRPr="00F24E82" w:rsidRDefault="00E6061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F728F7" w:rsidRPr="00F24E82" w:rsidTr="006750A1">
        <w:tc>
          <w:tcPr>
            <w:tcW w:w="3510" w:type="dxa"/>
          </w:tcPr>
          <w:p w:rsidR="00F728F7" w:rsidRPr="00F24E82" w:rsidRDefault="00F728F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EINEC</w:t>
            </w:r>
          </w:p>
        </w:tc>
        <w:tc>
          <w:tcPr>
            <w:tcW w:w="10519" w:type="dxa"/>
          </w:tcPr>
          <w:p w:rsidR="00F728F7" w:rsidRDefault="00F728F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238-877-9</w:t>
            </w:r>
          </w:p>
        </w:tc>
      </w:tr>
      <w:tr w:rsidR="00322742" w:rsidRPr="00F24E82" w:rsidTr="006750A1">
        <w:tc>
          <w:tcPr>
            <w:tcW w:w="3510" w:type="dxa"/>
          </w:tcPr>
          <w:p w:rsidR="00322742" w:rsidRPr="00F24E8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10519" w:type="dxa"/>
          </w:tcPr>
          <w:p w:rsidR="00322742" w:rsidRPr="00F24E82" w:rsidRDefault="00E60617" w:rsidP="00F728F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22742" w:rsidRPr="00F24E82" w:rsidTr="006750A1">
        <w:tc>
          <w:tcPr>
            <w:tcW w:w="3510" w:type="dxa"/>
          </w:tcPr>
          <w:p w:rsidR="00322742" w:rsidRPr="00F24E8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10519" w:type="dxa"/>
          </w:tcPr>
          <w:p w:rsidR="00723946" w:rsidRDefault="00E60617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Specifikacija mora izpolnjevati pogoje za stopnjo čistosti za živila, določe</w:t>
            </w:r>
            <w:r w:rsidR="0084241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E553b v Uredbi Komisije (EU) št. 231/2012. </w:t>
            </w:r>
          </w:p>
          <w:p w:rsidR="00842417" w:rsidRDefault="00842417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Izguba pri sušenju:</w:t>
            </w:r>
            <w:r w:rsidR="006D4A0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 več kot 0,5 % (105°C, 1 ura)</w:t>
            </w:r>
            <w:r w:rsidR="007445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4504" w:rsidRDefault="00744504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Snov, topna v kislini: Ne več kot 6 %.</w:t>
            </w:r>
          </w:p>
          <w:p w:rsidR="00744504" w:rsidRDefault="00744504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Snov, topna v vodi: Ne več kot 0,2 %. </w:t>
            </w:r>
          </w:p>
          <w:p w:rsidR="00744504" w:rsidRPr="00F24E82" w:rsidRDefault="00744504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Železo, topno v kislini:</w:t>
            </w:r>
            <w:r w:rsidR="006D4A0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3946" w:rsidRPr="00F24E82" w:rsidTr="006750A1">
        <w:tc>
          <w:tcPr>
            <w:tcW w:w="3510" w:type="dxa"/>
          </w:tcPr>
          <w:p w:rsidR="00723946" w:rsidRPr="00F24E82" w:rsidRDefault="00723946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lastRenderedPageBreak/>
              <w:t>Relevantne nečistoče</w:t>
            </w:r>
          </w:p>
        </w:tc>
        <w:tc>
          <w:tcPr>
            <w:tcW w:w="10519" w:type="dxa"/>
          </w:tcPr>
          <w:p w:rsidR="00723946" w:rsidRDefault="00744504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 navedeno zgoraj, čistost za živila</w:t>
            </w:r>
            <w:r w:rsidR="00E3710E">
              <w:rPr>
                <w:rFonts w:ascii="Arial" w:hAnsi="Arial" w:cs="Arial"/>
                <w:sz w:val="24"/>
                <w:szCs w:val="24"/>
              </w:rPr>
              <w:t xml:space="preserve">, ki ustreza </w:t>
            </w:r>
            <w:r w:rsidR="00E3710E" w:rsidRPr="00E3710E">
              <w:rPr>
                <w:rFonts w:ascii="Arial" w:hAnsi="Arial" w:cs="Arial"/>
                <w:sz w:val="24"/>
                <w:szCs w:val="24"/>
              </w:rPr>
              <w:t>Uredbi Komisije (EU) št. 231/2012.</w:t>
            </w:r>
          </w:p>
          <w:p w:rsidR="00E3710E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Arzen: Ne več kot 10 mg/kg</w:t>
            </w:r>
          </w:p>
          <w:p w:rsidR="00E3710E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Svinec: Ne več kot 2 mg/kg</w:t>
            </w:r>
          </w:p>
          <w:p w:rsidR="00E3710E" w:rsidRDefault="006D4A0A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Azbest: </w:t>
            </w:r>
            <w:r w:rsidR="00E3710E">
              <w:rPr>
                <w:rFonts w:ascii="Arial" w:hAnsi="Arial" w:cs="Arial"/>
                <w:sz w:val="24"/>
                <w:szCs w:val="24"/>
              </w:rPr>
              <w:t>Nič</w:t>
            </w:r>
          </w:p>
          <w:p w:rsidR="00E3710E" w:rsidRPr="00F24E82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Manj kot 0,1 % kristaliničnega kremena, ki ga je mogoče vdihavati</w:t>
            </w:r>
          </w:p>
        </w:tc>
      </w:tr>
      <w:tr w:rsidR="00996D2C" w:rsidRPr="00F24E82" w:rsidTr="006750A1">
        <w:tc>
          <w:tcPr>
            <w:tcW w:w="3510" w:type="dxa"/>
          </w:tcPr>
          <w:p w:rsidR="00996D2C" w:rsidRPr="00F24E82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10519" w:type="dxa"/>
          </w:tcPr>
          <w:p w:rsidR="00996D2C" w:rsidRDefault="00E3710E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Molekulska formula:  Mg</w:t>
            </w:r>
            <w:r w:rsidRPr="0038248C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Pr="0038248C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O10(OH)</w:t>
            </w:r>
            <w:r w:rsidRPr="0038248C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E3710E" w:rsidRPr="00F24E82" w:rsidRDefault="006D4A0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Molekulska masa: </w:t>
            </w:r>
            <w:r w:rsidR="00E3710E">
              <w:rPr>
                <w:rFonts w:ascii="Arial" w:hAnsi="Arial" w:cs="Arial"/>
                <w:sz w:val="24"/>
                <w:szCs w:val="24"/>
              </w:rPr>
              <w:t>379,26 g/mol</w:t>
            </w:r>
          </w:p>
        </w:tc>
      </w:tr>
      <w:tr w:rsidR="00996D2C" w:rsidRPr="00F24E82" w:rsidTr="006750A1">
        <w:tc>
          <w:tcPr>
            <w:tcW w:w="3510" w:type="dxa"/>
          </w:tcPr>
          <w:p w:rsidR="00996D2C" w:rsidRPr="00F24E82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10519" w:type="dxa"/>
          </w:tcPr>
          <w:p w:rsidR="00996D2C" w:rsidRPr="00F24E82" w:rsidRDefault="00E3710E" w:rsidP="0038248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Škropljenje. Uporablja </w:t>
            </w:r>
            <w:r w:rsidR="0038248C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na vinski trti in sadnih drevesih. Podrobno je uporaba navedena v </w:t>
            </w:r>
            <w:r w:rsidR="0038248C">
              <w:rPr>
                <w:rFonts w:ascii="Arial" w:hAnsi="Arial" w:cs="Arial"/>
                <w:sz w:val="24"/>
                <w:szCs w:val="24"/>
              </w:rPr>
              <w:t>p</w:t>
            </w:r>
            <w:r w:rsidR="00BF4A52">
              <w:rPr>
                <w:rFonts w:ascii="Arial" w:hAnsi="Arial" w:cs="Arial"/>
                <w:sz w:val="24"/>
                <w:szCs w:val="24"/>
              </w:rPr>
              <w:t>reglednici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A52">
              <w:rPr>
                <w:rFonts w:ascii="Arial" w:hAnsi="Arial" w:cs="Arial"/>
                <w:sz w:val="24"/>
                <w:szCs w:val="24"/>
              </w:rPr>
              <w:t>uporab</w:t>
            </w:r>
            <w:r w:rsidR="000B1E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spodaj.</w:t>
            </w:r>
          </w:p>
        </w:tc>
      </w:tr>
      <w:tr w:rsidR="0061480C" w:rsidRPr="00F24E82" w:rsidTr="006750A1">
        <w:tc>
          <w:tcPr>
            <w:tcW w:w="3510" w:type="dxa"/>
          </w:tcPr>
          <w:p w:rsidR="0061480C" w:rsidRPr="00F24E82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Pripravek</w:t>
            </w:r>
            <w:r w:rsidR="0061480C" w:rsidRPr="00F24E82">
              <w:rPr>
                <w:rFonts w:ascii="Arial" w:hAnsi="Arial" w:cs="Arial"/>
                <w:sz w:val="24"/>
                <w:szCs w:val="24"/>
              </w:rPr>
              <w:t xml:space="preserve"> za uporabo</w:t>
            </w:r>
          </w:p>
        </w:tc>
        <w:tc>
          <w:tcPr>
            <w:tcW w:w="10519" w:type="dxa"/>
          </w:tcPr>
          <w:p w:rsidR="002D2079" w:rsidRDefault="00E3710E" w:rsidP="00245F4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Močljivi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prašek. Mešanica suhega praška (Najmanj 85% z navadno vodo). </w:t>
            </w:r>
            <w:r w:rsidR="000B1EC3">
              <w:rPr>
                <w:rFonts w:ascii="Arial" w:hAnsi="Arial" w:cs="Arial"/>
                <w:sz w:val="24"/>
                <w:szCs w:val="24"/>
              </w:rPr>
              <w:t xml:space="preserve">Vodno disperzijo je treba pripraviti tik pred uporabo in zagotoviti stalno mešanje. </w:t>
            </w:r>
            <w:r w:rsidR="00374381"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EC3" w:rsidRDefault="000B1EC3" w:rsidP="00245F4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Pripravek je treba pripraviti na naslednji način: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napolnite polovico rezervoarja škropilnice z vodo,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vključite mešalo,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postopoma dodajte 85% mešanico suhega praška z vodo skozi filter rezervoarja,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postopoma dolijte potrebno količino vode. </w:t>
            </w:r>
          </w:p>
          <w:p w:rsidR="000B1EC3" w:rsidRPr="00F24E82" w:rsidRDefault="000B1EC3" w:rsidP="00BF4A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Odmerki in količ</w:t>
            </w:r>
            <w:r w:rsidR="009658D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na vode so navedeni v </w:t>
            </w:r>
            <w:r w:rsidR="00BF4A52">
              <w:rPr>
                <w:rFonts w:ascii="Arial" w:hAnsi="Arial" w:cs="Arial"/>
                <w:sz w:val="24"/>
                <w:szCs w:val="24"/>
              </w:rPr>
              <w:t>Preglednici uporab</w:t>
            </w:r>
            <w:r>
              <w:rPr>
                <w:rFonts w:ascii="Arial" w:hAnsi="Arial" w:cs="Arial"/>
                <w:sz w:val="24"/>
                <w:szCs w:val="24"/>
              </w:rPr>
              <w:t xml:space="preserve"> spodaj. </w:t>
            </w:r>
          </w:p>
        </w:tc>
      </w:tr>
      <w:tr w:rsidR="00374381" w:rsidRPr="00F24E82" w:rsidTr="006750A1">
        <w:tc>
          <w:tcPr>
            <w:tcW w:w="3510" w:type="dxa"/>
          </w:tcPr>
          <w:p w:rsidR="00374381" w:rsidRPr="00F24E82" w:rsidRDefault="00374381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10519" w:type="dxa"/>
          </w:tcPr>
          <w:p w:rsidR="000B1EC3" w:rsidRPr="00F24E82" w:rsidRDefault="000B1EC3" w:rsidP="0086031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Odvračalo za škodljivce in glivice</w:t>
            </w:r>
          </w:p>
        </w:tc>
      </w:tr>
    </w:tbl>
    <w:p w:rsidR="00BD676A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9658DA" w:rsidRDefault="0096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58DA" w:rsidRPr="00347D3D" w:rsidRDefault="0098307E" w:rsidP="00347D3D">
      <w:pPr>
        <w:spacing w:after="60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lastRenderedPageBreak/>
        <w:t xml:space="preserve">Preglednica Uporab: </w:t>
      </w:r>
      <w:r w:rsidR="00347D3D" w:rsidRPr="0081232E">
        <w:rPr>
          <w:rFonts w:ascii="Arial" w:hAnsi="Arial" w:cs="Arial"/>
          <w:b/>
          <w:spacing w:val="-3"/>
          <w:sz w:val="20"/>
        </w:rPr>
        <w:t xml:space="preserve">Seznam uporab </w:t>
      </w:r>
      <w:r w:rsidR="007B1090">
        <w:rPr>
          <w:rFonts w:ascii="Arial" w:hAnsi="Arial" w:cs="Arial"/>
          <w:b/>
          <w:spacing w:val="-3"/>
          <w:sz w:val="20"/>
        </w:rPr>
        <w:t>pripravka</w:t>
      </w:r>
      <w:r>
        <w:rPr>
          <w:rFonts w:ascii="Arial" w:hAnsi="Arial" w:cs="Arial"/>
          <w:b/>
          <w:spacing w:val="-3"/>
          <w:sz w:val="20"/>
        </w:rPr>
        <w:t xml:space="preserve"> INVELOP ®</w:t>
      </w:r>
      <w:r w:rsidR="00347D3D" w:rsidRPr="0081232E">
        <w:rPr>
          <w:rFonts w:ascii="Arial" w:hAnsi="Arial" w:cs="Arial"/>
          <w:b/>
          <w:spacing w:val="-3"/>
          <w:sz w:val="20"/>
        </w:rPr>
        <w:t xml:space="preserve"> za katere</w:t>
      </w:r>
      <w:r>
        <w:rPr>
          <w:rFonts w:ascii="Arial" w:hAnsi="Arial" w:cs="Arial"/>
          <w:b/>
          <w:spacing w:val="-3"/>
          <w:sz w:val="20"/>
        </w:rPr>
        <w:t>ga</w:t>
      </w:r>
      <w:r w:rsidR="00347D3D" w:rsidRPr="0081232E">
        <w:rPr>
          <w:rFonts w:ascii="Arial" w:hAnsi="Arial" w:cs="Arial"/>
          <w:b/>
          <w:spacing w:val="-3"/>
          <w:sz w:val="20"/>
        </w:rPr>
        <w:t xml:space="preserve"> so bili predloženi podatki:</w:t>
      </w:r>
    </w:p>
    <w:tbl>
      <w:tblPr>
        <w:tblStyle w:val="Tabelamrea1"/>
        <w:tblW w:w="14460" w:type="dxa"/>
        <w:tblLayout w:type="fixed"/>
        <w:tblLook w:val="0000" w:firstRow="0" w:lastRow="0" w:firstColumn="0" w:lastColumn="0" w:noHBand="0" w:noVBand="0"/>
        <w:tblCaption w:val="Seznam uporab pripravka INVELOP "/>
        <w:tblDescription w:val="Seznam uporab pripravka INVELOP "/>
      </w:tblPr>
      <w:tblGrid>
        <w:gridCol w:w="1087"/>
        <w:gridCol w:w="567"/>
        <w:gridCol w:w="1276"/>
        <w:gridCol w:w="615"/>
        <w:gridCol w:w="709"/>
        <w:gridCol w:w="944"/>
        <w:gridCol w:w="992"/>
        <w:gridCol w:w="899"/>
        <w:gridCol w:w="1086"/>
        <w:gridCol w:w="898"/>
        <w:gridCol w:w="851"/>
        <w:gridCol w:w="1369"/>
        <w:gridCol w:w="899"/>
        <w:gridCol w:w="2268"/>
      </w:tblGrid>
      <w:tr w:rsidR="008F30C3" w:rsidRPr="00B71E05" w:rsidTr="008F30C3">
        <w:trPr>
          <w:trHeight w:val="1818"/>
          <w:tblHeader/>
        </w:trPr>
        <w:tc>
          <w:tcPr>
            <w:tcW w:w="1087" w:type="dxa"/>
          </w:tcPr>
          <w:p w:rsidR="008F30C3" w:rsidRPr="009F4687" w:rsidRDefault="008F30C3" w:rsidP="00324493">
            <w:pPr>
              <w:tabs>
                <w:tab w:val="center" w:pos="474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Rastlina </w:t>
            </w:r>
            <w:bookmarkStart w:id="0" w:name="_GoBack"/>
            <w:bookmarkEnd w:id="0"/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oziroma situacija</w:t>
            </w:r>
          </w:p>
          <w:p w:rsidR="008F30C3" w:rsidRPr="009F4687" w:rsidRDefault="008F30C3" w:rsidP="00324493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(a)*</w:t>
            </w:r>
          </w:p>
        </w:tc>
        <w:tc>
          <w:tcPr>
            <w:tcW w:w="567" w:type="dxa"/>
          </w:tcPr>
          <w:p w:rsidR="008F30C3" w:rsidRPr="009F4687" w:rsidRDefault="008F30C3" w:rsidP="00324493">
            <w:pPr>
              <w:tabs>
                <w:tab w:val="center" w:pos="16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</w:t>
            </w:r>
          </w:p>
          <w:p w:rsidR="008F30C3" w:rsidRPr="009F4687" w:rsidRDefault="008F30C3" w:rsidP="00324493">
            <w:pPr>
              <w:tabs>
                <w:tab w:val="center" w:pos="16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G</w:t>
            </w:r>
          </w:p>
          <w:p w:rsidR="008F30C3" w:rsidRPr="009F4687" w:rsidRDefault="008F30C3" w:rsidP="00324493">
            <w:pPr>
              <w:tabs>
                <w:tab w:val="center" w:pos="16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ali</w:t>
            </w:r>
          </w:p>
          <w:p w:rsidR="008F30C3" w:rsidRPr="009F4687" w:rsidRDefault="008F30C3" w:rsidP="00324493">
            <w:pPr>
              <w:tabs>
                <w:tab w:val="center" w:pos="163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I</w:t>
            </w:r>
          </w:p>
          <w:p w:rsidR="008F30C3" w:rsidRPr="009F4687" w:rsidRDefault="008F30C3" w:rsidP="00324493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276" w:type="dxa"/>
          </w:tcPr>
          <w:p w:rsidR="008F30C3" w:rsidRPr="009F4687" w:rsidRDefault="008F30C3" w:rsidP="00324493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8F30C3" w:rsidRPr="009F4687" w:rsidRDefault="008F30C3" w:rsidP="00324493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615" w:type="dxa"/>
          </w:tcPr>
          <w:p w:rsidR="008F30C3" w:rsidRPr="008F30C3" w:rsidRDefault="008F30C3" w:rsidP="00324493">
            <w:pPr>
              <w:tabs>
                <w:tab w:val="center" w:pos="254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Tip formulacije</w:t>
            </w:r>
          </w:p>
          <w:p w:rsidR="008F30C3" w:rsidRPr="009F4687" w:rsidRDefault="008F30C3" w:rsidP="00324493">
            <w:pPr>
              <w:tabs>
                <w:tab w:val="center" w:pos="254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F30C3" w:rsidRPr="009F4687" w:rsidRDefault="008F30C3" w:rsidP="00324493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F30C3" w:rsidRPr="009F4687" w:rsidRDefault="008F30C3" w:rsidP="00324493">
            <w:pPr>
              <w:tabs>
                <w:tab w:val="center" w:pos="254"/>
              </w:tabs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709" w:type="dxa"/>
          </w:tcPr>
          <w:p w:rsidR="008F30C3" w:rsidRPr="009F4687" w:rsidRDefault="008F30C3" w:rsidP="0032449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Konc.  aktivne snovi</w:t>
            </w: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(AS) g/kg</w:t>
            </w:r>
          </w:p>
          <w:p w:rsidR="008F30C3" w:rsidRPr="009F4687" w:rsidRDefault="008F30C3" w:rsidP="00324493">
            <w:pPr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44" w:type="dxa"/>
          </w:tcPr>
          <w:p w:rsidR="008F30C3" w:rsidRPr="008F30C3" w:rsidRDefault="008F30C3" w:rsidP="00324493">
            <w:pPr>
              <w:tabs>
                <w:tab w:val="center" w:pos="302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Metoda </w:t>
            </w:r>
            <w:proofErr w:type="spellStart"/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8F30C3" w:rsidRPr="009F4687" w:rsidRDefault="008F30C3" w:rsidP="00324493">
            <w:pPr>
              <w:tabs>
                <w:tab w:val="center" w:pos="302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F30C3" w:rsidRPr="009F4687" w:rsidRDefault="008F30C3" w:rsidP="00324493">
            <w:pPr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(f-h)</w:t>
            </w:r>
          </w:p>
        </w:tc>
        <w:tc>
          <w:tcPr>
            <w:tcW w:w="992" w:type="dxa"/>
          </w:tcPr>
          <w:p w:rsidR="008F30C3" w:rsidRPr="008F30C3" w:rsidRDefault="008F30C3" w:rsidP="00324493">
            <w:pPr>
              <w:tabs>
                <w:tab w:val="center" w:pos="30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u w:val="single"/>
                <w:lang w:eastAsia="de-DE"/>
              </w:rPr>
            </w:pPr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Rastni stadij &amp; sezona</w:t>
            </w:r>
          </w:p>
          <w:p w:rsidR="008F30C3" w:rsidRPr="009F4687" w:rsidRDefault="008F30C3" w:rsidP="00324493">
            <w:pPr>
              <w:tabs>
                <w:tab w:val="center" w:pos="303"/>
              </w:tabs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99" w:type="dxa"/>
          </w:tcPr>
          <w:p w:rsidR="008F30C3" w:rsidRPr="009F4687" w:rsidRDefault="008F30C3" w:rsidP="00324493">
            <w:pPr>
              <w:tabs>
                <w:tab w:val="center" w:pos="303"/>
              </w:tabs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8F30C3" w:rsidRPr="009F4687" w:rsidRDefault="008F30C3" w:rsidP="00324493">
            <w:pPr>
              <w:tabs>
                <w:tab w:val="center" w:pos="303"/>
              </w:tabs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086" w:type="dxa"/>
          </w:tcPr>
          <w:p w:rsidR="008F30C3" w:rsidRPr="008F30C3" w:rsidRDefault="008F30C3" w:rsidP="00324493">
            <w:pPr>
              <w:tabs>
                <w:tab w:val="center" w:pos="303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8F30C3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8F30C3" w:rsidRPr="009F4687" w:rsidRDefault="008F30C3" w:rsidP="00324493">
            <w:pPr>
              <w:tabs>
                <w:tab w:val="center" w:pos="303"/>
              </w:tabs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898" w:type="dxa"/>
          </w:tcPr>
          <w:p w:rsidR="008F30C3" w:rsidRPr="009F4687" w:rsidRDefault="008F30C3" w:rsidP="00324493">
            <w:pPr>
              <w:snapToGrid w:val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Odmerek</w:t>
            </w: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g AS/</w:t>
            </w:r>
            <w:proofErr w:type="spellStart"/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hL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8F30C3" w:rsidRPr="009F4687" w:rsidRDefault="008F30C3" w:rsidP="00324493">
            <w:pPr>
              <w:spacing w:line="276" w:lineRule="auto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(g/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851" w:type="dxa"/>
          </w:tcPr>
          <w:p w:rsidR="008F30C3" w:rsidRPr="009F4687" w:rsidRDefault="008F30C3" w:rsidP="008F30C3">
            <w:pPr>
              <w:snapToGrid w:val="0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Odmerek</w:t>
            </w: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r w:rsidRPr="008F30C3">
              <w:rPr>
                <w:rFonts w:ascii="Arial" w:hAnsi="Arial" w:cs="Arial"/>
                <w:b/>
                <w:sz w:val="16"/>
                <w:szCs w:val="16"/>
                <w:lang w:val="sv-SE" w:eastAsia="de-DE"/>
              </w:rPr>
              <w:t>Voda</w:t>
            </w:r>
            <w:r w:rsidRPr="009F4687">
              <w:rPr>
                <w:rFonts w:ascii="Arial" w:hAnsi="Arial" w:cs="Arial"/>
                <w:sz w:val="16"/>
                <w:szCs w:val="16"/>
                <w:lang w:val="sv-SE" w:eastAsia="de-DE"/>
              </w:rPr>
              <w:t xml:space="preserve"> L/ha min max</w:t>
            </w:r>
          </w:p>
        </w:tc>
        <w:tc>
          <w:tcPr>
            <w:tcW w:w="1369" w:type="dxa"/>
          </w:tcPr>
          <w:p w:rsidR="008F30C3" w:rsidRPr="008F30C3" w:rsidRDefault="008F30C3" w:rsidP="0032449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tretiranje</w:t>
            </w:r>
            <w:proofErr w:type="spellEnd"/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 xml:space="preserve"> v</w:t>
            </w:r>
          </w:p>
          <w:p w:rsidR="008F30C3" w:rsidRPr="009F4687" w:rsidRDefault="008F30C3" w:rsidP="00324493">
            <w:pPr>
              <w:snapToGrid w:val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8F30C3">
              <w:rPr>
                <w:rFonts w:ascii="Arial" w:hAnsi="Arial" w:cs="Arial"/>
                <w:b/>
                <w:sz w:val="16"/>
                <w:szCs w:val="16"/>
                <w:lang w:eastAsia="de-DE"/>
              </w:rPr>
              <w:t>g/ha AS</w:t>
            </w: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(min 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) </w:t>
            </w:r>
            <w:r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in skupni maksimalni odmerek</w:t>
            </w:r>
          </w:p>
          <w:p w:rsidR="008F30C3" w:rsidRPr="009F4687" w:rsidRDefault="008F30C3" w:rsidP="00324493">
            <w:pPr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</w:tcPr>
          <w:p w:rsidR="008F30C3" w:rsidRPr="009F4687" w:rsidRDefault="008F30C3" w:rsidP="008F30C3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8F30C3" w:rsidRPr="009F4687" w:rsidRDefault="008F30C3" w:rsidP="008F30C3">
            <w:pPr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(dni)</w:t>
            </w:r>
          </w:p>
          <w:p w:rsidR="008F30C3" w:rsidRPr="009F4687" w:rsidRDefault="008F30C3" w:rsidP="008F30C3">
            <w:pPr>
              <w:tabs>
                <w:tab w:val="left" w:pos="-72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(m)</w:t>
            </w:r>
          </w:p>
        </w:tc>
        <w:tc>
          <w:tcPr>
            <w:tcW w:w="2268" w:type="dxa"/>
          </w:tcPr>
          <w:p w:rsidR="008F30C3" w:rsidRPr="009F4687" w:rsidRDefault="008F30C3" w:rsidP="008F30C3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8F30C3" w:rsidRPr="009F4687" w:rsidRDefault="008F30C3" w:rsidP="008F30C3">
            <w:pPr>
              <w:tabs>
                <w:tab w:val="center" w:pos="543"/>
              </w:tabs>
              <w:spacing w:before="8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F30C3" w:rsidRPr="009F4687" w:rsidRDefault="008F30C3" w:rsidP="008F30C3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6750A1" w:rsidRPr="00B71E05" w:rsidTr="008F30C3">
        <w:tc>
          <w:tcPr>
            <w:tcW w:w="1087" w:type="dxa"/>
          </w:tcPr>
          <w:p w:rsidR="006750A1" w:rsidRPr="0098307E" w:rsidRDefault="00F162DF" w:rsidP="0098307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Sadna drevesa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npr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>: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 xml:space="preserve"> jablane (</w:t>
            </w:r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Malus </w:t>
            </w:r>
            <w:proofErr w:type="spellStart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domestica</w:t>
            </w:r>
            <w:proofErr w:type="spellEnd"/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), hruške (</w:t>
            </w:r>
            <w:proofErr w:type="spellStart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Pyrus</w:t>
            </w:r>
            <w:proofErr w:type="spellEnd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sp.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)</w:t>
            </w:r>
            <w:r w:rsidR="00D1020C">
              <w:rPr>
                <w:rFonts w:ascii="Arial" w:hAnsi="Arial" w:cs="Arial"/>
                <w:sz w:val="16"/>
                <w:szCs w:val="16"/>
                <w:lang w:eastAsia="fr-FR"/>
              </w:rPr>
              <w:t>,</w:t>
            </w:r>
            <w:r w:rsidR="0098307E">
              <w:t xml:space="preserve"> 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Oljka</w:t>
            </w:r>
            <w:r w:rsidR="0098307E" w:rsidRPr="0098307E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(</w:t>
            </w:r>
            <w:proofErr w:type="spellStart"/>
            <w:r w:rsidR="0098307E" w:rsidRP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Olea</w:t>
            </w:r>
            <w:proofErr w:type="spellEnd"/>
            <w:r w:rsidR="0098307E" w:rsidRP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98307E" w:rsidRP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europea</w:t>
            </w:r>
            <w:proofErr w:type="spellEnd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)</w:t>
            </w:r>
            <w:r w:rsidR="0098307E" w:rsidRPr="0098307E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itn.</w:t>
            </w:r>
            <w:r w:rsidR="0098307E" w:rsidRPr="0098307E">
              <w:rPr>
                <w:rFonts w:ascii="Arial" w:hAnsi="Arial" w:cs="Arial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567" w:type="dxa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276" w:type="dxa"/>
          </w:tcPr>
          <w:p w:rsidR="007B1090" w:rsidRPr="007B1090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Odvračalo na podlagi fizičnega delovanje</w:t>
            </w:r>
            <w:r w:rsid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za</w:t>
            </w:r>
          </w:p>
          <w:p w:rsidR="007B1090" w:rsidRPr="007B1090" w:rsidRDefault="00996DE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insekte</w:t>
            </w:r>
            <w:r w:rsid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in pršice kot so</w:t>
            </w:r>
            <w:r w:rsidR="007B1090"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  <w:p w:rsidR="006750A1" w:rsidRPr="009F4687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Cacopsylla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pyri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Cacopsylla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fulguralis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Drosophila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suzukii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Panonychus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ulmi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Bactrocera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oleae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,</w:t>
            </w:r>
          </w:p>
        </w:tc>
        <w:tc>
          <w:tcPr>
            <w:tcW w:w="615" w:type="dxa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WP</w:t>
            </w:r>
          </w:p>
        </w:tc>
        <w:tc>
          <w:tcPr>
            <w:tcW w:w="709" w:type="dxa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850</w:t>
            </w:r>
            <w:r w:rsidR="006750A1"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44" w:type="dxa"/>
          </w:tcPr>
          <w:p w:rsidR="006750A1" w:rsidRPr="009F4687" w:rsidRDefault="007B1090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Foliarno </w:t>
            </w:r>
            <w:r w:rsidR="000377B5">
              <w:rPr>
                <w:rFonts w:ascii="Arial" w:hAnsi="Arial" w:cs="Arial"/>
                <w:sz w:val="16"/>
                <w:szCs w:val="16"/>
                <w:lang w:eastAsia="fr-FR"/>
              </w:rPr>
              <w:t>nanašanje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, škropljenje</w:t>
            </w:r>
          </w:p>
        </w:tc>
        <w:tc>
          <w:tcPr>
            <w:tcW w:w="992" w:type="dxa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Od BBCH 41</w:t>
            </w:r>
          </w:p>
        </w:tc>
        <w:tc>
          <w:tcPr>
            <w:tcW w:w="899" w:type="dxa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2-5</w:t>
            </w:r>
          </w:p>
        </w:tc>
        <w:tc>
          <w:tcPr>
            <w:tcW w:w="1086" w:type="dxa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3-4 tedne</w:t>
            </w:r>
          </w:p>
        </w:tc>
        <w:tc>
          <w:tcPr>
            <w:tcW w:w="898" w:type="dxa"/>
          </w:tcPr>
          <w:p w:rsidR="007B1090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Prvo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  <w:p w:rsidR="007B1090" w:rsidRPr="007B1090" w:rsidRDefault="006750A1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7B1090"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2.13 </w:t>
            </w:r>
            <w:r w:rsidR="007B1090">
              <w:rPr>
                <w:rFonts w:ascii="Arial" w:hAnsi="Arial" w:cs="Arial"/>
                <w:sz w:val="16"/>
                <w:szCs w:val="16"/>
                <w:lang w:eastAsia="fr-FR"/>
              </w:rPr>
              <w:t>do</w:t>
            </w:r>
            <w:r w:rsidR="007B1090"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3.54</w:t>
            </w:r>
          </w:p>
          <w:p w:rsidR="006750A1" w:rsidRPr="009F4687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Naslednja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>: 1.7 d</w:t>
            </w:r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o 2.83</w:t>
            </w:r>
          </w:p>
        </w:tc>
        <w:tc>
          <w:tcPr>
            <w:tcW w:w="851" w:type="dxa"/>
          </w:tcPr>
          <w:p w:rsidR="007B1090" w:rsidRPr="007B1090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7B1090">
              <w:rPr>
                <w:rFonts w:ascii="Arial" w:hAnsi="Arial" w:cs="Arial"/>
                <w:sz w:val="16"/>
                <w:szCs w:val="16"/>
                <w:lang w:eastAsia="de-DE"/>
              </w:rPr>
              <w:t>600</w:t>
            </w:r>
          </w:p>
          <w:p w:rsidR="007B1090" w:rsidRPr="007B1090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d</w:t>
            </w:r>
            <w:r w:rsidRPr="007B1090">
              <w:rPr>
                <w:rFonts w:ascii="Arial" w:hAnsi="Arial" w:cs="Arial"/>
                <w:sz w:val="16"/>
                <w:szCs w:val="16"/>
                <w:lang w:eastAsia="de-DE"/>
              </w:rPr>
              <w:t>o</w:t>
            </w:r>
          </w:p>
          <w:p w:rsidR="006750A1" w:rsidRPr="009F4687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7B1090">
              <w:rPr>
                <w:rFonts w:ascii="Arial" w:hAnsi="Arial" w:cs="Arial"/>
                <w:sz w:val="16"/>
                <w:szCs w:val="16"/>
                <w:lang w:eastAsia="de-DE"/>
              </w:rPr>
              <w:t>1000</w:t>
            </w:r>
          </w:p>
        </w:tc>
        <w:tc>
          <w:tcPr>
            <w:tcW w:w="1369" w:type="dxa"/>
          </w:tcPr>
          <w:p w:rsidR="00792FA2" w:rsidRPr="00792FA2" w:rsidRDefault="00792FA2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Prvo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 w:rsidRPr="00792FA2">
              <w:rPr>
                <w:rFonts w:ascii="Arial" w:hAnsi="Arial" w:cs="Arial"/>
                <w:sz w:val="16"/>
                <w:szCs w:val="16"/>
                <w:lang w:eastAsia="fr-FR"/>
              </w:rPr>
              <w:t>: 21.25</w:t>
            </w:r>
          </w:p>
          <w:p w:rsidR="006750A1" w:rsidRDefault="00792FA2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Naslednja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tretiranja</w:t>
            </w:r>
            <w:proofErr w:type="spellEnd"/>
            <w:r w:rsidRPr="00792FA2">
              <w:rPr>
                <w:rFonts w:ascii="Arial" w:hAnsi="Arial" w:cs="Arial"/>
                <w:sz w:val="16"/>
                <w:szCs w:val="16"/>
                <w:lang w:eastAsia="fr-FR"/>
              </w:rPr>
              <w:t>: 17</w:t>
            </w:r>
          </w:p>
          <w:p w:rsidR="00D1020C" w:rsidRDefault="00D1020C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020C" w:rsidRDefault="00D1020C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020C" w:rsidRPr="009F4687" w:rsidRDefault="00D1020C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Skupni maksimalni odmerek: 38.25 d</w:t>
            </w:r>
            <w:r w:rsidRPr="00D1020C">
              <w:rPr>
                <w:rFonts w:ascii="Arial" w:hAnsi="Arial" w:cs="Arial"/>
                <w:sz w:val="16"/>
                <w:szCs w:val="16"/>
                <w:lang w:eastAsia="fr-FR"/>
              </w:rPr>
              <w:t>o 89.25</w:t>
            </w:r>
          </w:p>
        </w:tc>
        <w:tc>
          <w:tcPr>
            <w:tcW w:w="899" w:type="dxa"/>
          </w:tcPr>
          <w:p w:rsidR="006750A1" w:rsidRPr="009F4687" w:rsidRDefault="00792FA2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Ni relevantna</w:t>
            </w:r>
          </w:p>
        </w:tc>
        <w:tc>
          <w:tcPr>
            <w:tcW w:w="2268" w:type="dxa"/>
          </w:tcPr>
          <w:p w:rsidR="006750A1" w:rsidRPr="009F4687" w:rsidRDefault="00792FA2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Škropilno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brozgo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pripraviti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tik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pred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uporabo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in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zagotoviti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stalno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mešanje</w:t>
            </w:r>
            <w:proofErr w:type="spellEnd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pri</w:t>
            </w:r>
            <w:proofErr w:type="spellEnd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tretiranju</w:t>
            </w:r>
            <w:proofErr w:type="spellEnd"/>
          </w:p>
        </w:tc>
      </w:tr>
      <w:tr w:rsidR="006750A1" w:rsidRPr="00B71E05" w:rsidTr="008F30C3">
        <w:tc>
          <w:tcPr>
            <w:tcW w:w="1087" w:type="dxa"/>
          </w:tcPr>
          <w:p w:rsidR="006750A1" w:rsidRPr="009F4687" w:rsidRDefault="00D1020C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D1020C">
              <w:rPr>
                <w:rFonts w:ascii="Arial" w:hAnsi="Arial" w:cs="Arial"/>
                <w:sz w:val="16"/>
                <w:szCs w:val="16"/>
                <w:lang w:eastAsia="de-DE"/>
              </w:rPr>
              <w:t xml:space="preserve">Sadna drevesa </w:t>
            </w:r>
            <w:proofErr w:type="spellStart"/>
            <w:r w:rsidRPr="00D1020C">
              <w:rPr>
                <w:rFonts w:ascii="Arial" w:hAnsi="Arial" w:cs="Arial"/>
                <w:sz w:val="16"/>
                <w:szCs w:val="16"/>
                <w:lang w:eastAsia="de-DE"/>
              </w:rPr>
              <w:t>npr</w:t>
            </w:r>
            <w:proofErr w:type="spellEnd"/>
            <w:r w:rsidRPr="00D1020C">
              <w:rPr>
                <w:rFonts w:ascii="Arial" w:hAnsi="Arial" w:cs="Arial"/>
                <w:sz w:val="16"/>
                <w:szCs w:val="16"/>
                <w:lang w:eastAsia="de-DE"/>
              </w:rPr>
              <w:t>: jablane (Malus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de-DE"/>
              </w:rPr>
              <w:t>domestica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de-DE"/>
              </w:rPr>
              <w:t>), hruške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de-DE"/>
              </w:rPr>
              <w:t>Pyrus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 sp.)</w:t>
            </w:r>
          </w:p>
        </w:tc>
        <w:tc>
          <w:tcPr>
            <w:tcW w:w="567" w:type="dxa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</w:tc>
        <w:tc>
          <w:tcPr>
            <w:tcW w:w="1276" w:type="dxa"/>
          </w:tcPr>
          <w:p w:rsidR="006750A1" w:rsidRPr="009F4687" w:rsidRDefault="00996DE0" w:rsidP="00996DE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Odvračalo na podlagi fizičnega delovanja za glivice kot so plesni: </w:t>
            </w:r>
            <w:proofErr w:type="spellStart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>Venturia</w:t>
            </w:r>
            <w:proofErr w:type="spellEnd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6DE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inaequalis</w:t>
            </w:r>
            <w:proofErr w:type="spellEnd"/>
            <w:r w:rsidRPr="00996DE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, </w:t>
            </w:r>
          </w:p>
        </w:tc>
        <w:tc>
          <w:tcPr>
            <w:tcW w:w="615" w:type="dxa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WP</w:t>
            </w:r>
          </w:p>
        </w:tc>
        <w:tc>
          <w:tcPr>
            <w:tcW w:w="709" w:type="dxa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96DE0">
              <w:rPr>
                <w:rFonts w:ascii="Arial" w:hAnsi="Arial" w:cs="Arial"/>
                <w:sz w:val="16"/>
                <w:szCs w:val="16"/>
                <w:lang w:eastAsia="de-DE"/>
              </w:rPr>
              <w:t>850</w:t>
            </w:r>
          </w:p>
        </w:tc>
        <w:tc>
          <w:tcPr>
            <w:tcW w:w="944" w:type="dxa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Foliarno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n</w:t>
            </w:r>
            <w:r w:rsidRPr="009F4687">
              <w:rPr>
                <w:rFonts w:ascii="Arial" w:hAnsi="Arial" w:cs="Arial"/>
                <w:sz w:val="16"/>
                <w:szCs w:val="16"/>
                <w:lang w:val="en-IE" w:eastAsia="de-DE"/>
              </w:rPr>
              <w:t>anašanje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škropljenje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</w:p>
        </w:tc>
        <w:tc>
          <w:tcPr>
            <w:tcW w:w="992" w:type="dxa"/>
          </w:tcPr>
          <w:p w:rsidR="006750A1" w:rsidRPr="009F4687" w:rsidRDefault="000377B5" w:rsidP="0032449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7B5">
              <w:rPr>
                <w:rFonts w:ascii="Arial" w:hAnsi="Arial" w:cs="Arial"/>
                <w:color w:val="auto"/>
                <w:sz w:val="16"/>
                <w:szCs w:val="16"/>
                <w:lang w:val="sl-SI" w:eastAsia="de-DE"/>
              </w:rPr>
              <w:t>Od BBCH 41</w:t>
            </w:r>
          </w:p>
        </w:tc>
        <w:tc>
          <w:tcPr>
            <w:tcW w:w="899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3-5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86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2-3 tedne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98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1.28 d</w:t>
            </w:r>
            <w:r w:rsidRPr="000377B5">
              <w:rPr>
                <w:rFonts w:ascii="Arial" w:hAnsi="Arial" w:cs="Arial"/>
                <w:sz w:val="16"/>
                <w:szCs w:val="16"/>
                <w:lang w:eastAsia="fr-FR"/>
              </w:rPr>
              <w:t xml:space="preserve">o 2.13 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</w:tcPr>
          <w:p w:rsidR="000377B5" w:rsidRPr="000377B5" w:rsidRDefault="000377B5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600</w:t>
            </w:r>
          </w:p>
          <w:p w:rsidR="000377B5" w:rsidRPr="000377B5" w:rsidRDefault="000377B5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do</w:t>
            </w:r>
          </w:p>
          <w:p w:rsidR="006750A1" w:rsidRPr="009F4687" w:rsidRDefault="000377B5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1000</w:t>
            </w:r>
          </w:p>
        </w:tc>
        <w:tc>
          <w:tcPr>
            <w:tcW w:w="1369" w:type="dxa"/>
          </w:tcPr>
          <w:p w:rsidR="006750A1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12.75</w:t>
            </w:r>
          </w:p>
          <w:p w:rsidR="000377B5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 w:rsidR="006750A1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Skupni maksimalni odmerek:</w:t>
            </w:r>
          </w:p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38.25 d</w:t>
            </w: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o 63.75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99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Ni relevantna</w:t>
            </w:r>
          </w:p>
        </w:tc>
        <w:tc>
          <w:tcPr>
            <w:tcW w:w="2268" w:type="dxa"/>
          </w:tcPr>
          <w:p w:rsidR="006750A1" w:rsidRPr="006D4A0A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it-IT" w:eastAsia="de-DE"/>
              </w:rPr>
            </w:pP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Škropilno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brozgo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pripraviti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tik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pred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uporabo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in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zagotoviti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stalno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mešanje</w:t>
            </w:r>
            <w:proofErr w:type="spellEnd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pri</w:t>
            </w:r>
            <w:proofErr w:type="spellEnd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tretiranju</w:t>
            </w:r>
            <w:proofErr w:type="spellEnd"/>
            <w:r w:rsidR="006750A1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. </w:t>
            </w:r>
          </w:p>
        </w:tc>
      </w:tr>
      <w:tr w:rsidR="006750A1" w:rsidRPr="00B71E05" w:rsidTr="008F30C3">
        <w:tc>
          <w:tcPr>
            <w:tcW w:w="1087" w:type="dxa"/>
          </w:tcPr>
          <w:p w:rsidR="006750A1" w:rsidRPr="009F4687" w:rsidRDefault="006750A1" w:rsidP="00324493">
            <w:pPr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Vinska trta</w:t>
            </w:r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Vitis</w:t>
            </w:r>
            <w:proofErr w:type="spellEnd"/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vinifera</w:t>
            </w:r>
            <w:proofErr w:type="spellEnd"/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</w:tc>
        <w:tc>
          <w:tcPr>
            <w:tcW w:w="1276" w:type="dxa"/>
          </w:tcPr>
          <w:p w:rsidR="006750A1" w:rsidRPr="009F4687" w:rsidRDefault="00996DE0" w:rsidP="00996DE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Odvračalo na podlagi fizičnega delovanja za glivice kot so plesni:, </w:t>
            </w:r>
            <w:proofErr w:type="spellStart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>Erysiphe</w:t>
            </w:r>
            <w:proofErr w:type="spellEnd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>necator</w:t>
            </w:r>
            <w:proofErr w:type="spellEnd"/>
          </w:p>
        </w:tc>
        <w:tc>
          <w:tcPr>
            <w:tcW w:w="615" w:type="dxa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WP</w:t>
            </w:r>
          </w:p>
        </w:tc>
        <w:tc>
          <w:tcPr>
            <w:tcW w:w="709" w:type="dxa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96DE0">
              <w:rPr>
                <w:rFonts w:ascii="Arial" w:hAnsi="Arial" w:cs="Arial"/>
                <w:sz w:val="16"/>
                <w:szCs w:val="16"/>
                <w:lang w:eastAsia="de-DE"/>
              </w:rPr>
              <w:t>850</w:t>
            </w:r>
          </w:p>
        </w:tc>
        <w:tc>
          <w:tcPr>
            <w:tcW w:w="944" w:type="dxa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Foliarno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nanašanje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škropljenje</w:t>
            </w:r>
            <w:proofErr w:type="spellEnd"/>
          </w:p>
        </w:tc>
        <w:tc>
          <w:tcPr>
            <w:tcW w:w="992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Od BBCH 20</w:t>
            </w:r>
          </w:p>
        </w:tc>
        <w:tc>
          <w:tcPr>
            <w:tcW w:w="899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2-5</w:t>
            </w:r>
          </w:p>
        </w:tc>
        <w:tc>
          <w:tcPr>
            <w:tcW w:w="1086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3-4 tedne</w:t>
            </w:r>
          </w:p>
        </w:tc>
        <w:tc>
          <w:tcPr>
            <w:tcW w:w="898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4.25 d</w:t>
            </w:r>
            <w:r w:rsidRPr="000377B5">
              <w:rPr>
                <w:rFonts w:ascii="Arial" w:hAnsi="Arial" w:cs="Arial"/>
                <w:sz w:val="16"/>
                <w:szCs w:val="16"/>
                <w:lang w:eastAsia="fr-FR"/>
              </w:rPr>
              <w:t>o 8.5</w:t>
            </w:r>
            <w:r w:rsidR="006750A1" w:rsidRPr="009F4687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1" w:type="dxa"/>
          </w:tcPr>
          <w:p w:rsidR="006750A1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15</w:t>
            </w:r>
            <w:r w:rsidR="006750A1" w:rsidRPr="009F4687">
              <w:rPr>
                <w:rFonts w:ascii="Arial" w:hAnsi="Arial" w:cs="Arial"/>
                <w:sz w:val="16"/>
                <w:szCs w:val="16"/>
                <w:lang w:eastAsia="de-DE"/>
              </w:rPr>
              <w:t>0</w:t>
            </w:r>
          </w:p>
          <w:p w:rsidR="000377B5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do </w:t>
            </w:r>
          </w:p>
          <w:p w:rsidR="000377B5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300</w:t>
            </w:r>
          </w:p>
        </w:tc>
        <w:tc>
          <w:tcPr>
            <w:tcW w:w="1369" w:type="dxa"/>
          </w:tcPr>
          <w:p w:rsidR="006750A1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12.75</w:t>
            </w:r>
          </w:p>
          <w:p w:rsidR="000377B5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 w:rsidR="006750A1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Skupni maksimalni odmerek</w:t>
            </w:r>
          </w:p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25.5 d</w:t>
            </w: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o 63.75</w:t>
            </w:r>
          </w:p>
        </w:tc>
        <w:tc>
          <w:tcPr>
            <w:tcW w:w="899" w:type="dxa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Ni relevantna</w:t>
            </w:r>
          </w:p>
        </w:tc>
        <w:tc>
          <w:tcPr>
            <w:tcW w:w="2268" w:type="dxa"/>
          </w:tcPr>
          <w:p w:rsidR="006750A1" w:rsidRPr="006D4A0A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it-IT" w:eastAsia="de-DE"/>
              </w:rPr>
            </w:pP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Škropilno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brozgo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pripraviti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tik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pred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uporabo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in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zagotoviti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stalno</w:t>
            </w:r>
            <w:proofErr w:type="spellEnd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mešanje</w:t>
            </w:r>
            <w:proofErr w:type="spellEnd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pri</w:t>
            </w:r>
            <w:proofErr w:type="spellEnd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 xml:space="preserve"> </w:t>
            </w:r>
            <w:proofErr w:type="spellStart"/>
            <w:r w:rsidR="0002655D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tretiranju</w:t>
            </w:r>
            <w:proofErr w:type="spellEnd"/>
            <w:r w:rsidR="006750A1" w:rsidRPr="006D4A0A">
              <w:rPr>
                <w:rFonts w:ascii="Arial" w:hAnsi="Arial" w:cs="Arial"/>
                <w:sz w:val="16"/>
                <w:szCs w:val="16"/>
                <w:lang w:val="it-IT" w:eastAsia="de-DE"/>
              </w:rPr>
              <w:t>.</w:t>
            </w:r>
          </w:p>
        </w:tc>
      </w:tr>
    </w:tbl>
    <w:p w:rsidR="006750A1" w:rsidRPr="00F24E82" w:rsidRDefault="006750A1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6750A1" w:rsidRPr="00F24E82" w:rsidSect="00675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F95B38"/>
    <w:multiLevelType w:val="hybridMultilevel"/>
    <w:tmpl w:val="E80CC2DA"/>
    <w:lvl w:ilvl="0" w:tplc="B23A0916">
      <w:start w:val="2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5475"/>
    <w:multiLevelType w:val="hybridMultilevel"/>
    <w:tmpl w:val="7432273C"/>
    <w:lvl w:ilvl="0" w:tplc="C1708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A"/>
    <w:rsid w:val="0002655D"/>
    <w:rsid w:val="000377B5"/>
    <w:rsid w:val="000B1EC3"/>
    <w:rsid w:val="000D071B"/>
    <w:rsid w:val="00102910"/>
    <w:rsid w:val="001076A7"/>
    <w:rsid w:val="00147280"/>
    <w:rsid w:val="00183D86"/>
    <w:rsid w:val="001C063D"/>
    <w:rsid w:val="00201FBE"/>
    <w:rsid w:val="00231D9E"/>
    <w:rsid w:val="00245F41"/>
    <w:rsid w:val="00283346"/>
    <w:rsid w:val="002A543C"/>
    <w:rsid w:val="002D2079"/>
    <w:rsid w:val="002D663D"/>
    <w:rsid w:val="00322742"/>
    <w:rsid w:val="003415EB"/>
    <w:rsid w:val="00347D3D"/>
    <w:rsid w:val="00354AEF"/>
    <w:rsid w:val="00365498"/>
    <w:rsid w:val="00366658"/>
    <w:rsid w:val="00374381"/>
    <w:rsid w:val="0038248C"/>
    <w:rsid w:val="003D6741"/>
    <w:rsid w:val="004252EA"/>
    <w:rsid w:val="00431997"/>
    <w:rsid w:val="0044656A"/>
    <w:rsid w:val="0050549F"/>
    <w:rsid w:val="0052449E"/>
    <w:rsid w:val="00555BE0"/>
    <w:rsid w:val="00587123"/>
    <w:rsid w:val="00587484"/>
    <w:rsid w:val="005B0074"/>
    <w:rsid w:val="0061480C"/>
    <w:rsid w:val="00656D05"/>
    <w:rsid w:val="006750A1"/>
    <w:rsid w:val="006A10B9"/>
    <w:rsid w:val="006D4A0A"/>
    <w:rsid w:val="0070622D"/>
    <w:rsid w:val="00723946"/>
    <w:rsid w:val="00730F19"/>
    <w:rsid w:val="00741FE5"/>
    <w:rsid w:val="00744504"/>
    <w:rsid w:val="00792FA2"/>
    <w:rsid w:val="007B1090"/>
    <w:rsid w:val="007E3331"/>
    <w:rsid w:val="008030D3"/>
    <w:rsid w:val="0081555A"/>
    <w:rsid w:val="00824946"/>
    <w:rsid w:val="00826B27"/>
    <w:rsid w:val="00842417"/>
    <w:rsid w:val="0086031C"/>
    <w:rsid w:val="008F0B1B"/>
    <w:rsid w:val="008F30C3"/>
    <w:rsid w:val="0093150B"/>
    <w:rsid w:val="009658DA"/>
    <w:rsid w:val="0097785F"/>
    <w:rsid w:val="0098307E"/>
    <w:rsid w:val="00993196"/>
    <w:rsid w:val="00996D2C"/>
    <w:rsid w:val="00996DE0"/>
    <w:rsid w:val="00A17C15"/>
    <w:rsid w:val="00A304CC"/>
    <w:rsid w:val="00A4215E"/>
    <w:rsid w:val="00A7440F"/>
    <w:rsid w:val="00A84A7E"/>
    <w:rsid w:val="00AA5B5E"/>
    <w:rsid w:val="00BD676A"/>
    <w:rsid w:val="00BF4A52"/>
    <w:rsid w:val="00C03A84"/>
    <w:rsid w:val="00C04BC1"/>
    <w:rsid w:val="00C360BA"/>
    <w:rsid w:val="00C530EB"/>
    <w:rsid w:val="00C62634"/>
    <w:rsid w:val="00C93418"/>
    <w:rsid w:val="00CA43A5"/>
    <w:rsid w:val="00D1020C"/>
    <w:rsid w:val="00D27633"/>
    <w:rsid w:val="00D548B0"/>
    <w:rsid w:val="00D576FD"/>
    <w:rsid w:val="00D63797"/>
    <w:rsid w:val="00DD0053"/>
    <w:rsid w:val="00E3710E"/>
    <w:rsid w:val="00E60617"/>
    <w:rsid w:val="00F162DF"/>
    <w:rsid w:val="00F16B72"/>
    <w:rsid w:val="00F206B8"/>
    <w:rsid w:val="00F24E82"/>
    <w:rsid w:val="00F27FF3"/>
    <w:rsid w:val="00F476A0"/>
    <w:rsid w:val="00F71450"/>
    <w:rsid w:val="00F728F7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CC5B"/>
  <w15:docId w15:val="{1D376A38-23EF-4311-BB2F-2061A76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52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Anja Palman</cp:lastModifiedBy>
  <cp:revision>3</cp:revision>
  <cp:lastPrinted>2015-01-06T11:15:00Z</cp:lastPrinted>
  <dcterms:created xsi:type="dcterms:W3CDTF">2022-03-09T00:08:00Z</dcterms:created>
  <dcterms:modified xsi:type="dcterms:W3CDTF">2022-03-11T10:28:00Z</dcterms:modified>
</cp:coreProperties>
</file>