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FE7E" w14:textId="53ED432A" w:rsidR="00CC7F22" w:rsidRPr="003150A7" w:rsidRDefault="00D37C4D">
      <w:pPr>
        <w:rPr>
          <w:rFonts w:cs="Arial"/>
        </w:rPr>
      </w:pPr>
      <w:r w:rsidRPr="003150A7">
        <w:rPr>
          <w:rFonts w:cs="Arial"/>
          <w:noProof/>
        </w:rPr>
        <mc:AlternateContent>
          <mc:Choice Requires="wps">
            <w:drawing>
              <wp:anchor distT="0" distB="0" distL="114300" distR="114300" simplePos="0" relativeHeight="251659264" behindDoc="0" locked="0" layoutInCell="1" allowOverlap="1" wp14:anchorId="58488E1E" wp14:editId="6B3D61F0">
                <wp:simplePos x="0" y="0"/>
                <wp:positionH relativeFrom="margin">
                  <wp:posOffset>5314950</wp:posOffset>
                </wp:positionH>
                <wp:positionV relativeFrom="page">
                  <wp:posOffset>714375</wp:posOffset>
                </wp:positionV>
                <wp:extent cx="859790" cy="268605"/>
                <wp:effectExtent l="0" t="0" r="0" b="0"/>
                <wp:wrapNone/>
                <wp:docPr id="132" name="Pravokotni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59790" cy="26860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E4D71" w14:textId="5294CC57" w:rsidR="00960783" w:rsidRDefault="00ED66DD">
                            <w:pPr>
                              <w:pStyle w:val="Brezrazmikov"/>
                              <w:jc w:val="right"/>
                              <w:rPr>
                                <w:color w:val="FFFFFF" w:themeColor="background1"/>
                                <w:sz w:val="24"/>
                                <w:szCs w:val="24"/>
                              </w:rPr>
                            </w:pPr>
                            <w:sdt>
                              <w:sdtPr>
                                <w:rPr>
                                  <w:color w:val="FFFFFF" w:themeColor="background1"/>
                                  <w:sz w:val="24"/>
                                  <w:szCs w:val="24"/>
                                </w:rPr>
                                <w:alias w:val="Leto"/>
                                <w:tag w:val=""/>
                                <w:id w:val="-785116381"/>
                                <w:dataBinding w:prefixMappings="xmlns:ns0='http://schemas.microsoft.com/office/2006/coverPageProps' " w:xpath="/ns0:CoverPageProperties[1]/ns0:PublishDate[1]" w:storeItemID="{55AF091B-3C7A-41E3-B477-F2FDAA23CFDA}"/>
                                <w:date>
                                  <w:dateFormat w:val="yyyy"/>
                                  <w:lid w:val="sl-SI"/>
                                  <w:storeMappedDataAs w:val="dateTime"/>
                                  <w:calendar w:val="gregorian"/>
                                </w:date>
                              </w:sdtPr>
                              <w:sdtEndPr/>
                              <w:sdtContent>
                                <w:r w:rsidR="00960783">
                                  <w:rPr>
                                    <w:color w:val="FFFFFF" w:themeColor="background1"/>
                                    <w:sz w:val="24"/>
                                    <w:szCs w:val="24"/>
                                  </w:rPr>
                                  <w:t>201</w:t>
                                </w:r>
                                <w:r w:rsidR="008E2E55">
                                  <w:rPr>
                                    <w:color w:val="FFFFFF" w:themeColor="background1"/>
                                    <w:sz w:val="24"/>
                                    <w:szCs w:val="24"/>
                                  </w:rPr>
                                  <w:t>8</w:t>
                                </w:r>
                                <w:r w:rsidR="00960783">
                                  <w:rPr>
                                    <w:color w:val="FFFFFF" w:themeColor="background1"/>
                                    <w:sz w:val="24"/>
                                    <w:szCs w:val="24"/>
                                  </w:rPr>
                                  <w:t>-20</w:t>
                                </w:r>
                                <w:r w:rsidR="008E2E55">
                                  <w:rPr>
                                    <w:color w:val="FFFFFF" w:themeColor="background1"/>
                                    <w:sz w:val="24"/>
                                    <w:szCs w:val="24"/>
                                  </w:rPr>
                                  <w:t>22</w:t>
                                </w:r>
                              </w:sdtContent>
                            </w:sdt>
                            <w:r w:rsidR="00960783">
                              <w:rPr>
                                <w:color w:val="FFFFFF" w:themeColor="background1"/>
                                <w:sz w:val="24"/>
                                <w:szCs w:val="24"/>
                              </w:rPr>
                              <w:t xml:space="preserve">    </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488E1E" id="Pravokotnik 132" o:spid="_x0000_s1026" style="position:absolute;left:0;text-align:left;margin-left:418.5pt;margin-top:56.25pt;width:67.7pt;height:2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" fillcolor="#4f81bd [3204]" stroked="f" strokeweight="2pt">
                <o:lock v:ext="edit" aspectratio="t"/>
                <v:textbox inset="3.6pt,,3.6pt">
                  <w:txbxContent>
                    <w:p w14:paraId="488E4D71" w14:textId="5294CC57" w:rsidR="00960783" w:rsidRDefault="00ED66DD">
                      <w:pPr>
                        <w:pStyle w:val="Brezrazmikov"/>
                        <w:jc w:val="right"/>
                        <w:rPr>
                          <w:color w:val="FFFFFF" w:themeColor="background1"/>
                          <w:sz w:val="24"/>
                          <w:szCs w:val="24"/>
                        </w:rPr>
                      </w:pPr>
                      <w:sdt>
                        <w:sdtPr>
                          <w:rPr>
                            <w:color w:val="FFFFFF" w:themeColor="background1"/>
                            <w:sz w:val="24"/>
                            <w:szCs w:val="24"/>
                          </w:rPr>
                          <w:alias w:val="Leto"/>
                          <w:tag w:val=""/>
                          <w:id w:val="-785116381"/>
                          <w:dataBinding w:prefixMappings="xmlns:ns0='http://schemas.microsoft.com/office/2006/coverPageProps' " w:xpath="/ns0:CoverPageProperties[1]/ns0:PublishDate[1]" w:storeItemID="{55AF091B-3C7A-41E3-B477-F2FDAA23CFDA}"/>
                          <w:date>
                            <w:dateFormat w:val="yyyy"/>
                            <w:lid w:val="sl-SI"/>
                            <w:storeMappedDataAs w:val="dateTime"/>
                            <w:calendar w:val="gregorian"/>
                          </w:date>
                        </w:sdtPr>
                        <w:sdtEndPr/>
                        <w:sdtContent>
                          <w:r w:rsidR="00960783">
                            <w:rPr>
                              <w:color w:val="FFFFFF" w:themeColor="background1"/>
                              <w:sz w:val="24"/>
                              <w:szCs w:val="24"/>
                            </w:rPr>
                            <w:t>201</w:t>
                          </w:r>
                          <w:r w:rsidR="008E2E55">
                            <w:rPr>
                              <w:color w:val="FFFFFF" w:themeColor="background1"/>
                              <w:sz w:val="24"/>
                              <w:szCs w:val="24"/>
                            </w:rPr>
                            <w:t>8</w:t>
                          </w:r>
                          <w:r w:rsidR="00960783">
                            <w:rPr>
                              <w:color w:val="FFFFFF" w:themeColor="background1"/>
                              <w:sz w:val="24"/>
                              <w:szCs w:val="24"/>
                            </w:rPr>
                            <w:t>-20</w:t>
                          </w:r>
                          <w:r w:rsidR="008E2E55">
                            <w:rPr>
                              <w:color w:val="FFFFFF" w:themeColor="background1"/>
                              <w:sz w:val="24"/>
                              <w:szCs w:val="24"/>
                            </w:rPr>
                            <w:t>22</w:t>
                          </w:r>
                        </w:sdtContent>
                      </w:sdt>
                      <w:r w:rsidR="00960783">
                        <w:rPr>
                          <w:color w:val="FFFFFF" w:themeColor="background1"/>
                          <w:sz w:val="24"/>
                          <w:szCs w:val="24"/>
                        </w:rPr>
                        <w:t xml:space="preserve">    </w:t>
                      </w:r>
                    </w:p>
                  </w:txbxContent>
                </v:textbox>
                <w10:wrap anchorx="margin" anchory="page"/>
              </v:rect>
            </w:pict>
          </mc:Fallback>
        </mc:AlternateContent>
      </w:r>
      <w:r w:rsidR="00CC7F22" w:rsidRPr="003150A7">
        <w:rPr>
          <w:rFonts w:cs="Arial"/>
          <w:noProof/>
        </w:rPr>
        <mc:AlternateContent>
          <mc:Choice Requires="wps">
            <w:drawing>
              <wp:anchor distT="45720" distB="45720" distL="114300" distR="114300" simplePos="0" relativeHeight="251662336" behindDoc="0" locked="0" layoutInCell="1" allowOverlap="1" wp14:anchorId="57BC2401" wp14:editId="3A0AD510">
                <wp:simplePos x="0" y="0"/>
                <wp:positionH relativeFrom="column">
                  <wp:posOffset>205802</wp:posOffset>
                </wp:positionH>
                <wp:positionV relativeFrom="paragraph">
                  <wp:posOffset>15240</wp:posOffset>
                </wp:positionV>
                <wp:extent cx="2360930" cy="1404620"/>
                <wp:effectExtent l="0" t="0" r="1270" b="762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FEB7984" w14:textId="612B78ED" w:rsidR="00960783" w:rsidRPr="00CC7F22" w:rsidRDefault="00043F80" w:rsidP="00CC7F22">
                            <w:pPr>
                              <w:spacing w:after="120" w:line="240" w:lineRule="auto"/>
                              <w:rPr>
                                <w:rFonts w:cs="Arial"/>
                                <w:sz w:val="20"/>
                              </w:rPr>
                            </w:pPr>
                            <w:r>
                              <w:rPr>
                                <w:rFonts w:cs="Arial"/>
                                <w:sz w:val="20"/>
                              </w:rPr>
                              <w:t xml:space="preserve">Št.: </w:t>
                            </w:r>
                            <w:r w:rsidR="0014664F" w:rsidRPr="0014664F">
                              <w:rPr>
                                <w:rFonts w:cs="Arial"/>
                                <w:b/>
                                <w:bCs/>
                                <w:sz w:val="20"/>
                              </w:rPr>
                              <w:t>U34335-17/2023</w:t>
                            </w:r>
                          </w:p>
                          <w:p w14:paraId="0B0EFADE" w14:textId="29CE009A" w:rsidR="00960783" w:rsidRPr="00CC7F22" w:rsidRDefault="00960783" w:rsidP="00CC7F22">
                            <w:pPr>
                              <w:spacing w:after="120" w:line="240" w:lineRule="auto"/>
                              <w:rPr>
                                <w:rFonts w:cs="Arial"/>
                                <w:sz w:val="20"/>
                              </w:rPr>
                            </w:pPr>
                            <w:r>
                              <w:rPr>
                                <w:rFonts w:cs="Arial"/>
                                <w:sz w:val="20"/>
                              </w:rPr>
                              <w:t xml:space="preserve">Datum: </w:t>
                            </w:r>
                            <w:r w:rsidR="0014664F">
                              <w:rPr>
                                <w:rFonts w:cs="Arial"/>
                                <w:sz w:val="20"/>
                              </w:rPr>
                              <w:t>15</w:t>
                            </w:r>
                            <w:r>
                              <w:rPr>
                                <w:rFonts w:cs="Arial"/>
                                <w:sz w:val="20"/>
                              </w:rPr>
                              <w:t>. 1</w:t>
                            </w:r>
                            <w:r w:rsidR="0014664F">
                              <w:rPr>
                                <w:rFonts w:cs="Arial"/>
                                <w:sz w:val="20"/>
                              </w:rPr>
                              <w:t>1</w:t>
                            </w:r>
                            <w:r>
                              <w:rPr>
                                <w:rFonts w:cs="Arial"/>
                                <w:sz w:val="20"/>
                              </w:rPr>
                              <w:t>. 20</w:t>
                            </w:r>
                            <w:r w:rsidR="008E2E55">
                              <w:rPr>
                                <w:rFonts w:cs="Arial"/>
                                <w:sz w:val="20"/>
                              </w:rPr>
                              <w:t>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BC2401" id="_x0000_t202" coordsize="21600,21600" o:spt="202" path="m,l,21600r21600,l21600,xe">
                <v:stroke joinstyle="miter"/>
                <v:path gradientshapeok="t" o:connecttype="rect"/>
              </v:shapetype>
              <v:shape id="Polje z besedilom 2" o:spid="_x0000_s1027" type="#_x0000_t202" style="position:absolute;left:0;text-align:left;margin-left:16.2pt;margin-top:1.2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" stroked="f">
                <v:textbox style="mso-fit-shape-to-text:t">
                  <w:txbxContent>
                    <w:p w14:paraId="0FEB7984" w14:textId="612B78ED" w:rsidR="00960783" w:rsidRPr="00CC7F22" w:rsidRDefault="00043F80" w:rsidP="00CC7F22">
                      <w:pPr>
                        <w:spacing w:after="120" w:line="240" w:lineRule="auto"/>
                        <w:rPr>
                          <w:rFonts w:cs="Arial"/>
                          <w:sz w:val="20"/>
                        </w:rPr>
                      </w:pPr>
                      <w:r>
                        <w:rPr>
                          <w:rFonts w:cs="Arial"/>
                          <w:sz w:val="20"/>
                        </w:rPr>
                        <w:t xml:space="preserve">Št.: </w:t>
                      </w:r>
                      <w:r w:rsidR="0014664F" w:rsidRPr="0014664F">
                        <w:rPr>
                          <w:rFonts w:cs="Arial"/>
                          <w:b/>
                          <w:bCs/>
                          <w:sz w:val="20"/>
                        </w:rPr>
                        <w:t>U34335-17/2023</w:t>
                      </w:r>
                    </w:p>
                    <w:p w14:paraId="0B0EFADE" w14:textId="29CE009A" w:rsidR="00960783" w:rsidRPr="00CC7F22" w:rsidRDefault="00960783" w:rsidP="00CC7F22">
                      <w:pPr>
                        <w:spacing w:after="120" w:line="240" w:lineRule="auto"/>
                        <w:rPr>
                          <w:rFonts w:cs="Arial"/>
                          <w:sz w:val="20"/>
                        </w:rPr>
                      </w:pPr>
                      <w:r>
                        <w:rPr>
                          <w:rFonts w:cs="Arial"/>
                          <w:sz w:val="20"/>
                        </w:rPr>
                        <w:t xml:space="preserve">Datum: </w:t>
                      </w:r>
                      <w:r w:rsidR="0014664F">
                        <w:rPr>
                          <w:rFonts w:cs="Arial"/>
                          <w:sz w:val="20"/>
                        </w:rPr>
                        <w:t>15</w:t>
                      </w:r>
                      <w:r>
                        <w:rPr>
                          <w:rFonts w:cs="Arial"/>
                          <w:sz w:val="20"/>
                        </w:rPr>
                        <w:t>. 1</w:t>
                      </w:r>
                      <w:r w:rsidR="0014664F">
                        <w:rPr>
                          <w:rFonts w:cs="Arial"/>
                          <w:sz w:val="20"/>
                        </w:rPr>
                        <w:t>1</w:t>
                      </w:r>
                      <w:r>
                        <w:rPr>
                          <w:rFonts w:cs="Arial"/>
                          <w:sz w:val="20"/>
                        </w:rPr>
                        <w:t>. 20</w:t>
                      </w:r>
                      <w:r w:rsidR="008E2E55">
                        <w:rPr>
                          <w:rFonts w:cs="Arial"/>
                          <w:sz w:val="20"/>
                        </w:rPr>
                        <w:t>23</w:t>
                      </w:r>
                    </w:p>
                  </w:txbxContent>
                </v:textbox>
                <w10:wrap type="square"/>
              </v:shape>
            </w:pict>
          </mc:Fallback>
        </mc:AlternateContent>
      </w:r>
    </w:p>
    <w:sdt>
      <w:sdtPr>
        <w:rPr>
          <w:rFonts w:cs="Arial"/>
        </w:rPr>
        <w:id w:val="-1324268530"/>
        <w:docPartObj>
          <w:docPartGallery w:val="Cover Pages"/>
          <w:docPartUnique/>
        </w:docPartObj>
      </w:sdtPr>
      <w:sdtEndPr/>
      <w:sdtContent>
        <w:p w14:paraId="26CC3305" w14:textId="4644AEA8" w:rsidR="00CD5752" w:rsidRPr="003150A7" w:rsidRDefault="00CD5752">
          <w:pPr>
            <w:rPr>
              <w:rFonts w:cs="Arial"/>
            </w:rPr>
          </w:pPr>
        </w:p>
        <w:p w14:paraId="02CE04DC" w14:textId="06545618" w:rsidR="00CD5752" w:rsidRPr="003150A7" w:rsidRDefault="00CD5752">
          <w:pPr>
            <w:spacing w:after="0" w:line="240" w:lineRule="auto"/>
            <w:rPr>
              <w:rFonts w:cs="Arial"/>
            </w:rPr>
          </w:pPr>
          <w:r w:rsidRPr="003150A7">
            <w:rPr>
              <w:rFonts w:cs="Arial"/>
              <w:noProof/>
            </w:rPr>
            <mc:AlternateContent>
              <mc:Choice Requires="wps">
                <w:drawing>
                  <wp:anchor distT="0" distB="0" distL="182880" distR="182880" simplePos="0" relativeHeight="251660288" behindDoc="0" locked="0" layoutInCell="1" allowOverlap="1" wp14:anchorId="5681C3C6" wp14:editId="0F1418B3">
                    <wp:simplePos x="0" y="0"/>
                    <wp:positionH relativeFrom="margin">
                      <wp:posOffset>-41980</wp:posOffset>
                    </wp:positionH>
                    <wp:positionV relativeFrom="page">
                      <wp:posOffset>5163750</wp:posOffset>
                    </wp:positionV>
                    <wp:extent cx="6133465" cy="6720840"/>
                    <wp:effectExtent l="0" t="0" r="635" b="9525"/>
                    <wp:wrapSquare wrapText="bothSides"/>
                    <wp:docPr id="131" name="Polje z besedilom 131"/>
                    <wp:cNvGraphicFramePr/>
                    <a:graphic xmlns:a="http://schemas.openxmlformats.org/drawingml/2006/main">
                      <a:graphicData uri="http://schemas.microsoft.com/office/word/2010/wordprocessingShape">
                        <wps:wsp>
                          <wps:cNvSpPr txBox="1"/>
                          <wps:spPr>
                            <a:xfrm>
                              <a:off x="0" y="0"/>
                              <a:ext cx="613346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12F3A" w14:textId="32DA4BFC" w:rsidR="00960783" w:rsidRDefault="00960783" w:rsidP="002F1F70">
                                <w:pPr>
                                  <w:pStyle w:val="Brezrazmikov"/>
                                  <w:spacing w:before="40" w:after="560" w:line="216" w:lineRule="auto"/>
                                  <w:jc w:val="center"/>
                                  <w:rPr>
                                    <w:color w:val="4F81BD" w:themeColor="accent1"/>
                                    <w:sz w:val="72"/>
                                    <w:szCs w:val="72"/>
                                  </w:rPr>
                                </w:pPr>
                                <w:r>
                                  <w:rPr>
                                    <w:color w:val="4F81BD" w:themeColor="accent1"/>
                                    <w:sz w:val="72"/>
                                    <w:szCs w:val="72"/>
                                  </w:rPr>
                                  <w:t>Nacionalni akcijski program za doseganje trajnostne rabe FFS</w:t>
                                </w:r>
                              </w:p>
                              <w:sdt>
                                <w:sdtPr>
                                  <w:rPr>
                                    <w:color w:val="4F81BD" w:themeColor="accent1"/>
                                    <w:sz w:val="72"/>
                                    <w:szCs w:val="72"/>
                                  </w:rPr>
                                  <w:alias w:val="Podnaslov"/>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35D9F43" w14:textId="0A7A8406" w:rsidR="00960783" w:rsidRDefault="00B758E4" w:rsidP="002F1F70">
                                    <w:pPr>
                                      <w:pStyle w:val="Brezrazmikov"/>
                                      <w:spacing w:before="40" w:after="40"/>
                                      <w:jc w:val="center"/>
                                      <w:rPr>
                                        <w:caps/>
                                        <w:color w:val="215868" w:themeColor="accent5" w:themeShade="80"/>
                                        <w:sz w:val="28"/>
                                        <w:szCs w:val="28"/>
                                      </w:rPr>
                                    </w:pPr>
                                    <w:r>
                                      <w:rPr>
                                        <w:color w:val="4F81BD" w:themeColor="accent1"/>
                                        <w:sz w:val="72"/>
                                        <w:szCs w:val="72"/>
                                      </w:rPr>
                                      <w:t>Končno poročilo o napredku za obdobje 2018 – 202</w:t>
                                    </w:r>
                                    <w:r w:rsidR="00F54F4D">
                                      <w:rPr>
                                        <w:color w:val="4F81BD" w:themeColor="accent1"/>
                                        <w:sz w:val="72"/>
                                        <w:szCs w:val="72"/>
                                      </w:rPr>
                                      <w:t>2</w:t>
                                    </w:r>
                                  </w:p>
                                </w:sdtContent>
                              </w:sdt>
                              <w:sdt>
                                <w:sdtPr>
                                  <w:rPr>
                                    <w:caps/>
                                    <w:color w:val="4BACC6" w:themeColor="accent5"/>
                                    <w:sz w:val="24"/>
                                    <w:szCs w:val="24"/>
                                  </w:rPr>
                                  <w:alias w:val="Av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9B382FD" w14:textId="77777777" w:rsidR="00960783" w:rsidRDefault="00960783" w:rsidP="00306840">
                                    <w:pPr>
                                      <w:pStyle w:val="Brezrazmikov"/>
                                      <w:spacing w:before="80" w:after="40"/>
                                      <w:jc w:val="center"/>
                                      <w:rPr>
                                        <w:caps/>
                                        <w:color w:val="4BACC6" w:themeColor="accent5"/>
                                        <w:sz w:val="24"/>
                                        <w:szCs w:val="24"/>
                                      </w:rPr>
                                    </w:pPr>
                                    <w:r>
                                      <w:rPr>
                                        <w:caps/>
                                        <w:color w:val="4BACC6" w:themeColor="accent5"/>
                                        <w:sz w:val="24"/>
                                        <w:szCs w:val="24"/>
                                      </w:rPr>
                                      <w:t>MKGP, UVHVVR</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5681C3C6" id="Polje z besedilom 131" o:spid="_x0000_s1028" type="#_x0000_t202" style="position:absolute;left:0;text-align:left;margin-left:-3.3pt;margin-top:406.6pt;width:482.9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" filled="f" stroked="f" strokeweight=".5pt">
                    <v:textbox style="mso-fit-shape-to-text:t" inset="0,0,0,0">
                      <w:txbxContent>
                        <w:p w14:paraId="58612F3A" w14:textId="32DA4BFC" w:rsidR="00960783" w:rsidRDefault="00960783" w:rsidP="002F1F70">
                          <w:pPr>
                            <w:pStyle w:val="Brezrazmikov"/>
                            <w:spacing w:before="40" w:after="560" w:line="216" w:lineRule="auto"/>
                            <w:jc w:val="center"/>
                            <w:rPr>
                              <w:color w:val="4F81BD" w:themeColor="accent1"/>
                              <w:sz w:val="72"/>
                              <w:szCs w:val="72"/>
                            </w:rPr>
                          </w:pPr>
                          <w:r>
                            <w:rPr>
                              <w:color w:val="4F81BD" w:themeColor="accent1"/>
                              <w:sz w:val="72"/>
                              <w:szCs w:val="72"/>
                            </w:rPr>
                            <w:t>Nacionalni akcijski program za doseganje trajnostne rabe FFS</w:t>
                          </w:r>
                        </w:p>
                        <w:sdt>
                          <w:sdtPr>
                            <w:rPr>
                              <w:color w:val="4F81BD" w:themeColor="accent1"/>
                              <w:sz w:val="72"/>
                              <w:szCs w:val="72"/>
                            </w:rPr>
                            <w:alias w:val="Podnaslov"/>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35D9F43" w14:textId="0A7A8406" w:rsidR="00960783" w:rsidRDefault="00B758E4" w:rsidP="002F1F70">
                              <w:pPr>
                                <w:pStyle w:val="Brezrazmikov"/>
                                <w:spacing w:before="40" w:after="40"/>
                                <w:jc w:val="center"/>
                                <w:rPr>
                                  <w:caps/>
                                  <w:color w:val="215868" w:themeColor="accent5" w:themeShade="80"/>
                                  <w:sz w:val="28"/>
                                  <w:szCs w:val="28"/>
                                </w:rPr>
                              </w:pPr>
                              <w:r>
                                <w:rPr>
                                  <w:color w:val="4F81BD" w:themeColor="accent1"/>
                                  <w:sz w:val="72"/>
                                  <w:szCs w:val="72"/>
                                </w:rPr>
                                <w:t>Končno poročilo o napredku za obdobje 2018 – 202</w:t>
                              </w:r>
                              <w:r w:rsidR="00F54F4D">
                                <w:rPr>
                                  <w:color w:val="4F81BD" w:themeColor="accent1"/>
                                  <w:sz w:val="72"/>
                                  <w:szCs w:val="72"/>
                                </w:rPr>
                                <w:t>2</w:t>
                              </w:r>
                            </w:p>
                          </w:sdtContent>
                        </w:sdt>
                        <w:sdt>
                          <w:sdtPr>
                            <w:rPr>
                              <w:caps/>
                              <w:color w:val="4BACC6" w:themeColor="accent5"/>
                              <w:sz w:val="24"/>
                              <w:szCs w:val="24"/>
                            </w:rPr>
                            <w:alias w:val="Av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9B382FD" w14:textId="77777777" w:rsidR="00960783" w:rsidRDefault="00960783" w:rsidP="00306840">
                              <w:pPr>
                                <w:pStyle w:val="Brezrazmikov"/>
                                <w:spacing w:before="80" w:after="40"/>
                                <w:jc w:val="center"/>
                                <w:rPr>
                                  <w:caps/>
                                  <w:color w:val="4BACC6" w:themeColor="accent5"/>
                                  <w:sz w:val="24"/>
                                  <w:szCs w:val="24"/>
                                </w:rPr>
                              </w:pPr>
                              <w:r>
                                <w:rPr>
                                  <w:caps/>
                                  <w:color w:val="4BACC6" w:themeColor="accent5"/>
                                  <w:sz w:val="24"/>
                                  <w:szCs w:val="24"/>
                                </w:rPr>
                                <w:t>MKGP, UVHVVR</w:t>
                              </w:r>
                            </w:p>
                          </w:sdtContent>
                        </w:sdt>
                      </w:txbxContent>
                    </v:textbox>
                    <w10:wrap type="square" anchorx="margin" anchory="page"/>
                  </v:shape>
                </w:pict>
              </mc:Fallback>
            </mc:AlternateContent>
          </w:r>
          <w:r w:rsidRPr="003150A7">
            <w:rPr>
              <w:rFonts w:cs="Arial"/>
            </w:rPr>
            <w:br w:type="page"/>
          </w:r>
        </w:p>
      </w:sdtContent>
    </w:sdt>
    <w:sdt>
      <w:sdtPr>
        <w:rPr>
          <w:rFonts w:ascii="Calibri" w:eastAsia="Calibri" w:hAnsi="Calibri" w:cs="Times New Roman"/>
          <w:color w:val="auto"/>
          <w:sz w:val="22"/>
          <w:szCs w:val="22"/>
          <w:lang w:val="en-GB" w:eastAsia="en-US"/>
        </w:rPr>
        <w:id w:val="74169115"/>
        <w:docPartObj>
          <w:docPartGallery w:val="Table of Contents"/>
          <w:docPartUnique/>
        </w:docPartObj>
      </w:sdtPr>
      <w:sdtEndPr>
        <w:rPr>
          <w:rFonts w:ascii="Arial" w:hAnsi="Arial"/>
          <w:b/>
          <w:bCs/>
          <w:szCs w:val="20"/>
          <w:lang w:val="sl-SI" w:eastAsia="sl-SI"/>
        </w:rPr>
      </w:sdtEndPr>
      <w:sdtContent>
        <w:p w14:paraId="283A88D2" w14:textId="4075CC91" w:rsidR="0036307E" w:rsidRDefault="0036307E">
          <w:pPr>
            <w:pStyle w:val="NaslovTOC"/>
          </w:pPr>
          <w:r>
            <w:t>Vsebina</w:t>
          </w:r>
        </w:p>
        <w:p w14:paraId="40BCABD0" w14:textId="781A93F1" w:rsidR="00B72482" w:rsidRDefault="0036307E">
          <w:pPr>
            <w:pStyle w:val="Kazalovsebine3"/>
            <w:rPr>
              <w:rFonts w:asciiTheme="minorHAnsi" w:eastAsiaTheme="minorEastAsia" w:hAnsiTheme="minorHAnsi" w:cstheme="minorBidi"/>
              <w:noProof/>
              <w:kern w:val="2"/>
              <w:szCs w:val="22"/>
              <w14:ligatures w14:val="standardContextual"/>
            </w:rPr>
          </w:pPr>
          <w:r>
            <w:fldChar w:fldCharType="begin"/>
          </w:r>
          <w:r>
            <w:instrText xml:space="preserve"> TOC \o "1-3" \h \z \u </w:instrText>
          </w:r>
          <w:r>
            <w:fldChar w:fldCharType="separate"/>
          </w:r>
          <w:hyperlink w:anchor="_Toc170816406" w:history="1">
            <w:r w:rsidR="00B72482" w:rsidRPr="0062272E">
              <w:rPr>
                <w:rStyle w:val="Hiperpovezava"/>
                <w:noProof/>
              </w:rPr>
              <w:t>Uvod</w:t>
            </w:r>
            <w:r w:rsidR="00B72482">
              <w:rPr>
                <w:noProof/>
                <w:webHidden/>
              </w:rPr>
              <w:tab/>
            </w:r>
            <w:r w:rsidR="00B72482">
              <w:rPr>
                <w:noProof/>
                <w:webHidden/>
              </w:rPr>
              <w:fldChar w:fldCharType="begin"/>
            </w:r>
            <w:r w:rsidR="00B72482">
              <w:rPr>
                <w:noProof/>
                <w:webHidden/>
              </w:rPr>
              <w:instrText xml:space="preserve"> PAGEREF _Toc170816406 \h </w:instrText>
            </w:r>
            <w:r w:rsidR="00B72482">
              <w:rPr>
                <w:noProof/>
                <w:webHidden/>
              </w:rPr>
            </w:r>
            <w:r w:rsidR="00B72482">
              <w:rPr>
                <w:noProof/>
                <w:webHidden/>
              </w:rPr>
              <w:fldChar w:fldCharType="separate"/>
            </w:r>
            <w:r w:rsidR="00B72482">
              <w:rPr>
                <w:noProof/>
                <w:webHidden/>
              </w:rPr>
              <w:t>4</w:t>
            </w:r>
            <w:r w:rsidR="00B72482">
              <w:rPr>
                <w:noProof/>
                <w:webHidden/>
              </w:rPr>
              <w:fldChar w:fldCharType="end"/>
            </w:r>
          </w:hyperlink>
        </w:p>
        <w:p w14:paraId="21181771" w14:textId="22B35B7E"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07" w:history="1">
            <w:r w:rsidR="00B72482" w:rsidRPr="0062272E">
              <w:rPr>
                <w:rStyle w:val="Hiperpovezava"/>
                <w:rFonts w:eastAsiaTheme="majorEastAsia"/>
                <w:noProof/>
              </w:rPr>
              <w:t>Cilji, opredeljeni v NAP za obdobje 2018 – 2022</w:t>
            </w:r>
            <w:r w:rsidR="00B72482" w:rsidRPr="0062272E">
              <w:rPr>
                <w:rStyle w:val="Hiperpovezava"/>
                <w:noProof/>
              </w:rPr>
              <w:t>:</w:t>
            </w:r>
            <w:r w:rsidR="00B72482">
              <w:rPr>
                <w:noProof/>
                <w:webHidden/>
              </w:rPr>
              <w:tab/>
            </w:r>
            <w:r w:rsidR="00B72482">
              <w:rPr>
                <w:noProof/>
                <w:webHidden/>
              </w:rPr>
              <w:fldChar w:fldCharType="begin"/>
            </w:r>
            <w:r w:rsidR="00B72482">
              <w:rPr>
                <w:noProof/>
                <w:webHidden/>
              </w:rPr>
              <w:instrText xml:space="preserve"> PAGEREF _Toc170816407 \h </w:instrText>
            </w:r>
            <w:r w:rsidR="00B72482">
              <w:rPr>
                <w:noProof/>
                <w:webHidden/>
              </w:rPr>
            </w:r>
            <w:r w:rsidR="00B72482">
              <w:rPr>
                <w:noProof/>
                <w:webHidden/>
              </w:rPr>
              <w:fldChar w:fldCharType="separate"/>
            </w:r>
            <w:r w:rsidR="00B72482">
              <w:rPr>
                <w:noProof/>
                <w:webHidden/>
              </w:rPr>
              <w:t>4</w:t>
            </w:r>
            <w:r w:rsidR="00B72482">
              <w:rPr>
                <w:noProof/>
                <w:webHidden/>
              </w:rPr>
              <w:fldChar w:fldCharType="end"/>
            </w:r>
          </w:hyperlink>
        </w:p>
        <w:p w14:paraId="34480B77" w14:textId="5A6F147B"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08" w:history="1">
            <w:r w:rsidR="00B72482" w:rsidRPr="0062272E">
              <w:rPr>
                <w:rStyle w:val="Hiperpovezava"/>
                <w:noProof/>
              </w:rPr>
              <w:t>Promet in uporaba FFS</w:t>
            </w:r>
            <w:r w:rsidR="00B72482">
              <w:rPr>
                <w:noProof/>
                <w:webHidden/>
              </w:rPr>
              <w:tab/>
            </w:r>
            <w:r w:rsidR="00B72482">
              <w:rPr>
                <w:noProof/>
                <w:webHidden/>
              </w:rPr>
              <w:fldChar w:fldCharType="begin"/>
            </w:r>
            <w:r w:rsidR="00B72482">
              <w:rPr>
                <w:noProof/>
                <w:webHidden/>
              </w:rPr>
              <w:instrText xml:space="preserve"> PAGEREF _Toc170816408 \h </w:instrText>
            </w:r>
            <w:r w:rsidR="00B72482">
              <w:rPr>
                <w:noProof/>
                <w:webHidden/>
              </w:rPr>
            </w:r>
            <w:r w:rsidR="00B72482">
              <w:rPr>
                <w:noProof/>
                <w:webHidden/>
              </w:rPr>
              <w:fldChar w:fldCharType="separate"/>
            </w:r>
            <w:r w:rsidR="00B72482">
              <w:rPr>
                <w:noProof/>
                <w:webHidden/>
              </w:rPr>
              <w:t>5</w:t>
            </w:r>
            <w:r w:rsidR="00B72482">
              <w:rPr>
                <w:noProof/>
                <w:webHidden/>
              </w:rPr>
              <w:fldChar w:fldCharType="end"/>
            </w:r>
          </w:hyperlink>
        </w:p>
        <w:p w14:paraId="4AEC9DA9" w14:textId="0CF1F1D8"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09" w:history="1">
            <w:r w:rsidR="00B72482" w:rsidRPr="0062272E">
              <w:rPr>
                <w:rStyle w:val="Hiperpovezava"/>
                <w:noProof/>
              </w:rPr>
              <w:t>Promet FFS, ki vsebujejo aktivne snovi, ki so kandidatke za zamenjavo</w:t>
            </w:r>
            <w:r w:rsidR="00B72482">
              <w:rPr>
                <w:noProof/>
                <w:webHidden/>
              </w:rPr>
              <w:tab/>
            </w:r>
            <w:r w:rsidR="00B72482">
              <w:rPr>
                <w:noProof/>
                <w:webHidden/>
              </w:rPr>
              <w:fldChar w:fldCharType="begin"/>
            </w:r>
            <w:r w:rsidR="00B72482">
              <w:rPr>
                <w:noProof/>
                <w:webHidden/>
              </w:rPr>
              <w:instrText xml:space="preserve"> PAGEREF _Toc170816409 \h </w:instrText>
            </w:r>
            <w:r w:rsidR="00B72482">
              <w:rPr>
                <w:noProof/>
                <w:webHidden/>
              </w:rPr>
            </w:r>
            <w:r w:rsidR="00B72482">
              <w:rPr>
                <w:noProof/>
                <w:webHidden/>
              </w:rPr>
              <w:fldChar w:fldCharType="separate"/>
            </w:r>
            <w:r w:rsidR="00B72482">
              <w:rPr>
                <w:noProof/>
                <w:webHidden/>
              </w:rPr>
              <w:t>8</w:t>
            </w:r>
            <w:r w:rsidR="00B72482">
              <w:rPr>
                <w:noProof/>
                <w:webHidden/>
              </w:rPr>
              <w:fldChar w:fldCharType="end"/>
            </w:r>
          </w:hyperlink>
        </w:p>
        <w:p w14:paraId="72693688" w14:textId="7F837607"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10" w:history="1">
            <w:r w:rsidR="00B72482" w:rsidRPr="0062272E">
              <w:rPr>
                <w:rStyle w:val="Hiperpovezava"/>
                <w:noProof/>
              </w:rPr>
              <w:t>Promet FFS na podlagi mikroorganizmov</w:t>
            </w:r>
            <w:r w:rsidR="00B72482">
              <w:rPr>
                <w:noProof/>
                <w:webHidden/>
              </w:rPr>
              <w:tab/>
            </w:r>
            <w:r w:rsidR="00B72482">
              <w:rPr>
                <w:noProof/>
                <w:webHidden/>
              </w:rPr>
              <w:fldChar w:fldCharType="begin"/>
            </w:r>
            <w:r w:rsidR="00B72482">
              <w:rPr>
                <w:noProof/>
                <w:webHidden/>
              </w:rPr>
              <w:instrText xml:space="preserve"> PAGEREF _Toc170816410 \h </w:instrText>
            </w:r>
            <w:r w:rsidR="00B72482">
              <w:rPr>
                <w:noProof/>
                <w:webHidden/>
              </w:rPr>
            </w:r>
            <w:r w:rsidR="00B72482">
              <w:rPr>
                <w:noProof/>
                <w:webHidden/>
              </w:rPr>
              <w:fldChar w:fldCharType="separate"/>
            </w:r>
            <w:r w:rsidR="00B72482">
              <w:rPr>
                <w:noProof/>
                <w:webHidden/>
              </w:rPr>
              <w:t>9</w:t>
            </w:r>
            <w:r w:rsidR="00B72482">
              <w:rPr>
                <w:noProof/>
                <w:webHidden/>
              </w:rPr>
              <w:fldChar w:fldCharType="end"/>
            </w:r>
          </w:hyperlink>
        </w:p>
        <w:p w14:paraId="495DECF4" w14:textId="6BAF526F"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11" w:history="1">
            <w:r w:rsidR="00B72482" w:rsidRPr="0062272E">
              <w:rPr>
                <w:rStyle w:val="Hiperpovezava"/>
                <w:noProof/>
              </w:rPr>
              <w:t>Omejitev dostopnosti FFS za poklicno uporabo nepoklicnim uporabnikom</w:t>
            </w:r>
            <w:r w:rsidR="00B72482">
              <w:rPr>
                <w:noProof/>
                <w:webHidden/>
              </w:rPr>
              <w:tab/>
            </w:r>
            <w:r w:rsidR="00B72482">
              <w:rPr>
                <w:noProof/>
                <w:webHidden/>
              </w:rPr>
              <w:fldChar w:fldCharType="begin"/>
            </w:r>
            <w:r w:rsidR="00B72482">
              <w:rPr>
                <w:noProof/>
                <w:webHidden/>
              </w:rPr>
              <w:instrText xml:space="preserve"> PAGEREF _Toc170816411 \h </w:instrText>
            </w:r>
            <w:r w:rsidR="00B72482">
              <w:rPr>
                <w:noProof/>
                <w:webHidden/>
              </w:rPr>
            </w:r>
            <w:r w:rsidR="00B72482">
              <w:rPr>
                <w:noProof/>
                <w:webHidden/>
              </w:rPr>
              <w:fldChar w:fldCharType="separate"/>
            </w:r>
            <w:r w:rsidR="00B72482">
              <w:rPr>
                <w:noProof/>
                <w:webHidden/>
              </w:rPr>
              <w:t>10</w:t>
            </w:r>
            <w:r w:rsidR="00B72482">
              <w:rPr>
                <w:noProof/>
                <w:webHidden/>
              </w:rPr>
              <w:fldChar w:fldCharType="end"/>
            </w:r>
          </w:hyperlink>
        </w:p>
        <w:p w14:paraId="335815B2" w14:textId="19A8ADF1"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12" w:history="1">
            <w:r w:rsidR="00B72482" w:rsidRPr="0062272E">
              <w:rPr>
                <w:rStyle w:val="Hiperpovezava"/>
                <w:noProof/>
              </w:rPr>
              <w:t>Ocena količine nedovoljenih FFS v prometu</w:t>
            </w:r>
            <w:r w:rsidR="00B72482">
              <w:rPr>
                <w:noProof/>
                <w:webHidden/>
              </w:rPr>
              <w:tab/>
            </w:r>
            <w:r w:rsidR="00B72482">
              <w:rPr>
                <w:noProof/>
                <w:webHidden/>
              </w:rPr>
              <w:fldChar w:fldCharType="begin"/>
            </w:r>
            <w:r w:rsidR="00B72482">
              <w:rPr>
                <w:noProof/>
                <w:webHidden/>
              </w:rPr>
              <w:instrText xml:space="preserve"> PAGEREF _Toc170816412 \h </w:instrText>
            </w:r>
            <w:r w:rsidR="00B72482">
              <w:rPr>
                <w:noProof/>
                <w:webHidden/>
              </w:rPr>
            </w:r>
            <w:r w:rsidR="00B72482">
              <w:rPr>
                <w:noProof/>
                <w:webHidden/>
              </w:rPr>
              <w:fldChar w:fldCharType="separate"/>
            </w:r>
            <w:r w:rsidR="00B72482">
              <w:rPr>
                <w:noProof/>
                <w:webHidden/>
              </w:rPr>
              <w:t>10</w:t>
            </w:r>
            <w:r w:rsidR="00B72482">
              <w:rPr>
                <w:noProof/>
                <w:webHidden/>
              </w:rPr>
              <w:fldChar w:fldCharType="end"/>
            </w:r>
          </w:hyperlink>
        </w:p>
        <w:p w14:paraId="55452B53" w14:textId="48402B16"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13" w:history="1">
            <w:r w:rsidR="00B72482" w:rsidRPr="0062272E">
              <w:rPr>
                <w:rStyle w:val="Hiperpovezava"/>
                <w:noProof/>
              </w:rPr>
              <w:t>Delež vzorcev kmetijskih pridelkov in živil s preseženimi ostanki pesticidov</w:t>
            </w:r>
            <w:r w:rsidR="00B72482">
              <w:rPr>
                <w:noProof/>
                <w:webHidden/>
              </w:rPr>
              <w:tab/>
            </w:r>
            <w:r w:rsidR="00B72482">
              <w:rPr>
                <w:noProof/>
                <w:webHidden/>
              </w:rPr>
              <w:fldChar w:fldCharType="begin"/>
            </w:r>
            <w:r w:rsidR="00B72482">
              <w:rPr>
                <w:noProof/>
                <w:webHidden/>
              </w:rPr>
              <w:instrText xml:space="preserve"> PAGEREF _Toc170816413 \h </w:instrText>
            </w:r>
            <w:r w:rsidR="00B72482">
              <w:rPr>
                <w:noProof/>
                <w:webHidden/>
              </w:rPr>
            </w:r>
            <w:r w:rsidR="00B72482">
              <w:rPr>
                <w:noProof/>
                <w:webHidden/>
              </w:rPr>
              <w:fldChar w:fldCharType="separate"/>
            </w:r>
            <w:r w:rsidR="00B72482">
              <w:rPr>
                <w:noProof/>
                <w:webHidden/>
              </w:rPr>
              <w:t>10</w:t>
            </w:r>
            <w:r w:rsidR="00B72482">
              <w:rPr>
                <w:noProof/>
                <w:webHidden/>
              </w:rPr>
              <w:fldChar w:fldCharType="end"/>
            </w:r>
          </w:hyperlink>
        </w:p>
        <w:p w14:paraId="599BEAF0" w14:textId="42B4134D"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14" w:history="1">
            <w:r w:rsidR="00B72482" w:rsidRPr="0062272E">
              <w:rPr>
                <w:rStyle w:val="Hiperpovezava"/>
                <w:noProof/>
              </w:rPr>
              <w:t>Vzorčenje pitne vode in podzemne vode</w:t>
            </w:r>
            <w:r w:rsidR="00B72482">
              <w:rPr>
                <w:noProof/>
                <w:webHidden/>
              </w:rPr>
              <w:tab/>
            </w:r>
            <w:r w:rsidR="00B72482">
              <w:rPr>
                <w:noProof/>
                <w:webHidden/>
              </w:rPr>
              <w:fldChar w:fldCharType="begin"/>
            </w:r>
            <w:r w:rsidR="00B72482">
              <w:rPr>
                <w:noProof/>
                <w:webHidden/>
              </w:rPr>
              <w:instrText xml:space="preserve"> PAGEREF _Toc170816414 \h </w:instrText>
            </w:r>
            <w:r w:rsidR="00B72482">
              <w:rPr>
                <w:noProof/>
                <w:webHidden/>
              </w:rPr>
            </w:r>
            <w:r w:rsidR="00B72482">
              <w:rPr>
                <w:noProof/>
                <w:webHidden/>
              </w:rPr>
              <w:fldChar w:fldCharType="separate"/>
            </w:r>
            <w:r w:rsidR="00B72482">
              <w:rPr>
                <w:noProof/>
                <w:webHidden/>
              </w:rPr>
              <w:t>11</w:t>
            </w:r>
            <w:r w:rsidR="00B72482">
              <w:rPr>
                <w:noProof/>
                <w:webHidden/>
              </w:rPr>
              <w:fldChar w:fldCharType="end"/>
            </w:r>
          </w:hyperlink>
        </w:p>
        <w:p w14:paraId="4D90E695" w14:textId="73146010"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15" w:history="1">
            <w:r w:rsidR="00B72482" w:rsidRPr="0062272E">
              <w:rPr>
                <w:rStyle w:val="Hiperpovezava"/>
                <w:noProof/>
              </w:rPr>
              <w:t>Tretiranje iz zraka</w:t>
            </w:r>
            <w:r w:rsidR="00B72482">
              <w:rPr>
                <w:noProof/>
                <w:webHidden/>
              </w:rPr>
              <w:tab/>
            </w:r>
            <w:r w:rsidR="00B72482">
              <w:rPr>
                <w:noProof/>
                <w:webHidden/>
              </w:rPr>
              <w:fldChar w:fldCharType="begin"/>
            </w:r>
            <w:r w:rsidR="00B72482">
              <w:rPr>
                <w:noProof/>
                <w:webHidden/>
              </w:rPr>
              <w:instrText xml:space="preserve"> PAGEREF _Toc170816415 \h </w:instrText>
            </w:r>
            <w:r w:rsidR="00B72482">
              <w:rPr>
                <w:noProof/>
                <w:webHidden/>
              </w:rPr>
            </w:r>
            <w:r w:rsidR="00B72482">
              <w:rPr>
                <w:noProof/>
                <w:webHidden/>
              </w:rPr>
              <w:fldChar w:fldCharType="separate"/>
            </w:r>
            <w:r w:rsidR="00B72482">
              <w:rPr>
                <w:noProof/>
                <w:webHidden/>
              </w:rPr>
              <w:t>12</w:t>
            </w:r>
            <w:r w:rsidR="00B72482">
              <w:rPr>
                <w:noProof/>
                <w:webHidden/>
              </w:rPr>
              <w:fldChar w:fldCharType="end"/>
            </w:r>
          </w:hyperlink>
        </w:p>
        <w:p w14:paraId="4AEAC376" w14:textId="17C93260"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16" w:history="1">
            <w:r w:rsidR="00B72482" w:rsidRPr="0062272E">
              <w:rPr>
                <w:rStyle w:val="Hiperpovezava"/>
                <w:noProof/>
              </w:rPr>
              <w:t>Naprave za nanašanje FFS</w:t>
            </w:r>
            <w:r w:rsidR="00B72482">
              <w:rPr>
                <w:noProof/>
                <w:webHidden/>
              </w:rPr>
              <w:tab/>
            </w:r>
            <w:r w:rsidR="00B72482">
              <w:rPr>
                <w:noProof/>
                <w:webHidden/>
              </w:rPr>
              <w:fldChar w:fldCharType="begin"/>
            </w:r>
            <w:r w:rsidR="00B72482">
              <w:rPr>
                <w:noProof/>
                <w:webHidden/>
              </w:rPr>
              <w:instrText xml:space="preserve"> PAGEREF _Toc170816416 \h </w:instrText>
            </w:r>
            <w:r w:rsidR="00B72482">
              <w:rPr>
                <w:noProof/>
                <w:webHidden/>
              </w:rPr>
            </w:r>
            <w:r w:rsidR="00B72482">
              <w:rPr>
                <w:noProof/>
                <w:webHidden/>
              </w:rPr>
              <w:fldChar w:fldCharType="separate"/>
            </w:r>
            <w:r w:rsidR="00B72482">
              <w:rPr>
                <w:noProof/>
                <w:webHidden/>
              </w:rPr>
              <w:t>12</w:t>
            </w:r>
            <w:r w:rsidR="00B72482">
              <w:rPr>
                <w:noProof/>
                <w:webHidden/>
              </w:rPr>
              <w:fldChar w:fldCharType="end"/>
            </w:r>
          </w:hyperlink>
        </w:p>
        <w:p w14:paraId="2B595DD6" w14:textId="4382925D"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17" w:history="1">
            <w:r w:rsidR="00B72482" w:rsidRPr="0062272E">
              <w:rPr>
                <w:rStyle w:val="Hiperpovezava"/>
                <w:noProof/>
              </w:rPr>
              <w:t>Usposabljanje za ravnanje s FFS</w:t>
            </w:r>
            <w:r w:rsidR="00B72482">
              <w:rPr>
                <w:noProof/>
                <w:webHidden/>
              </w:rPr>
              <w:tab/>
            </w:r>
            <w:r w:rsidR="00B72482">
              <w:rPr>
                <w:noProof/>
                <w:webHidden/>
              </w:rPr>
              <w:fldChar w:fldCharType="begin"/>
            </w:r>
            <w:r w:rsidR="00B72482">
              <w:rPr>
                <w:noProof/>
                <w:webHidden/>
              </w:rPr>
              <w:instrText xml:space="preserve"> PAGEREF _Toc170816417 \h </w:instrText>
            </w:r>
            <w:r w:rsidR="00B72482">
              <w:rPr>
                <w:noProof/>
                <w:webHidden/>
              </w:rPr>
            </w:r>
            <w:r w:rsidR="00B72482">
              <w:rPr>
                <w:noProof/>
                <w:webHidden/>
              </w:rPr>
              <w:fldChar w:fldCharType="separate"/>
            </w:r>
            <w:r w:rsidR="00B72482">
              <w:rPr>
                <w:noProof/>
                <w:webHidden/>
              </w:rPr>
              <w:t>13</w:t>
            </w:r>
            <w:r w:rsidR="00B72482">
              <w:rPr>
                <w:noProof/>
                <w:webHidden/>
              </w:rPr>
              <w:fldChar w:fldCharType="end"/>
            </w:r>
          </w:hyperlink>
        </w:p>
        <w:p w14:paraId="1E7197A9" w14:textId="074C9460"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18" w:history="1">
            <w:r w:rsidR="00B72482" w:rsidRPr="0062272E">
              <w:rPr>
                <w:rStyle w:val="Hiperpovezava"/>
                <w:noProof/>
              </w:rPr>
              <w:t>Integrirano varstvo rastlin (IVR)</w:t>
            </w:r>
            <w:r w:rsidR="00B72482">
              <w:rPr>
                <w:noProof/>
                <w:webHidden/>
              </w:rPr>
              <w:tab/>
            </w:r>
            <w:r w:rsidR="00B72482">
              <w:rPr>
                <w:noProof/>
                <w:webHidden/>
              </w:rPr>
              <w:fldChar w:fldCharType="begin"/>
            </w:r>
            <w:r w:rsidR="00B72482">
              <w:rPr>
                <w:noProof/>
                <w:webHidden/>
              </w:rPr>
              <w:instrText xml:space="preserve"> PAGEREF _Toc170816418 \h </w:instrText>
            </w:r>
            <w:r w:rsidR="00B72482">
              <w:rPr>
                <w:noProof/>
                <w:webHidden/>
              </w:rPr>
            </w:r>
            <w:r w:rsidR="00B72482">
              <w:rPr>
                <w:noProof/>
                <w:webHidden/>
              </w:rPr>
              <w:fldChar w:fldCharType="separate"/>
            </w:r>
            <w:r w:rsidR="00B72482">
              <w:rPr>
                <w:noProof/>
                <w:webHidden/>
              </w:rPr>
              <w:t>15</w:t>
            </w:r>
            <w:r w:rsidR="00B72482">
              <w:rPr>
                <w:noProof/>
                <w:webHidden/>
              </w:rPr>
              <w:fldChar w:fldCharType="end"/>
            </w:r>
          </w:hyperlink>
        </w:p>
        <w:p w14:paraId="06D3FBB9" w14:textId="1C77D14A"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19" w:history="1">
            <w:r w:rsidR="00B72482" w:rsidRPr="0062272E">
              <w:rPr>
                <w:rStyle w:val="Hiperpovezava"/>
                <w:noProof/>
              </w:rPr>
              <w:t>Ocena obsega uporabe nekemičnih metod za varstvo rastlin</w:t>
            </w:r>
            <w:r w:rsidR="00B72482">
              <w:rPr>
                <w:noProof/>
                <w:webHidden/>
              </w:rPr>
              <w:tab/>
            </w:r>
            <w:r w:rsidR="00B72482">
              <w:rPr>
                <w:noProof/>
                <w:webHidden/>
              </w:rPr>
              <w:fldChar w:fldCharType="begin"/>
            </w:r>
            <w:r w:rsidR="00B72482">
              <w:rPr>
                <w:noProof/>
                <w:webHidden/>
              </w:rPr>
              <w:instrText xml:space="preserve"> PAGEREF _Toc170816419 \h </w:instrText>
            </w:r>
            <w:r w:rsidR="00B72482">
              <w:rPr>
                <w:noProof/>
                <w:webHidden/>
              </w:rPr>
            </w:r>
            <w:r w:rsidR="00B72482">
              <w:rPr>
                <w:noProof/>
                <w:webHidden/>
              </w:rPr>
              <w:fldChar w:fldCharType="separate"/>
            </w:r>
            <w:r w:rsidR="00B72482">
              <w:rPr>
                <w:noProof/>
                <w:webHidden/>
              </w:rPr>
              <w:t>16</w:t>
            </w:r>
            <w:r w:rsidR="00B72482">
              <w:rPr>
                <w:noProof/>
                <w:webHidden/>
              </w:rPr>
              <w:fldChar w:fldCharType="end"/>
            </w:r>
          </w:hyperlink>
        </w:p>
        <w:p w14:paraId="0D6CAD12" w14:textId="315C03D3"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20" w:history="1">
            <w:r w:rsidR="00B72482" w:rsidRPr="0062272E">
              <w:rPr>
                <w:rStyle w:val="Hiperpovezava"/>
                <w:noProof/>
              </w:rPr>
              <w:t>Javna služba kmetijskega svetovanja</w:t>
            </w:r>
            <w:r w:rsidR="00B72482">
              <w:rPr>
                <w:noProof/>
                <w:webHidden/>
              </w:rPr>
              <w:tab/>
            </w:r>
            <w:r w:rsidR="00B72482">
              <w:rPr>
                <w:noProof/>
                <w:webHidden/>
              </w:rPr>
              <w:fldChar w:fldCharType="begin"/>
            </w:r>
            <w:r w:rsidR="00B72482">
              <w:rPr>
                <w:noProof/>
                <w:webHidden/>
              </w:rPr>
              <w:instrText xml:space="preserve"> PAGEREF _Toc170816420 \h </w:instrText>
            </w:r>
            <w:r w:rsidR="00B72482">
              <w:rPr>
                <w:noProof/>
                <w:webHidden/>
              </w:rPr>
            </w:r>
            <w:r w:rsidR="00B72482">
              <w:rPr>
                <w:noProof/>
                <w:webHidden/>
              </w:rPr>
              <w:fldChar w:fldCharType="separate"/>
            </w:r>
            <w:r w:rsidR="00B72482">
              <w:rPr>
                <w:noProof/>
                <w:webHidden/>
              </w:rPr>
              <w:t>16</w:t>
            </w:r>
            <w:r w:rsidR="00B72482">
              <w:rPr>
                <w:noProof/>
                <w:webHidden/>
              </w:rPr>
              <w:fldChar w:fldCharType="end"/>
            </w:r>
          </w:hyperlink>
        </w:p>
        <w:p w14:paraId="1D383C3F" w14:textId="5EAFAA42"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21" w:history="1">
            <w:r w:rsidR="00B72482" w:rsidRPr="0062272E">
              <w:rPr>
                <w:rStyle w:val="Hiperpovezava"/>
                <w:noProof/>
              </w:rPr>
              <w:t>Javna služba zdravstvenega varstva rastlin</w:t>
            </w:r>
            <w:r w:rsidR="00B72482">
              <w:rPr>
                <w:noProof/>
                <w:webHidden/>
              </w:rPr>
              <w:tab/>
            </w:r>
            <w:r w:rsidR="00B72482">
              <w:rPr>
                <w:noProof/>
                <w:webHidden/>
              </w:rPr>
              <w:fldChar w:fldCharType="begin"/>
            </w:r>
            <w:r w:rsidR="00B72482">
              <w:rPr>
                <w:noProof/>
                <w:webHidden/>
              </w:rPr>
              <w:instrText xml:space="preserve"> PAGEREF _Toc170816421 \h </w:instrText>
            </w:r>
            <w:r w:rsidR="00B72482">
              <w:rPr>
                <w:noProof/>
                <w:webHidden/>
              </w:rPr>
            </w:r>
            <w:r w:rsidR="00B72482">
              <w:rPr>
                <w:noProof/>
                <w:webHidden/>
              </w:rPr>
              <w:fldChar w:fldCharType="separate"/>
            </w:r>
            <w:r w:rsidR="00B72482">
              <w:rPr>
                <w:noProof/>
                <w:webHidden/>
              </w:rPr>
              <w:t>17</w:t>
            </w:r>
            <w:r w:rsidR="00B72482">
              <w:rPr>
                <w:noProof/>
                <w:webHidden/>
              </w:rPr>
              <w:fldChar w:fldCharType="end"/>
            </w:r>
          </w:hyperlink>
        </w:p>
        <w:p w14:paraId="116BF2EA" w14:textId="191EC52D"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22" w:history="1">
            <w:r w:rsidR="00B72482" w:rsidRPr="0062272E">
              <w:rPr>
                <w:rStyle w:val="Hiperpovezava"/>
                <w:noProof/>
              </w:rPr>
              <w:t>Uradni nadzor nad FFS</w:t>
            </w:r>
            <w:r w:rsidR="00B72482">
              <w:rPr>
                <w:noProof/>
                <w:webHidden/>
              </w:rPr>
              <w:tab/>
            </w:r>
            <w:r w:rsidR="00B72482">
              <w:rPr>
                <w:noProof/>
                <w:webHidden/>
              </w:rPr>
              <w:fldChar w:fldCharType="begin"/>
            </w:r>
            <w:r w:rsidR="00B72482">
              <w:rPr>
                <w:noProof/>
                <w:webHidden/>
              </w:rPr>
              <w:instrText xml:space="preserve"> PAGEREF _Toc170816422 \h </w:instrText>
            </w:r>
            <w:r w:rsidR="00B72482">
              <w:rPr>
                <w:noProof/>
                <w:webHidden/>
              </w:rPr>
            </w:r>
            <w:r w:rsidR="00B72482">
              <w:rPr>
                <w:noProof/>
                <w:webHidden/>
              </w:rPr>
              <w:fldChar w:fldCharType="separate"/>
            </w:r>
            <w:r w:rsidR="00B72482">
              <w:rPr>
                <w:noProof/>
                <w:webHidden/>
              </w:rPr>
              <w:t>17</w:t>
            </w:r>
            <w:r w:rsidR="00B72482">
              <w:rPr>
                <w:noProof/>
                <w:webHidden/>
              </w:rPr>
              <w:fldChar w:fldCharType="end"/>
            </w:r>
          </w:hyperlink>
        </w:p>
        <w:p w14:paraId="7552AD0F" w14:textId="768BE76F"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23" w:history="1">
            <w:r w:rsidR="00B72482" w:rsidRPr="0062272E">
              <w:rPr>
                <w:rStyle w:val="Hiperpovezava"/>
                <w:noProof/>
              </w:rPr>
              <w:t>Ekološka pridelava</w:t>
            </w:r>
            <w:r w:rsidR="00B72482">
              <w:rPr>
                <w:noProof/>
                <w:webHidden/>
              </w:rPr>
              <w:tab/>
            </w:r>
            <w:r w:rsidR="00B72482">
              <w:rPr>
                <w:noProof/>
                <w:webHidden/>
              </w:rPr>
              <w:fldChar w:fldCharType="begin"/>
            </w:r>
            <w:r w:rsidR="00B72482">
              <w:rPr>
                <w:noProof/>
                <w:webHidden/>
              </w:rPr>
              <w:instrText xml:space="preserve"> PAGEREF _Toc170816423 \h </w:instrText>
            </w:r>
            <w:r w:rsidR="00B72482">
              <w:rPr>
                <w:noProof/>
                <w:webHidden/>
              </w:rPr>
            </w:r>
            <w:r w:rsidR="00B72482">
              <w:rPr>
                <w:noProof/>
                <w:webHidden/>
              </w:rPr>
              <w:fldChar w:fldCharType="separate"/>
            </w:r>
            <w:r w:rsidR="00B72482">
              <w:rPr>
                <w:noProof/>
                <w:webHidden/>
              </w:rPr>
              <w:t>18</w:t>
            </w:r>
            <w:r w:rsidR="00B72482">
              <w:rPr>
                <w:noProof/>
                <w:webHidden/>
              </w:rPr>
              <w:fldChar w:fldCharType="end"/>
            </w:r>
          </w:hyperlink>
        </w:p>
        <w:p w14:paraId="7FC5FF2C" w14:textId="6EF91D38"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24" w:history="1">
            <w:r w:rsidR="00B72482" w:rsidRPr="0062272E">
              <w:rPr>
                <w:rStyle w:val="Hiperpovezava"/>
                <w:noProof/>
              </w:rPr>
              <w:t>Poročilo o oceni rezultatov vseh izračunanih indikatorjev tveganja</w:t>
            </w:r>
            <w:r w:rsidR="00B72482">
              <w:rPr>
                <w:noProof/>
                <w:webHidden/>
              </w:rPr>
              <w:tab/>
            </w:r>
            <w:r w:rsidR="00B72482">
              <w:rPr>
                <w:noProof/>
                <w:webHidden/>
              </w:rPr>
              <w:fldChar w:fldCharType="begin"/>
            </w:r>
            <w:r w:rsidR="00B72482">
              <w:rPr>
                <w:noProof/>
                <w:webHidden/>
              </w:rPr>
              <w:instrText xml:space="preserve"> PAGEREF _Toc170816424 \h </w:instrText>
            </w:r>
            <w:r w:rsidR="00B72482">
              <w:rPr>
                <w:noProof/>
                <w:webHidden/>
              </w:rPr>
            </w:r>
            <w:r w:rsidR="00B72482">
              <w:rPr>
                <w:noProof/>
                <w:webHidden/>
              </w:rPr>
              <w:fldChar w:fldCharType="separate"/>
            </w:r>
            <w:r w:rsidR="00B72482">
              <w:rPr>
                <w:noProof/>
                <w:webHidden/>
              </w:rPr>
              <w:t>19</w:t>
            </w:r>
            <w:r w:rsidR="00B72482">
              <w:rPr>
                <w:noProof/>
                <w:webHidden/>
              </w:rPr>
              <w:fldChar w:fldCharType="end"/>
            </w:r>
          </w:hyperlink>
        </w:p>
        <w:p w14:paraId="69DB3C62" w14:textId="0D65869E" w:rsidR="00B72482" w:rsidRDefault="00ED66DD">
          <w:pPr>
            <w:pStyle w:val="Kazalovsebine3"/>
            <w:rPr>
              <w:rFonts w:asciiTheme="minorHAnsi" w:eastAsiaTheme="minorEastAsia" w:hAnsiTheme="minorHAnsi" w:cstheme="minorBidi"/>
              <w:noProof/>
              <w:kern w:val="2"/>
              <w:szCs w:val="22"/>
              <w14:ligatures w14:val="standardContextual"/>
            </w:rPr>
          </w:pPr>
          <w:hyperlink w:anchor="_Toc170816425" w:history="1">
            <w:r w:rsidR="00B72482" w:rsidRPr="0062272E">
              <w:rPr>
                <w:rStyle w:val="Hiperpovezava"/>
                <w:noProof/>
              </w:rPr>
              <w:t>Trendi in napredek pri doseganju posrednih ciljev</w:t>
            </w:r>
            <w:r w:rsidR="00B72482">
              <w:rPr>
                <w:noProof/>
                <w:webHidden/>
              </w:rPr>
              <w:tab/>
            </w:r>
            <w:r w:rsidR="00B72482">
              <w:rPr>
                <w:noProof/>
                <w:webHidden/>
              </w:rPr>
              <w:fldChar w:fldCharType="begin"/>
            </w:r>
            <w:r w:rsidR="00B72482">
              <w:rPr>
                <w:noProof/>
                <w:webHidden/>
              </w:rPr>
              <w:instrText xml:space="preserve"> PAGEREF _Toc170816425 \h </w:instrText>
            </w:r>
            <w:r w:rsidR="00B72482">
              <w:rPr>
                <w:noProof/>
                <w:webHidden/>
              </w:rPr>
            </w:r>
            <w:r w:rsidR="00B72482">
              <w:rPr>
                <w:noProof/>
                <w:webHidden/>
              </w:rPr>
              <w:fldChar w:fldCharType="separate"/>
            </w:r>
            <w:r w:rsidR="00B72482">
              <w:rPr>
                <w:noProof/>
                <w:webHidden/>
              </w:rPr>
              <w:t>19</w:t>
            </w:r>
            <w:r w:rsidR="00B72482">
              <w:rPr>
                <w:noProof/>
                <w:webHidden/>
              </w:rPr>
              <w:fldChar w:fldCharType="end"/>
            </w:r>
          </w:hyperlink>
        </w:p>
        <w:p w14:paraId="01F7E1CF" w14:textId="1AA8701E" w:rsidR="0036307E" w:rsidRPr="00CD5A14" w:rsidRDefault="0036307E" w:rsidP="00CD5A14">
          <w:r>
            <w:rPr>
              <w:b/>
              <w:bCs/>
            </w:rPr>
            <w:fldChar w:fldCharType="end"/>
          </w:r>
        </w:p>
      </w:sdtContent>
    </w:sdt>
    <w:p w14:paraId="60D099A5" w14:textId="2A949838" w:rsidR="007E298C" w:rsidRDefault="007E298C">
      <w:pPr>
        <w:spacing w:after="0" w:line="240" w:lineRule="auto"/>
        <w:rPr>
          <w:rFonts w:cs="Arial"/>
        </w:rPr>
      </w:pPr>
      <w:r>
        <w:rPr>
          <w:rFonts w:cs="Arial"/>
        </w:rPr>
        <w:br w:type="page"/>
      </w:r>
    </w:p>
    <w:p w14:paraId="21A072D0" w14:textId="77777777" w:rsidR="0036307E" w:rsidRDefault="0036307E" w:rsidP="003D3549">
      <w:pPr>
        <w:spacing w:beforeLines="60" w:before="144" w:afterLines="60" w:after="144" w:line="240" w:lineRule="auto"/>
        <w:ind w:left="709"/>
        <w:rPr>
          <w:rFonts w:cs="Arial"/>
        </w:rPr>
      </w:pPr>
    </w:p>
    <w:p w14:paraId="1BEDAF26" w14:textId="50E60218" w:rsidR="003F53BA" w:rsidRDefault="00D94D5F" w:rsidP="003F53BA">
      <w:pPr>
        <w:spacing w:beforeLines="60" w:before="144" w:afterLines="60" w:after="144" w:line="240" w:lineRule="auto"/>
        <w:ind w:left="709"/>
        <w:rPr>
          <w:rFonts w:cs="Arial"/>
          <w:sz w:val="20"/>
        </w:rPr>
      </w:pPr>
      <w:r>
        <w:rPr>
          <w:rFonts w:cs="Arial"/>
        </w:rPr>
        <w:t>SEZNAM PREGLEDNIC</w:t>
      </w:r>
    </w:p>
    <w:p w14:paraId="136A3817" w14:textId="72E36D07" w:rsidR="00FA08ED" w:rsidRPr="00FA08ED" w:rsidRDefault="00624A1C">
      <w:pPr>
        <w:pStyle w:val="Kazaloslik"/>
        <w:rPr>
          <w:rFonts w:ascii="Arial" w:eastAsiaTheme="minorEastAsia" w:hAnsi="Arial" w:cs="Arial"/>
          <w:i w:val="0"/>
          <w:iCs w:val="0"/>
          <w:noProof/>
          <w:sz w:val="22"/>
          <w:szCs w:val="22"/>
        </w:rPr>
      </w:pPr>
      <w:r w:rsidRPr="00FA08ED">
        <w:rPr>
          <w:rFonts w:ascii="Arial" w:hAnsi="Arial" w:cs="Arial"/>
          <w:sz w:val="22"/>
          <w:szCs w:val="22"/>
        </w:rPr>
        <w:fldChar w:fldCharType="begin"/>
      </w:r>
      <w:r w:rsidRPr="00FA08ED">
        <w:rPr>
          <w:rFonts w:ascii="Arial" w:hAnsi="Arial" w:cs="Arial"/>
          <w:sz w:val="22"/>
          <w:szCs w:val="22"/>
        </w:rPr>
        <w:instrText xml:space="preserve"> TOC \h \z \c "Preglednica" </w:instrText>
      </w:r>
      <w:r w:rsidRPr="00FA08ED">
        <w:rPr>
          <w:rFonts w:ascii="Arial" w:hAnsi="Arial" w:cs="Arial"/>
          <w:sz w:val="22"/>
          <w:szCs w:val="22"/>
        </w:rPr>
        <w:fldChar w:fldCharType="separate"/>
      </w:r>
      <w:hyperlink w:anchor="_Toc152153144" w:history="1">
        <w:r w:rsidR="00FA08ED" w:rsidRPr="00FA08ED">
          <w:rPr>
            <w:rStyle w:val="Hiperpovezava"/>
            <w:rFonts w:ascii="Arial" w:hAnsi="Arial" w:cs="Arial"/>
            <w:noProof/>
            <w:sz w:val="22"/>
            <w:szCs w:val="22"/>
          </w:rPr>
          <w:t>Preglednica 1: Gibanje kazalnika tveganja 1</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_Toc152153144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6</w:t>
        </w:r>
        <w:r w:rsidR="00FA08ED" w:rsidRPr="00FA08ED">
          <w:rPr>
            <w:rFonts w:ascii="Arial" w:hAnsi="Arial" w:cs="Arial"/>
            <w:noProof/>
            <w:webHidden/>
            <w:sz w:val="22"/>
            <w:szCs w:val="22"/>
          </w:rPr>
          <w:fldChar w:fldCharType="end"/>
        </w:r>
      </w:hyperlink>
    </w:p>
    <w:p w14:paraId="6CF67C41" w14:textId="704CADCA" w:rsidR="00FA08ED" w:rsidRPr="00FA08ED" w:rsidRDefault="00ED66DD">
      <w:pPr>
        <w:pStyle w:val="Kazaloslik"/>
        <w:rPr>
          <w:rFonts w:ascii="Arial" w:eastAsiaTheme="minorEastAsia" w:hAnsi="Arial" w:cs="Arial"/>
          <w:i w:val="0"/>
          <w:iCs w:val="0"/>
          <w:noProof/>
          <w:sz w:val="22"/>
          <w:szCs w:val="22"/>
        </w:rPr>
      </w:pPr>
      <w:hyperlink w:anchor="_Toc152153145" w:history="1">
        <w:r w:rsidR="00FA08ED" w:rsidRPr="00FA08ED">
          <w:rPr>
            <w:rStyle w:val="Hiperpovezava"/>
            <w:rFonts w:ascii="Arial" w:hAnsi="Arial" w:cs="Arial"/>
            <w:noProof/>
            <w:sz w:val="22"/>
            <w:szCs w:val="22"/>
          </w:rPr>
          <w:t>Preglednica 2: Gibanje kazalnika tveganja 2</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_Toc152153145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7</w:t>
        </w:r>
        <w:r w:rsidR="00FA08ED" w:rsidRPr="00FA08ED">
          <w:rPr>
            <w:rFonts w:ascii="Arial" w:hAnsi="Arial" w:cs="Arial"/>
            <w:noProof/>
            <w:webHidden/>
            <w:sz w:val="22"/>
            <w:szCs w:val="22"/>
          </w:rPr>
          <w:fldChar w:fldCharType="end"/>
        </w:r>
      </w:hyperlink>
    </w:p>
    <w:p w14:paraId="4709C8C4" w14:textId="3E73EFEE" w:rsidR="00FA08ED" w:rsidRPr="00FA08ED" w:rsidRDefault="00ED66DD">
      <w:pPr>
        <w:pStyle w:val="Kazaloslik"/>
        <w:rPr>
          <w:rFonts w:ascii="Arial" w:eastAsiaTheme="minorEastAsia" w:hAnsi="Arial" w:cs="Arial"/>
          <w:i w:val="0"/>
          <w:iCs w:val="0"/>
          <w:noProof/>
          <w:sz w:val="22"/>
          <w:szCs w:val="22"/>
        </w:rPr>
      </w:pPr>
      <w:hyperlink w:anchor="_Toc152153146" w:history="1">
        <w:r w:rsidR="00FA08ED" w:rsidRPr="00FA08ED">
          <w:rPr>
            <w:rStyle w:val="Hiperpovezava"/>
            <w:rFonts w:ascii="Arial" w:hAnsi="Arial" w:cs="Arial"/>
            <w:noProof/>
            <w:sz w:val="22"/>
            <w:szCs w:val="22"/>
          </w:rPr>
          <w:t>Preglednica 3: Promet snovi, ki so kandidatke za zamenjavo v kg</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_Toc152153146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8</w:t>
        </w:r>
        <w:r w:rsidR="00FA08ED" w:rsidRPr="00FA08ED">
          <w:rPr>
            <w:rFonts w:ascii="Arial" w:hAnsi="Arial" w:cs="Arial"/>
            <w:noProof/>
            <w:webHidden/>
            <w:sz w:val="22"/>
            <w:szCs w:val="22"/>
          </w:rPr>
          <w:fldChar w:fldCharType="end"/>
        </w:r>
      </w:hyperlink>
    </w:p>
    <w:p w14:paraId="5D67EA7B" w14:textId="208219E1" w:rsidR="00FA08ED" w:rsidRPr="00FA08ED" w:rsidRDefault="00ED66DD">
      <w:pPr>
        <w:pStyle w:val="Kazaloslik"/>
        <w:rPr>
          <w:rFonts w:ascii="Arial" w:eastAsiaTheme="minorEastAsia" w:hAnsi="Arial" w:cs="Arial"/>
          <w:i w:val="0"/>
          <w:iCs w:val="0"/>
          <w:noProof/>
          <w:sz w:val="22"/>
          <w:szCs w:val="22"/>
        </w:rPr>
      </w:pPr>
      <w:hyperlink w:anchor="_Toc152153147" w:history="1">
        <w:r w:rsidR="00FA08ED" w:rsidRPr="00FA08ED">
          <w:rPr>
            <w:rStyle w:val="Hiperpovezava"/>
            <w:rFonts w:ascii="Arial" w:hAnsi="Arial" w:cs="Arial"/>
            <w:noProof/>
            <w:sz w:val="22"/>
            <w:szCs w:val="22"/>
          </w:rPr>
          <w:t>Preglednica 4: Promet snovi v FFS na podlagi MO v kg aktivnih snovi</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_Toc152153147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9</w:t>
        </w:r>
        <w:r w:rsidR="00FA08ED" w:rsidRPr="00FA08ED">
          <w:rPr>
            <w:rFonts w:ascii="Arial" w:hAnsi="Arial" w:cs="Arial"/>
            <w:noProof/>
            <w:webHidden/>
            <w:sz w:val="22"/>
            <w:szCs w:val="22"/>
          </w:rPr>
          <w:fldChar w:fldCharType="end"/>
        </w:r>
      </w:hyperlink>
    </w:p>
    <w:p w14:paraId="769B645F" w14:textId="1C4E4E8A" w:rsidR="00FA08ED" w:rsidRPr="00FA08ED" w:rsidRDefault="00ED66DD">
      <w:pPr>
        <w:pStyle w:val="Kazaloslik"/>
        <w:rPr>
          <w:rFonts w:ascii="Arial" w:eastAsiaTheme="minorEastAsia" w:hAnsi="Arial" w:cs="Arial"/>
          <w:i w:val="0"/>
          <w:iCs w:val="0"/>
          <w:noProof/>
          <w:sz w:val="22"/>
          <w:szCs w:val="22"/>
        </w:rPr>
      </w:pPr>
      <w:hyperlink w:anchor="_Toc152153148" w:history="1">
        <w:r w:rsidR="00FA08ED" w:rsidRPr="00FA08ED">
          <w:rPr>
            <w:rStyle w:val="Hiperpovezava"/>
            <w:rFonts w:ascii="Arial" w:hAnsi="Arial" w:cs="Arial"/>
            <w:noProof/>
            <w:sz w:val="22"/>
            <w:szCs w:val="22"/>
          </w:rPr>
          <w:t>Preglednica 5: Število vzetih vzorcev v nacionalnem programu in delež neskladnih vzorcev</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_Toc152153148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10</w:t>
        </w:r>
        <w:r w:rsidR="00FA08ED" w:rsidRPr="00FA08ED">
          <w:rPr>
            <w:rFonts w:ascii="Arial" w:hAnsi="Arial" w:cs="Arial"/>
            <w:noProof/>
            <w:webHidden/>
            <w:sz w:val="22"/>
            <w:szCs w:val="22"/>
          </w:rPr>
          <w:fldChar w:fldCharType="end"/>
        </w:r>
      </w:hyperlink>
    </w:p>
    <w:p w14:paraId="42667BBC" w14:textId="2784B8C8" w:rsidR="00FA08ED" w:rsidRPr="00FA08ED" w:rsidRDefault="00ED66DD">
      <w:pPr>
        <w:pStyle w:val="Kazaloslik"/>
        <w:rPr>
          <w:rFonts w:ascii="Arial" w:eastAsiaTheme="minorEastAsia" w:hAnsi="Arial" w:cs="Arial"/>
          <w:i w:val="0"/>
          <w:iCs w:val="0"/>
          <w:noProof/>
          <w:sz w:val="22"/>
          <w:szCs w:val="22"/>
        </w:rPr>
      </w:pPr>
      <w:hyperlink w:anchor="_Toc152153149" w:history="1">
        <w:r w:rsidR="00FA08ED" w:rsidRPr="00FA08ED">
          <w:rPr>
            <w:rStyle w:val="Hiperpovezava"/>
            <w:rFonts w:ascii="Arial" w:hAnsi="Arial" w:cs="Arial"/>
            <w:noProof/>
            <w:sz w:val="22"/>
            <w:szCs w:val="22"/>
          </w:rPr>
          <w:t>Preglednica 6: Število in delež preizkušenih OO glede na vsebnost pesticidov v odnosu na celotno število OO (Vir: mpv.si)</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_Toc152153149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11</w:t>
        </w:r>
        <w:r w:rsidR="00FA08ED" w:rsidRPr="00FA08ED">
          <w:rPr>
            <w:rFonts w:ascii="Arial" w:hAnsi="Arial" w:cs="Arial"/>
            <w:noProof/>
            <w:webHidden/>
            <w:sz w:val="22"/>
            <w:szCs w:val="22"/>
          </w:rPr>
          <w:fldChar w:fldCharType="end"/>
        </w:r>
      </w:hyperlink>
    </w:p>
    <w:p w14:paraId="70A5B270" w14:textId="1F5F98E4" w:rsidR="00FA08ED" w:rsidRPr="00FA08ED" w:rsidRDefault="00ED66DD">
      <w:pPr>
        <w:pStyle w:val="Kazaloslik"/>
        <w:rPr>
          <w:rFonts w:ascii="Arial" w:eastAsiaTheme="minorEastAsia" w:hAnsi="Arial" w:cs="Arial"/>
          <w:i w:val="0"/>
          <w:iCs w:val="0"/>
          <w:noProof/>
          <w:sz w:val="22"/>
          <w:szCs w:val="22"/>
        </w:rPr>
      </w:pPr>
      <w:hyperlink w:anchor="_Toc152153150" w:history="1">
        <w:r w:rsidR="00FA08ED" w:rsidRPr="00FA08ED">
          <w:rPr>
            <w:rStyle w:val="Hiperpovezava"/>
            <w:rFonts w:ascii="Arial" w:hAnsi="Arial" w:cs="Arial"/>
            <w:noProof/>
            <w:sz w:val="22"/>
            <w:szCs w:val="22"/>
          </w:rPr>
          <w:t>Preglednica 7: Število OO s preseženo vrednostjo za posamezno aktivno snov po statističnih regijah (Vir: mpv.si)</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_Toc152153150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11</w:t>
        </w:r>
        <w:r w:rsidR="00FA08ED" w:rsidRPr="00FA08ED">
          <w:rPr>
            <w:rFonts w:ascii="Arial" w:hAnsi="Arial" w:cs="Arial"/>
            <w:noProof/>
            <w:webHidden/>
            <w:sz w:val="22"/>
            <w:szCs w:val="22"/>
          </w:rPr>
          <w:fldChar w:fldCharType="end"/>
        </w:r>
      </w:hyperlink>
    </w:p>
    <w:p w14:paraId="1FBB560B" w14:textId="11F40AFD" w:rsidR="00FA08ED" w:rsidRPr="00FA08ED" w:rsidRDefault="00ED66DD">
      <w:pPr>
        <w:pStyle w:val="Kazaloslik"/>
        <w:rPr>
          <w:rFonts w:ascii="Arial" w:eastAsiaTheme="minorEastAsia" w:hAnsi="Arial" w:cs="Arial"/>
          <w:i w:val="0"/>
          <w:iCs w:val="0"/>
          <w:noProof/>
          <w:sz w:val="22"/>
          <w:szCs w:val="22"/>
        </w:rPr>
      </w:pPr>
      <w:hyperlink w:anchor="_Toc152153151" w:history="1">
        <w:r w:rsidR="00FA08ED" w:rsidRPr="00FA08ED">
          <w:rPr>
            <w:rStyle w:val="Hiperpovezava"/>
            <w:rFonts w:ascii="Arial" w:hAnsi="Arial" w:cs="Arial"/>
            <w:noProof/>
            <w:sz w:val="22"/>
            <w:szCs w:val="22"/>
          </w:rPr>
          <w:t>Preglednica 8: Statistika pregledov naprav za nanašanje FFS</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_Toc152153151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12</w:t>
        </w:r>
        <w:r w:rsidR="00FA08ED" w:rsidRPr="00FA08ED">
          <w:rPr>
            <w:rFonts w:ascii="Arial" w:hAnsi="Arial" w:cs="Arial"/>
            <w:noProof/>
            <w:webHidden/>
            <w:sz w:val="22"/>
            <w:szCs w:val="22"/>
          </w:rPr>
          <w:fldChar w:fldCharType="end"/>
        </w:r>
      </w:hyperlink>
    </w:p>
    <w:p w14:paraId="70E0B870" w14:textId="397A0E42" w:rsidR="00FA08ED" w:rsidRPr="00FA08ED" w:rsidRDefault="00ED66DD">
      <w:pPr>
        <w:pStyle w:val="Kazaloslik"/>
        <w:rPr>
          <w:rFonts w:ascii="Arial" w:eastAsiaTheme="minorEastAsia" w:hAnsi="Arial" w:cs="Arial"/>
          <w:i w:val="0"/>
          <w:iCs w:val="0"/>
          <w:noProof/>
          <w:sz w:val="22"/>
          <w:szCs w:val="22"/>
        </w:rPr>
      </w:pPr>
      <w:hyperlink w:anchor="_Toc152153152" w:history="1">
        <w:r w:rsidR="00FA08ED" w:rsidRPr="00FA08ED">
          <w:rPr>
            <w:rStyle w:val="Hiperpovezava"/>
            <w:rFonts w:ascii="Arial" w:hAnsi="Arial" w:cs="Arial"/>
            <w:noProof/>
            <w:sz w:val="22"/>
            <w:szCs w:val="22"/>
          </w:rPr>
          <w:t>Preglednica 9: Število veljavnih izkaznic o usposabljanju za ravnanje s FFS po letih in delež izkaznic za svetovalce za FFS, prodajalce FFS in uporabnike FFS.</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_Toc152153152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13</w:t>
        </w:r>
        <w:r w:rsidR="00FA08ED" w:rsidRPr="00FA08ED">
          <w:rPr>
            <w:rFonts w:ascii="Arial" w:hAnsi="Arial" w:cs="Arial"/>
            <w:noProof/>
            <w:webHidden/>
            <w:sz w:val="22"/>
            <w:szCs w:val="22"/>
          </w:rPr>
          <w:fldChar w:fldCharType="end"/>
        </w:r>
      </w:hyperlink>
    </w:p>
    <w:p w14:paraId="781095B9" w14:textId="01A20ADC" w:rsidR="00FA08ED" w:rsidRPr="00FA08ED" w:rsidRDefault="00ED66DD">
      <w:pPr>
        <w:pStyle w:val="Kazaloslik"/>
        <w:rPr>
          <w:rFonts w:ascii="Arial" w:eastAsiaTheme="minorEastAsia" w:hAnsi="Arial" w:cs="Arial"/>
          <w:i w:val="0"/>
          <w:iCs w:val="0"/>
          <w:noProof/>
          <w:sz w:val="22"/>
          <w:szCs w:val="22"/>
        </w:rPr>
      </w:pPr>
      <w:hyperlink w:anchor="_Toc152153153" w:history="1">
        <w:r w:rsidR="00FA08ED" w:rsidRPr="00FA08ED">
          <w:rPr>
            <w:rStyle w:val="Hiperpovezava"/>
            <w:rFonts w:ascii="Arial" w:hAnsi="Arial" w:cs="Arial"/>
            <w:noProof/>
            <w:sz w:val="22"/>
            <w:szCs w:val="22"/>
          </w:rPr>
          <w:t>Preglednica 10: Število izvedenih usposabljanj po letih in programu usposabljanja</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_Toc152153153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14</w:t>
        </w:r>
        <w:r w:rsidR="00FA08ED" w:rsidRPr="00FA08ED">
          <w:rPr>
            <w:rFonts w:ascii="Arial" w:hAnsi="Arial" w:cs="Arial"/>
            <w:noProof/>
            <w:webHidden/>
            <w:sz w:val="22"/>
            <w:szCs w:val="22"/>
          </w:rPr>
          <w:fldChar w:fldCharType="end"/>
        </w:r>
      </w:hyperlink>
    </w:p>
    <w:p w14:paraId="2F4CCFEC" w14:textId="22DC0648" w:rsidR="00FA08ED" w:rsidRPr="00FA08ED" w:rsidRDefault="00ED66DD">
      <w:pPr>
        <w:pStyle w:val="Kazaloslik"/>
        <w:rPr>
          <w:rFonts w:ascii="Arial" w:eastAsiaTheme="minorEastAsia" w:hAnsi="Arial" w:cs="Arial"/>
          <w:i w:val="0"/>
          <w:iCs w:val="0"/>
          <w:noProof/>
          <w:sz w:val="22"/>
          <w:szCs w:val="22"/>
        </w:rPr>
      </w:pPr>
      <w:hyperlink w:anchor="_Toc152153154" w:history="1">
        <w:r w:rsidR="00FA08ED" w:rsidRPr="00FA08ED">
          <w:rPr>
            <w:rStyle w:val="Hiperpovezava"/>
            <w:rFonts w:ascii="Arial" w:hAnsi="Arial" w:cs="Arial"/>
            <w:noProof/>
            <w:sz w:val="22"/>
            <w:szCs w:val="22"/>
          </w:rPr>
          <w:t>Preglednica 11: Število inšpekcijskih pregledov skupaj in število ter delež ugotovljenih nepravilnosti</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_Toc152153154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16</w:t>
        </w:r>
        <w:r w:rsidR="00FA08ED" w:rsidRPr="00FA08ED">
          <w:rPr>
            <w:rFonts w:ascii="Arial" w:hAnsi="Arial" w:cs="Arial"/>
            <w:noProof/>
            <w:webHidden/>
            <w:sz w:val="22"/>
            <w:szCs w:val="22"/>
          </w:rPr>
          <w:fldChar w:fldCharType="end"/>
        </w:r>
      </w:hyperlink>
    </w:p>
    <w:p w14:paraId="30D15200" w14:textId="3913CFE5" w:rsidR="00FA08ED" w:rsidRPr="00FA08ED" w:rsidRDefault="00ED66DD">
      <w:pPr>
        <w:pStyle w:val="Kazaloslik"/>
        <w:rPr>
          <w:rFonts w:ascii="Arial" w:eastAsiaTheme="minorEastAsia" w:hAnsi="Arial" w:cs="Arial"/>
          <w:i w:val="0"/>
          <w:iCs w:val="0"/>
          <w:noProof/>
          <w:sz w:val="22"/>
          <w:szCs w:val="22"/>
        </w:rPr>
      </w:pPr>
      <w:hyperlink w:anchor="_Toc152153155" w:history="1">
        <w:r w:rsidR="00FA08ED" w:rsidRPr="00FA08ED">
          <w:rPr>
            <w:rStyle w:val="Hiperpovezava"/>
            <w:rFonts w:ascii="Arial" w:hAnsi="Arial" w:cs="Arial"/>
            <w:noProof/>
            <w:sz w:val="22"/>
            <w:szCs w:val="22"/>
          </w:rPr>
          <w:t>Preglednica 12: Število nadzorov pri uporabnikih FFS ter število uvedenih sankcij za prekrške pri uporabnikih FFS v obdobju 2018 – 2022</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_Toc152153155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17</w:t>
        </w:r>
        <w:r w:rsidR="00FA08ED" w:rsidRPr="00FA08ED">
          <w:rPr>
            <w:rFonts w:ascii="Arial" w:hAnsi="Arial" w:cs="Arial"/>
            <w:noProof/>
            <w:webHidden/>
            <w:sz w:val="22"/>
            <w:szCs w:val="22"/>
          </w:rPr>
          <w:fldChar w:fldCharType="end"/>
        </w:r>
      </w:hyperlink>
    </w:p>
    <w:p w14:paraId="6943857E" w14:textId="5AF38199" w:rsidR="00FA08ED" w:rsidRPr="00FA08ED" w:rsidRDefault="00ED66DD">
      <w:pPr>
        <w:pStyle w:val="Kazaloslik"/>
        <w:rPr>
          <w:rFonts w:ascii="Arial" w:eastAsiaTheme="minorEastAsia" w:hAnsi="Arial" w:cs="Arial"/>
          <w:i w:val="0"/>
          <w:iCs w:val="0"/>
          <w:noProof/>
          <w:sz w:val="22"/>
          <w:szCs w:val="22"/>
        </w:rPr>
      </w:pPr>
      <w:hyperlink w:anchor="_Toc152153156" w:history="1">
        <w:r w:rsidR="00FA08ED" w:rsidRPr="00FA08ED">
          <w:rPr>
            <w:rStyle w:val="Hiperpovezava"/>
            <w:rFonts w:ascii="Arial" w:hAnsi="Arial" w:cs="Arial"/>
            <w:noProof/>
            <w:sz w:val="22"/>
            <w:szCs w:val="22"/>
          </w:rPr>
          <w:t>Preglednica 13: Delež ekoloških kmetij in površin pod ekološko pridelavo v Sloveniji</w:t>
        </w:r>
        <w:r w:rsidR="00FA08ED" w:rsidRPr="00FA08ED">
          <w:rPr>
            <w:rFonts w:ascii="Arial" w:hAnsi="Arial" w:cs="Arial"/>
            <w:noProof/>
            <w:webHidden/>
            <w:sz w:val="22"/>
            <w:szCs w:val="22"/>
          </w:rPr>
          <w:tab/>
        </w:r>
        <w:r w:rsidR="00FA08ED" w:rsidRPr="00FA08ED">
          <w:rPr>
            <w:rFonts w:ascii="Arial" w:hAnsi="Arial" w:cs="Arial"/>
            <w:noProof/>
            <w:webHidden/>
            <w:sz w:val="22"/>
            <w:szCs w:val="22"/>
          </w:rPr>
          <w:fldChar w:fldCharType="begin"/>
        </w:r>
        <w:r w:rsidR="00FA08ED" w:rsidRPr="00FA08ED">
          <w:rPr>
            <w:rFonts w:ascii="Arial" w:hAnsi="Arial" w:cs="Arial"/>
            <w:noProof/>
            <w:webHidden/>
            <w:sz w:val="22"/>
            <w:szCs w:val="22"/>
          </w:rPr>
          <w:instrText xml:space="preserve"> PAGEREF _Toc152153156 \h </w:instrText>
        </w:r>
        <w:r w:rsidR="00FA08ED" w:rsidRPr="00FA08ED">
          <w:rPr>
            <w:rFonts w:ascii="Arial" w:hAnsi="Arial" w:cs="Arial"/>
            <w:noProof/>
            <w:webHidden/>
            <w:sz w:val="22"/>
            <w:szCs w:val="22"/>
          </w:rPr>
        </w:r>
        <w:r w:rsidR="00FA08ED" w:rsidRPr="00FA08ED">
          <w:rPr>
            <w:rFonts w:ascii="Arial" w:hAnsi="Arial" w:cs="Arial"/>
            <w:noProof/>
            <w:webHidden/>
            <w:sz w:val="22"/>
            <w:szCs w:val="22"/>
          </w:rPr>
          <w:fldChar w:fldCharType="separate"/>
        </w:r>
        <w:r w:rsidR="00DB7441">
          <w:rPr>
            <w:rFonts w:ascii="Arial" w:hAnsi="Arial" w:cs="Arial"/>
            <w:noProof/>
            <w:webHidden/>
            <w:sz w:val="22"/>
            <w:szCs w:val="22"/>
          </w:rPr>
          <w:t>17</w:t>
        </w:r>
        <w:r w:rsidR="00FA08ED" w:rsidRPr="00FA08ED">
          <w:rPr>
            <w:rFonts w:ascii="Arial" w:hAnsi="Arial" w:cs="Arial"/>
            <w:noProof/>
            <w:webHidden/>
            <w:sz w:val="22"/>
            <w:szCs w:val="22"/>
          </w:rPr>
          <w:fldChar w:fldCharType="end"/>
        </w:r>
      </w:hyperlink>
    </w:p>
    <w:p w14:paraId="22EB26CA" w14:textId="5E651527" w:rsidR="003F53BA" w:rsidRDefault="00624A1C" w:rsidP="003F53BA">
      <w:pPr>
        <w:spacing w:beforeLines="60" w:before="144" w:afterLines="60" w:after="144" w:line="240" w:lineRule="auto"/>
        <w:ind w:left="709"/>
        <w:rPr>
          <w:rFonts w:cs="Arial"/>
        </w:rPr>
      </w:pPr>
      <w:r w:rsidRPr="00FA08ED">
        <w:rPr>
          <w:rFonts w:cs="Arial"/>
          <w:szCs w:val="22"/>
        </w:rPr>
        <w:fldChar w:fldCharType="end"/>
      </w:r>
    </w:p>
    <w:p w14:paraId="21FBF978" w14:textId="062DAD11" w:rsidR="00CD5A14" w:rsidRDefault="00CD5A14" w:rsidP="00CD5A14">
      <w:pPr>
        <w:spacing w:beforeLines="60" w:before="144" w:afterLines="60" w:after="144" w:line="240" w:lineRule="auto"/>
        <w:rPr>
          <w:rFonts w:cs="Arial"/>
        </w:rPr>
      </w:pPr>
    </w:p>
    <w:p w14:paraId="04C59F92" w14:textId="77777777" w:rsidR="00CD5A14" w:rsidRDefault="00CD5A14">
      <w:pPr>
        <w:spacing w:after="0" w:line="240" w:lineRule="auto"/>
        <w:rPr>
          <w:rFonts w:cs="Arial"/>
        </w:rPr>
      </w:pPr>
      <w:r>
        <w:rPr>
          <w:rFonts w:cs="Arial"/>
        </w:rPr>
        <w:br w:type="page"/>
      </w:r>
    </w:p>
    <w:p w14:paraId="0F0DB0BD" w14:textId="5A9E44E3" w:rsidR="00D94D5F" w:rsidRPr="00CD5A14" w:rsidRDefault="00D94D5F" w:rsidP="00CD5A14">
      <w:pPr>
        <w:spacing w:beforeLines="60" w:before="144" w:afterLines="60" w:after="144" w:line="240" w:lineRule="auto"/>
        <w:rPr>
          <w:rFonts w:cs="Arial"/>
        </w:rPr>
      </w:pPr>
      <w:r>
        <w:rPr>
          <w:rFonts w:cs="Arial"/>
          <w:i/>
          <w:iCs/>
          <w:sz w:val="20"/>
        </w:rPr>
        <w:lastRenderedPageBreak/>
        <w:fldChar w:fldCharType="begin"/>
      </w:r>
      <w:r>
        <w:rPr>
          <w:rFonts w:cs="Arial"/>
        </w:rPr>
        <w:instrText xml:space="preserve"> TOC \h \z \c "Tabela" </w:instrText>
      </w:r>
      <w:r>
        <w:rPr>
          <w:rFonts w:cs="Arial"/>
          <w:i/>
          <w:iCs/>
          <w:sz w:val="20"/>
        </w:rPr>
        <w:fldChar w:fldCharType="separate"/>
      </w:r>
    </w:p>
    <w:p w14:paraId="02536991" w14:textId="77777777" w:rsidR="00F54233" w:rsidRPr="00F54233" w:rsidRDefault="00D94D5F" w:rsidP="003D3549">
      <w:pPr>
        <w:spacing w:beforeLines="60" w:before="144" w:afterLines="60" w:after="144" w:line="240" w:lineRule="auto"/>
        <w:ind w:left="709"/>
        <w:rPr>
          <w:rFonts w:cs="Arial"/>
          <w:noProof/>
          <w:szCs w:val="22"/>
        </w:rPr>
      </w:pPr>
      <w:r>
        <w:rPr>
          <w:rFonts w:cs="Arial"/>
        </w:rPr>
        <w:fldChar w:fldCharType="end"/>
      </w:r>
      <w:r w:rsidR="009B5ADD">
        <w:rPr>
          <w:rFonts w:cs="Arial"/>
        </w:rPr>
        <w:t>SEZNAM SLIK</w:t>
      </w:r>
      <w:r w:rsidR="009B5ADD" w:rsidRPr="00F54233">
        <w:rPr>
          <w:rFonts w:cs="Arial"/>
          <w:szCs w:val="22"/>
        </w:rPr>
        <w:fldChar w:fldCharType="begin"/>
      </w:r>
      <w:r w:rsidR="009B5ADD" w:rsidRPr="00F54233">
        <w:rPr>
          <w:rFonts w:cs="Arial"/>
          <w:szCs w:val="22"/>
        </w:rPr>
        <w:instrText xml:space="preserve"> TOC \h \z \c "Slika" </w:instrText>
      </w:r>
      <w:r w:rsidR="009B5ADD" w:rsidRPr="00F54233">
        <w:rPr>
          <w:rFonts w:cs="Arial"/>
          <w:szCs w:val="22"/>
        </w:rPr>
        <w:fldChar w:fldCharType="separate"/>
      </w:r>
    </w:p>
    <w:p w14:paraId="55058B95" w14:textId="35B48DAA" w:rsidR="00F54233" w:rsidRPr="00F54233" w:rsidRDefault="00ED66DD" w:rsidP="00CD10D9">
      <w:pPr>
        <w:pStyle w:val="Kazaloslik"/>
        <w:rPr>
          <w:rFonts w:eastAsiaTheme="minorEastAsia"/>
          <w:noProof/>
        </w:rPr>
      </w:pPr>
      <w:hyperlink w:anchor="_Toc151554959" w:history="1">
        <w:r w:rsidR="00F54233" w:rsidRPr="00F54233">
          <w:rPr>
            <w:rStyle w:val="Hiperpovezava"/>
            <w:rFonts w:ascii="Arial" w:hAnsi="Arial" w:cs="Arial"/>
            <w:noProof/>
            <w:sz w:val="22"/>
            <w:szCs w:val="22"/>
          </w:rPr>
          <w:t>Slika 1: Gibanje kazalnika tveganja 1</w:t>
        </w:r>
        <w:r w:rsidR="00F54233" w:rsidRPr="00F54233">
          <w:rPr>
            <w:noProof/>
            <w:webHidden/>
          </w:rPr>
          <w:tab/>
        </w:r>
        <w:r w:rsidR="00F54233" w:rsidRPr="00F54233">
          <w:rPr>
            <w:noProof/>
            <w:webHidden/>
          </w:rPr>
          <w:fldChar w:fldCharType="begin"/>
        </w:r>
        <w:r w:rsidR="00F54233" w:rsidRPr="00F54233">
          <w:rPr>
            <w:noProof/>
            <w:webHidden/>
          </w:rPr>
          <w:instrText xml:space="preserve"> PAGEREF _Toc151554959 \h </w:instrText>
        </w:r>
        <w:r w:rsidR="00F54233" w:rsidRPr="00F54233">
          <w:rPr>
            <w:noProof/>
            <w:webHidden/>
          </w:rPr>
        </w:r>
        <w:r w:rsidR="00F54233" w:rsidRPr="00F54233">
          <w:rPr>
            <w:noProof/>
            <w:webHidden/>
          </w:rPr>
          <w:fldChar w:fldCharType="separate"/>
        </w:r>
        <w:r w:rsidR="00DB7441">
          <w:rPr>
            <w:noProof/>
            <w:webHidden/>
          </w:rPr>
          <w:t>6</w:t>
        </w:r>
        <w:r w:rsidR="00F54233" w:rsidRPr="00F54233">
          <w:rPr>
            <w:noProof/>
            <w:webHidden/>
          </w:rPr>
          <w:fldChar w:fldCharType="end"/>
        </w:r>
      </w:hyperlink>
    </w:p>
    <w:p w14:paraId="50C8BDE7" w14:textId="52155D10" w:rsidR="00F54233" w:rsidRPr="00F54233" w:rsidRDefault="00ED66DD" w:rsidP="00CD10D9">
      <w:pPr>
        <w:pStyle w:val="Kazaloslik"/>
        <w:rPr>
          <w:rFonts w:eastAsiaTheme="minorEastAsia"/>
          <w:noProof/>
        </w:rPr>
      </w:pPr>
      <w:hyperlink w:anchor="_Toc151554960" w:history="1">
        <w:r w:rsidR="00F54233" w:rsidRPr="00F54233">
          <w:rPr>
            <w:rStyle w:val="Hiperpovezava"/>
            <w:rFonts w:ascii="Arial" w:hAnsi="Arial" w:cs="Arial"/>
            <w:noProof/>
            <w:sz w:val="22"/>
            <w:szCs w:val="22"/>
          </w:rPr>
          <w:t>Slika 2: Gibanje usklajenega kazalnika tveganja 2</w:t>
        </w:r>
        <w:r w:rsidR="00F54233" w:rsidRPr="00F54233">
          <w:rPr>
            <w:noProof/>
            <w:webHidden/>
          </w:rPr>
          <w:tab/>
        </w:r>
        <w:r w:rsidR="00F54233" w:rsidRPr="00F54233">
          <w:rPr>
            <w:noProof/>
            <w:webHidden/>
          </w:rPr>
          <w:fldChar w:fldCharType="begin"/>
        </w:r>
        <w:r w:rsidR="00F54233" w:rsidRPr="00F54233">
          <w:rPr>
            <w:noProof/>
            <w:webHidden/>
          </w:rPr>
          <w:instrText xml:space="preserve"> PAGEREF _Toc151554960 \h </w:instrText>
        </w:r>
        <w:r w:rsidR="00F54233" w:rsidRPr="00F54233">
          <w:rPr>
            <w:noProof/>
            <w:webHidden/>
          </w:rPr>
        </w:r>
        <w:r w:rsidR="00F54233" w:rsidRPr="00F54233">
          <w:rPr>
            <w:noProof/>
            <w:webHidden/>
          </w:rPr>
          <w:fldChar w:fldCharType="separate"/>
        </w:r>
        <w:r w:rsidR="00DB7441">
          <w:rPr>
            <w:noProof/>
            <w:webHidden/>
          </w:rPr>
          <w:t>7</w:t>
        </w:r>
        <w:r w:rsidR="00F54233" w:rsidRPr="00F54233">
          <w:rPr>
            <w:noProof/>
            <w:webHidden/>
          </w:rPr>
          <w:fldChar w:fldCharType="end"/>
        </w:r>
      </w:hyperlink>
    </w:p>
    <w:p w14:paraId="402A318B" w14:textId="514D1FC0" w:rsidR="00F54233" w:rsidRPr="00F54233" w:rsidRDefault="00ED66DD" w:rsidP="00CD10D9">
      <w:pPr>
        <w:pStyle w:val="Kazaloslik"/>
        <w:rPr>
          <w:rFonts w:eastAsiaTheme="minorEastAsia"/>
          <w:noProof/>
        </w:rPr>
      </w:pPr>
      <w:hyperlink w:anchor="_Toc151554961" w:history="1">
        <w:r w:rsidR="00F54233" w:rsidRPr="00F54233">
          <w:rPr>
            <w:rStyle w:val="Hiperpovezava"/>
            <w:rFonts w:ascii="Arial" w:hAnsi="Arial" w:cs="Arial"/>
            <w:noProof/>
            <w:sz w:val="22"/>
            <w:szCs w:val="22"/>
          </w:rPr>
          <w:t>Slika 3: Promet snovi, ki so kandidatke za zamenjavo, v kg po letih</w:t>
        </w:r>
        <w:r w:rsidR="00F54233" w:rsidRPr="00F54233">
          <w:rPr>
            <w:noProof/>
            <w:webHidden/>
          </w:rPr>
          <w:tab/>
        </w:r>
        <w:r w:rsidR="00F54233" w:rsidRPr="00F54233">
          <w:rPr>
            <w:noProof/>
            <w:webHidden/>
          </w:rPr>
          <w:fldChar w:fldCharType="begin"/>
        </w:r>
        <w:r w:rsidR="00F54233" w:rsidRPr="00F54233">
          <w:rPr>
            <w:noProof/>
            <w:webHidden/>
          </w:rPr>
          <w:instrText xml:space="preserve"> PAGEREF _Toc151554961 \h </w:instrText>
        </w:r>
        <w:r w:rsidR="00F54233" w:rsidRPr="00F54233">
          <w:rPr>
            <w:noProof/>
            <w:webHidden/>
          </w:rPr>
        </w:r>
        <w:r w:rsidR="00F54233" w:rsidRPr="00F54233">
          <w:rPr>
            <w:noProof/>
            <w:webHidden/>
          </w:rPr>
          <w:fldChar w:fldCharType="separate"/>
        </w:r>
        <w:r w:rsidR="00DB7441">
          <w:rPr>
            <w:noProof/>
            <w:webHidden/>
          </w:rPr>
          <w:t>8</w:t>
        </w:r>
        <w:r w:rsidR="00F54233" w:rsidRPr="00F54233">
          <w:rPr>
            <w:noProof/>
            <w:webHidden/>
          </w:rPr>
          <w:fldChar w:fldCharType="end"/>
        </w:r>
      </w:hyperlink>
    </w:p>
    <w:p w14:paraId="2DBB672E" w14:textId="0CD3D1F6" w:rsidR="00F54233" w:rsidRPr="00F54233" w:rsidRDefault="00ED66DD" w:rsidP="00CD10D9">
      <w:pPr>
        <w:pStyle w:val="Kazaloslik"/>
        <w:rPr>
          <w:rFonts w:eastAsiaTheme="minorEastAsia"/>
          <w:noProof/>
        </w:rPr>
      </w:pPr>
      <w:hyperlink w:anchor="_Toc151554962" w:history="1">
        <w:r w:rsidR="00F54233" w:rsidRPr="00F54233">
          <w:rPr>
            <w:rStyle w:val="Hiperpovezava"/>
            <w:rFonts w:ascii="Arial" w:hAnsi="Arial" w:cs="Arial"/>
            <w:noProof/>
            <w:sz w:val="22"/>
            <w:szCs w:val="22"/>
          </w:rPr>
          <w:t>Slika 4: Promet snovi v FFS na podlagi mikroorganizmov (MO)</w:t>
        </w:r>
        <w:r w:rsidR="00F54233" w:rsidRPr="00F54233">
          <w:rPr>
            <w:noProof/>
            <w:webHidden/>
          </w:rPr>
          <w:tab/>
        </w:r>
        <w:r w:rsidR="00F54233" w:rsidRPr="00F54233">
          <w:rPr>
            <w:noProof/>
            <w:webHidden/>
          </w:rPr>
          <w:fldChar w:fldCharType="begin"/>
        </w:r>
        <w:r w:rsidR="00F54233" w:rsidRPr="00F54233">
          <w:rPr>
            <w:noProof/>
            <w:webHidden/>
          </w:rPr>
          <w:instrText xml:space="preserve"> PAGEREF _Toc151554962 \h </w:instrText>
        </w:r>
        <w:r w:rsidR="00F54233" w:rsidRPr="00F54233">
          <w:rPr>
            <w:noProof/>
            <w:webHidden/>
          </w:rPr>
        </w:r>
        <w:r w:rsidR="00F54233" w:rsidRPr="00F54233">
          <w:rPr>
            <w:noProof/>
            <w:webHidden/>
          </w:rPr>
          <w:fldChar w:fldCharType="separate"/>
        </w:r>
        <w:r w:rsidR="00DB7441">
          <w:rPr>
            <w:noProof/>
            <w:webHidden/>
          </w:rPr>
          <w:t>9</w:t>
        </w:r>
        <w:r w:rsidR="00F54233" w:rsidRPr="00F54233">
          <w:rPr>
            <w:noProof/>
            <w:webHidden/>
          </w:rPr>
          <w:fldChar w:fldCharType="end"/>
        </w:r>
      </w:hyperlink>
    </w:p>
    <w:p w14:paraId="097226B5" w14:textId="3D0A7809" w:rsidR="00F54233" w:rsidRPr="00F54233" w:rsidRDefault="00ED66DD" w:rsidP="00CD10D9">
      <w:pPr>
        <w:pStyle w:val="Kazaloslik"/>
        <w:rPr>
          <w:rFonts w:eastAsiaTheme="minorEastAsia"/>
          <w:noProof/>
        </w:rPr>
      </w:pPr>
      <w:hyperlink w:anchor="_Toc151554963" w:history="1">
        <w:r w:rsidR="00F54233" w:rsidRPr="00F54233">
          <w:rPr>
            <w:rStyle w:val="Hiperpovezava"/>
            <w:rFonts w:ascii="Arial" w:hAnsi="Arial" w:cs="Arial"/>
            <w:noProof/>
            <w:sz w:val="22"/>
            <w:szCs w:val="22"/>
          </w:rPr>
          <w:t>Slika 5: Število vpisanih in pregledanih naprav</w:t>
        </w:r>
        <w:r w:rsidR="00F54233" w:rsidRPr="00F54233">
          <w:rPr>
            <w:noProof/>
            <w:webHidden/>
          </w:rPr>
          <w:tab/>
        </w:r>
        <w:r w:rsidR="00F54233" w:rsidRPr="00F54233">
          <w:rPr>
            <w:noProof/>
            <w:webHidden/>
          </w:rPr>
          <w:fldChar w:fldCharType="begin"/>
        </w:r>
        <w:r w:rsidR="00F54233" w:rsidRPr="00F54233">
          <w:rPr>
            <w:noProof/>
            <w:webHidden/>
          </w:rPr>
          <w:instrText xml:space="preserve"> PAGEREF _Toc151554963 \h </w:instrText>
        </w:r>
        <w:r w:rsidR="00F54233" w:rsidRPr="00F54233">
          <w:rPr>
            <w:noProof/>
            <w:webHidden/>
          </w:rPr>
        </w:r>
        <w:r w:rsidR="00F54233" w:rsidRPr="00F54233">
          <w:rPr>
            <w:noProof/>
            <w:webHidden/>
          </w:rPr>
          <w:fldChar w:fldCharType="separate"/>
        </w:r>
        <w:r w:rsidR="00DB7441">
          <w:rPr>
            <w:noProof/>
            <w:webHidden/>
          </w:rPr>
          <w:t>12</w:t>
        </w:r>
        <w:r w:rsidR="00F54233" w:rsidRPr="00F54233">
          <w:rPr>
            <w:noProof/>
            <w:webHidden/>
          </w:rPr>
          <w:fldChar w:fldCharType="end"/>
        </w:r>
      </w:hyperlink>
    </w:p>
    <w:p w14:paraId="7B439CCE" w14:textId="37AAA4BA" w:rsidR="00F54233" w:rsidRPr="00F54233" w:rsidRDefault="00ED66DD" w:rsidP="00CD10D9">
      <w:pPr>
        <w:pStyle w:val="Kazaloslik"/>
        <w:rPr>
          <w:rFonts w:eastAsiaTheme="minorEastAsia"/>
          <w:noProof/>
        </w:rPr>
      </w:pPr>
      <w:hyperlink w:anchor="_Toc151554964" w:history="1">
        <w:r w:rsidR="00F54233" w:rsidRPr="00F54233">
          <w:rPr>
            <w:rStyle w:val="Hiperpovezava"/>
            <w:rFonts w:ascii="Arial" w:hAnsi="Arial" w:cs="Arial"/>
            <w:noProof/>
            <w:sz w:val="22"/>
            <w:szCs w:val="22"/>
          </w:rPr>
          <w:t>Slika 6: Upadanje skupnega števila veljavnih izkaznic, vpisanih v centralno evidenco</w:t>
        </w:r>
        <w:r w:rsidR="00F54233" w:rsidRPr="00F54233">
          <w:rPr>
            <w:noProof/>
            <w:webHidden/>
          </w:rPr>
          <w:tab/>
        </w:r>
        <w:r w:rsidR="00F54233" w:rsidRPr="00F54233">
          <w:rPr>
            <w:noProof/>
            <w:webHidden/>
          </w:rPr>
          <w:fldChar w:fldCharType="begin"/>
        </w:r>
        <w:r w:rsidR="00F54233" w:rsidRPr="00F54233">
          <w:rPr>
            <w:noProof/>
            <w:webHidden/>
          </w:rPr>
          <w:instrText xml:space="preserve"> PAGEREF _Toc151554964 \h </w:instrText>
        </w:r>
        <w:r w:rsidR="00F54233" w:rsidRPr="00F54233">
          <w:rPr>
            <w:noProof/>
            <w:webHidden/>
          </w:rPr>
        </w:r>
        <w:r w:rsidR="00F54233" w:rsidRPr="00F54233">
          <w:rPr>
            <w:noProof/>
            <w:webHidden/>
          </w:rPr>
          <w:fldChar w:fldCharType="separate"/>
        </w:r>
        <w:r w:rsidR="00DB7441">
          <w:rPr>
            <w:noProof/>
            <w:webHidden/>
          </w:rPr>
          <w:t>13</w:t>
        </w:r>
        <w:r w:rsidR="00F54233" w:rsidRPr="00F54233">
          <w:rPr>
            <w:noProof/>
            <w:webHidden/>
          </w:rPr>
          <w:fldChar w:fldCharType="end"/>
        </w:r>
      </w:hyperlink>
    </w:p>
    <w:p w14:paraId="637C7455" w14:textId="6F71DCDC" w:rsidR="00D94D5F" w:rsidRDefault="009B5ADD" w:rsidP="003D3549">
      <w:pPr>
        <w:spacing w:beforeLines="60" w:before="144" w:afterLines="60" w:after="144" w:line="240" w:lineRule="auto"/>
        <w:ind w:left="709"/>
        <w:rPr>
          <w:rFonts w:cs="Arial"/>
        </w:rPr>
      </w:pPr>
      <w:r w:rsidRPr="00F54233">
        <w:rPr>
          <w:rFonts w:cs="Arial"/>
          <w:szCs w:val="22"/>
        </w:rPr>
        <w:fldChar w:fldCharType="end"/>
      </w:r>
    </w:p>
    <w:p w14:paraId="28FC8122" w14:textId="77777777" w:rsidR="00D94D5F" w:rsidRDefault="00D94D5F" w:rsidP="003D3549">
      <w:pPr>
        <w:spacing w:beforeLines="60" w:before="144" w:afterLines="60" w:after="144" w:line="240" w:lineRule="auto"/>
        <w:ind w:left="709"/>
        <w:rPr>
          <w:rFonts w:cs="Arial"/>
        </w:rPr>
      </w:pPr>
    </w:p>
    <w:p w14:paraId="7251247D" w14:textId="77777777" w:rsidR="00D94D5F" w:rsidRDefault="00D94D5F" w:rsidP="003D3549">
      <w:pPr>
        <w:spacing w:beforeLines="60" w:before="144" w:afterLines="60" w:after="144" w:line="240" w:lineRule="auto"/>
        <w:ind w:left="709"/>
        <w:rPr>
          <w:rFonts w:cs="Arial"/>
        </w:rPr>
      </w:pPr>
    </w:p>
    <w:p w14:paraId="48C63DE2" w14:textId="79F2CA8B" w:rsidR="003D3549" w:rsidRPr="003150A7" w:rsidRDefault="003D3549" w:rsidP="003D3549">
      <w:pPr>
        <w:spacing w:beforeLines="60" w:before="144" w:afterLines="60" w:after="144" w:line="240" w:lineRule="auto"/>
        <w:ind w:left="709"/>
        <w:rPr>
          <w:rFonts w:cs="Arial"/>
        </w:rPr>
      </w:pPr>
      <w:r w:rsidRPr="003150A7">
        <w:rPr>
          <w:rFonts w:cs="Arial"/>
        </w:rPr>
        <w:t>SEZNAM KRATIC:</w:t>
      </w:r>
    </w:p>
    <w:p w14:paraId="5C6DBA98" w14:textId="64CCCAD8" w:rsidR="00FD03BF" w:rsidRPr="003150A7" w:rsidRDefault="00FD03BF" w:rsidP="00000A2F">
      <w:pPr>
        <w:pStyle w:val="Napis"/>
        <w:rPr>
          <w:rFonts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60"/>
      </w:tblGrid>
      <w:tr w:rsidR="00293CCE" w:rsidRPr="00535C80" w14:paraId="4B10B9BA" w14:textId="77777777" w:rsidTr="00935918">
        <w:trPr>
          <w:trHeight w:val="300"/>
        </w:trPr>
        <w:tc>
          <w:tcPr>
            <w:tcW w:w="1440" w:type="dxa"/>
            <w:noWrap/>
            <w:hideMark/>
          </w:tcPr>
          <w:p w14:paraId="7025E302" w14:textId="77777777" w:rsidR="00293CCE" w:rsidRPr="00535C80" w:rsidRDefault="00293CCE">
            <w:pPr>
              <w:spacing w:after="0" w:line="240" w:lineRule="auto"/>
              <w:rPr>
                <w:rFonts w:cs="Arial"/>
              </w:rPr>
            </w:pPr>
            <w:r w:rsidRPr="00535C80">
              <w:rPr>
                <w:rFonts w:cs="Arial"/>
              </w:rPr>
              <w:t>ARSO</w:t>
            </w:r>
          </w:p>
        </w:tc>
        <w:tc>
          <w:tcPr>
            <w:tcW w:w="7060" w:type="dxa"/>
            <w:noWrap/>
            <w:hideMark/>
          </w:tcPr>
          <w:p w14:paraId="7882C01B" w14:textId="77777777" w:rsidR="00293CCE" w:rsidRPr="00535C80" w:rsidRDefault="00293CCE" w:rsidP="00293CCE">
            <w:pPr>
              <w:spacing w:after="0" w:line="240" w:lineRule="auto"/>
              <w:rPr>
                <w:rFonts w:cs="Arial"/>
              </w:rPr>
            </w:pPr>
            <w:r w:rsidRPr="00535C80">
              <w:rPr>
                <w:rFonts w:cs="Arial"/>
              </w:rPr>
              <w:t>Agencija Republike Slovenije za okolje</w:t>
            </w:r>
          </w:p>
        </w:tc>
      </w:tr>
      <w:tr w:rsidR="00293CCE" w:rsidRPr="00535C80" w14:paraId="00E68814" w14:textId="77777777" w:rsidTr="00935918">
        <w:trPr>
          <w:trHeight w:val="300"/>
        </w:trPr>
        <w:tc>
          <w:tcPr>
            <w:tcW w:w="1440" w:type="dxa"/>
            <w:noWrap/>
            <w:hideMark/>
          </w:tcPr>
          <w:p w14:paraId="5BB20064" w14:textId="77777777" w:rsidR="00293CCE" w:rsidRPr="00535C80" w:rsidRDefault="00293CCE" w:rsidP="00293CCE">
            <w:pPr>
              <w:spacing w:after="0" w:line="240" w:lineRule="auto"/>
              <w:rPr>
                <w:rFonts w:cs="Arial"/>
              </w:rPr>
            </w:pPr>
            <w:r w:rsidRPr="00535C80">
              <w:rPr>
                <w:rFonts w:cs="Arial"/>
              </w:rPr>
              <w:t>EK</w:t>
            </w:r>
          </w:p>
        </w:tc>
        <w:tc>
          <w:tcPr>
            <w:tcW w:w="7060" w:type="dxa"/>
            <w:noWrap/>
            <w:hideMark/>
          </w:tcPr>
          <w:p w14:paraId="56C5E4C7" w14:textId="77777777" w:rsidR="00293CCE" w:rsidRPr="00535C80" w:rsidRDefault="00293CCE" w:rsidP="00293CCE">
            <w:pPr>
              <w:spacing w:after="0" w:line="240" w:lineRule="auto"/>
              <w:rPr>
                <w:rFonts w:cs="Arial"/>
              </w:rPr>
            </w:pPr>
            <w:r w:rsidRPr="00535C80">
              <w:rPr>
                <w:rFonts w:cs="Arial"/>
              </w:rPr>
              <w:t>Evropska komisija</w:t>
            </w:r>
          </w:p>
        </w:tc>
      </w:tr>
      <w:tr w:rsidR="00293CCE" w:rsidRPr="00535C80" w14:paraId="00678D43" w14:textId="77777777" w:rsidTr="00935918">
        <w:trPr>
          <w:trHeight w:val="290"/>
        </w:trPr>
        <w:tc>
          <w:tcPr>
            <w:tcW w:w="1440" w:type="dxa"/>
            <w:noWrap/>
            <w:hideMark/>
          </w:tcPr>
          <w:p w14:paraId="26FF1C51" w14:textId="77777777" w:rsidR="00293CCE" w:rsidRPr="00535C80" w:rsidRDefault="00293CCE" w:rsidP="00293CCE">
            <w:pPr>
              <w:spacing w:after="0" w:line="240" w:lineRule="auto"/>
              <w:rPr>
                <w:rFonts w:cs="Arial"/>
              </w:rPr>
            </w:pPr>
            <w:r w:rsidRPr="00535C80">
              <w:rPr>
                <w:rFonts w:cs="Arial"/>
              </w:rPr>
              <w:t>ES</w:t>
            </w:r>
          </w:p>
        </w:tc>
        <w:tc>
          <w:tcPr>
            <w:tcW w:w="7060" w:type="dxa"/>
            <w:noWrap/>
            <w:hideMark/>
          </w:tcPr>
          <w:p w14:paraId="23EE19FC" w14:textId="77777777" w:rsidR="00293CCE" w:rsidRPr="00535C80" w:rsidRDefault="00293CCE" w:rsidP="00293CCE">
            <w:pPr>
              <w:spacing w:after="0" w:line="240" w:lineRule="auto"/>
              <w:rPr>
                <w:rFonts w:cs="Arial"/>
              </w:rPr>
            </w:pPr>
            <w:r w:rsidRPr="00535C80">
              <w:rPr>
                <w:rFonts w:cs="Arial"/>
              </w:rPr>
              <w:t>Evropska skupnost</w:t>
            </w:r>
          </w:p>
        </w:tc>
      </w:tr>
      <w:tr w:rsidR="00293CCE" w:rsidRPr="00535C80" w14:paraId="64F4E173" w14:textId="77777777" w:rsidTr="00935918">
        <w:trPr>
          <w:trHeight w:val="290"/>
        </w:trPr>
        <w:tc>
          <w:tcPr>
            <w:tcW w:w="1440" w:type="dxa"/>
            <w:noWrap/>
            <w:hideMark/>
          </w:tcPr>
          <w:p w14:paraId="1FA301B8" w14:textId="77777777" w:rsidR="00293CCE" w:rsidRPr="00535C80" w:rsidRDefault="00293CCE" w:rsidP="00293CCE">
            <w:pPr>
              <w:spacing w:after="0" w:line="240" w:lineRule="auto"/>
              <w:rPr>
                <w:rFonts w:cs="Arial"/>
              </w:rPr>
            </w:pPr>
            <w:r w:rsidRPr="00535C80">
              <w:rPr>
                <w:rFonts w:cs="Arial"/>
              </w:rPr>
              <w:t>EU</w:t>
            </w:r>
          </w:p>
        </w:tc>
        <w:tc>
          <w:tcPr>
            <w:tcW w:w="7060" w:type="dxa"/>
            <w:noWrap/>
            <w:hideMark/>
          </w:tcPr>
          <w:p w14:paraId="4B85BEC8" w14:textId="77777777" w:rsidR="00293CCE" w:rsidRPr="00535C80" w:rsidRDefault="00293CCE" w:rsidP="00293CCE">
            <w:pPr>
              <w:spacing w:after="0" w:line="240" w:lineRule="auto"/>
              <w:rPr>
                <w:rFonts w:cs="Arial"/>
              </w:rPr>
            </w:pPr>
            <w:r w:rsidRPr="00535C80">
              <w:rPr>
                <w:rFonts w:cs="Arial"/>
              </w:rPr>
              <w:t>Evropska unija</w:t>
            </w:r>
          </w:p>
        </w:tc>
      </w:tr>
      <w:tr w:rsidR="00293CCE" w:rsidRPr="00535C80" w14:paraId="7E085341" w14:textId="77777777" w:rsidTr="00935918">
        <w:trPr>
          <w:trHeight w:val="290"/>
        </w:trPr>
        <w:tc>
          <w:tcPr>
            <w:tcW w:w="1440" w:type="dxa"/>
            <w:noWrap/>
            <w:hideMark/>
          </w:tcPr>
          <w:p w14:paraId="2179D265" w14:textId="77777777" w:rsidR="00293CCE" w:rsidRPr="00535C80" w:rsidRDefault="00293CCE" w:rsidP="00293CCE">
            <w:pPr>
              <w:spacing w:after="0" w:line="240" w:lineRule="auto"/>
              <w:rPr>
                <w:rFonts w:cs="Arial"/>
              </w:rPr>
            </w:pPr>
            <w:r w:rsidRPr="00535C80">
              <w:rPr>
                <w:rFonts w:cs="Arial"/>
              </w:rPr>
              <w:t>EUROSTAT</w:t>
            </w:r>
          </w:p>
        </w:tc>
        <w:tc>
          <w:tcPr>
            <w:tcW w:w="7060" w:type="dxa"/>
            <w:noWrap/>
            <w:hideMark/>
          </w:tcPr>
          <w:p w14:paraId="59892975" w14:textId="77777777" w:rsidR="00293CCE" w:rsidRPr="00535C80" w:rsidRDefault="00293CCE" w:rsidP="00293CCE">
            <w:pPr>
              <w:spacing w:after="0" w:line="240" w:lineRule="auto"/>
              <w:rPr>
                <w:rFonts w:cs="Arial"/>
              </w:rPr>
            </w:pPr>
            <w:r w:rsidRPr="00535C80">
              <w:rPr>
                <w:rFonts w:cs="Arial"/>
              </w:rPr>
              <w:t>Evropski urad za statistiko</w:t>
            </w:r>
          </w:p>
        </w:tc>
      </w:tr>
      <w:tr w:rsidR="00293CCE" w:rsidRPr="00535C80" w14:paraId="3E04106E" w14:textId="77777777" w:rsidTr="00935918">
        <w:trPr>
          <w:trHeight w:val="290"/>
        </w:trPr>
        <w:tc>
          <w:tcPr>
            <w:tcW w:w="1440" w:type="dxa"/>
            <w:noWrap/>
            <w:hideMark/>
          </w:tcPr>
          <w:p w14:paraId="206ED814" w14:textId="77777777" w:rsidR="00293CCE" w:rsidRPr="00535C80" w:rsidRDefault="00293CCE" w:rsidP="00293CCE">
            <w:pPr>
              <w:spacing w:after="0" w:line="240" w:lineRule="auto"/>
              <w:rPr>
                <w:rFonts w:cs="Arial"/>
              </w:rPr>
            </w:pPr>
            <w:r w:rsidRPr="00535C80">
              <w:rPr>
                <w:rFonts w:cs="Arial"/>
              </w:rPr>
              <w:t>FFS</w:t>
            </w:r>
          </w:p>
        </w:tc>
        <w:tc>
          <w:tcPr>
            <w:tcW w:w="7060" w:type="dxa"/>
            <w:noWrap/>
            <w:hideMark/>
          </w:tcPr>
          <w:p w14:paraId="57644DA8" w14:textId="77777777" w:rsidR="00293CCE" w:rsidRPr="00535C80" w:rsidRDefault="00293CCE" w:rsidP="00293CCE">
            <w:pPr>
              <w:spacing w:after="0" w:line="240" w:lineRule="auto"/>
              <w:rPr>
                <w:rFonts w:cs="Arial"/>
              </w:rPr>
            </w:pPr>
            <w:r w:rsidRPr="00535C80">
              <w:rPr>
                <w:rFonts w:cs="Arial"/>
              </w:rPr>
              <w:t>Fitofarmacevtska sredstva</w:t>
            </w:r>
          </w:p>
        </w:tc>
      </w:tr>
      <w:tr w:rsidR="00293CCE" w:rsidRPr="00535C80" w14:paraId="5DD5AFC4" w14:textId="77777777" w:rsidTr="00935918">
        <w:trPr>
          <w:trHeight w:val="290"/>
        </w:trPr>
        <w:tc>
          <w:tcPr>
            <w:tcW w:w="1440" w:type="dxa"/>
            <w:noWrap/>
            <w:hideMark/>
          </w:tcPr>
          <w:p w14:paraId="3CF7231A" w14:textId="77777777" w:rsidR="00293CCE" w:rsidRPr="00535C80" w:rsidRDefault="00293CCE" w:rsidP="00293CCE">
            <w:pPr>
              <w:spacing w:after="0" w:line="240" w:lineRule="auto"/>
              <w:rPr>
                <w:rFonts w:cs="Arial"/>
              </w:rPr>
            </w:pPr>
            <w:r w:rsidRPr="00535C80">
              <w:rPr>
                <w:rFonts w:cs="Arial"/>
              </w:rPr>
              <w:t>IRSA</w:t>
            </w:r>
          </w:p>
        </w:tc>
        <w:tc>
          <w:tcPr>
            <w:tcW w:w="7060" w:type="dxa"/>
            <w:noWrap/>
            <w:hideMark/>
          </w:tcPr>
          <w:p w14:paraId="700A7FCC" w14:textId="77777777" w:rsidR="00293CCE" w:rsidRPr="00535C80" w:rsidRDefault="00293CCE" w:rsidP="00293CCE">
            <w:pPr>
              <w:spacing w:after="0" w:line="240" w:lineRule="auto"/>
              <w:rPr>
                <w:rFonts w:cs="Arial"/>
              </w:rPr>
            </w:pPr>
            <w:r w:rsidRPr="00535C80">
              <w:rPr>
                <w:rFonts w:cs="Arial"/>
              </w:rPr>
              <w:t>Inštitut za razvojne in strateške analize</w:t>
            </w:r>
          </w:p>
        </w:tc>
      </w:tr>
      <w:tr w:rsidR="00293CCE" w:rsidRPr="00535C80" w14:paraId="4C27810C" w14:textId="77777777" w:rsidTr="00935918">
        <w:trPr>
          <w:trHeight w:val="290"/>
        </w:trPr>
        <w:tc>
          <w:tcPr>
            <w:tcW w:w="1440" w:type="dxa"/>
            <w:noWrap/>
            <w:hideMark/>
          </w:tcPr>
          <w:p w14:paraId="69C4D961" w14:textId="77777777" w:rsidR="00293CCE" w:rsidRPr="00535C80" w:rsidRDefault="00293CCE" w:rsidP="00293CCE">
            <w:pPr>
              <w:spacing w:after="0" w:line="240" w:lineRule="auto"/>
              <w:rPr>
                <w:rFonts w:cs="Arial"/>
              </w:rPr>
            </w:pPr>
            <w:r w:rsidRPr="00535C80">
              <w:rPr>
                <w:rFonts w:cs="Arial"/>
              </w:rPr>
              <w:t>IVR</w:t>
            </w:r>
          </w:p>
        </w:tc>
        <w:tc>
          <w:tcPr>
            <w:tcW w:w="7060" w:type="dxa"/>
            <w:noWrap/>
            <w:hideMark/>
          </w:tcPr>
          <w:p w14:paraId="3FD43CA6" w14:textId="77777777" w:rsidR="00293CCE" w:rsidRPr="00535C80" w:rsidRDefault="00293CCE" w:rsidP="00293CCE">
            <w:pPr>
              <w:spacing w:after="0" w:line="240" w:lineRule="auto"/>
              <w:rPr>
                <w:rFonts w:cs="Arial"/>
              </w:rPr>
            </w:pPr>
            <w:r w:rsidRPr="00535C80">
              <w:rPr>
                <w:rFonts w:cs="Arial"/>
              </w:rPr>
              <w:t>Integrirano varstvo rastlin</w:t>
            </w:r>
          </w:p>
        </w:tc>
      </w:tr>
      <w:tr w:rsidR="000E05B8" w:rsidRPr="00535C80" w14:paraId="2D52DE56" w14:textId="77777777" w:rsidTr="00935918">
        <w:trPr>
          <w:trHeight w:val="290"/>
        </w:trPr>
        <w:tc>
          <w:tcPr>
            <w:tcW w:w="1440" w:type="dxa"/>
            <w:noWrap/>
          </w:tcPr>
          <w:p w14:paraId="0AD777C8" w14:textId="29D5C0AB" w:rsidR="000E05B8" w:rsidRPr="00535C80" w:rsidRDefault="000E05B8" w:rsidP="00293CCE">
            <w:pPr>
              <w:spacing w:after="0" w:line="240" w:lineRule="auto"/>
              <w:rPr>
                <w:rFonts w:cs="Arial"/>
              </w:rPr>
            </w:pPr>
            <w:r>
              <w:rPr>
                <w:rFonts w:cs="Arial"/>
              </w:rPr>
              <w:t>kg</w:t>
            </w:r>
          </w:p>
        </w:tc>
        <w:tc>
          <w:tcPr>
            <w:tcW w:w="7060" w:type="dxa"/>
            <w:noWrap/>
          </w:tcPr>
          <w:p w14:paraId="071AE1BE" w14:textId="6C948C38" w:rsidR="000E05B8" w:rsidRPr="00535C80" w:rsidRDefault="000E05B8" w:rsidP="00293CCE">
            <w:pPr>
              <w:spacing w:after="0" w:line="240" w:lineRule="auto"/>
              <w:rPr>
                <w:rFonts w:cs="Arial"/>
              </w:rPr>
            </w:pPr>
            <w:r>
              <w:rPr>
                <w:rFonts w:cs="Arial"/>
              </w:rPr>
              <w:t xml:space="preserve">Kilogram </w:t>
            </w:r>
          </w:p>
        </w:tc>
      </w:tr>
      <w:tr w:rsidR="00293CCE" w:rsidRPr="00535C80" w14:paraId="1FF97489" w14:textId="77777777" w:rsidTr="00935918">
        <w:trPr>
          <w:trHeight w:val="290"/>
        </w:trPr>
        <w:tc>
          <w:tcPr>
            <w:tcW w:w="1440" w:type="dxa"/>
            <w:noWrap/>
            <w:hideMark/>
          </w:tcPr>
          <w:p w14:paraId="228E93E9" w14:textId="77777777" w:rsidR="00293CCE" w:rsidRPr="00535C80" w:rsidRDefault="00293CCE" w:rsidP="00293CCE">
            <w:pPr>
              <w:spacing w:after="0" w:line="240" w:lineRule="auto"/>
              <w:rPr>
                <w:rFonts w:cs="Arial"/>
              </w:rPr>
            </w:pPr>
            <w:r w:rsidRPr="00535C80">
              <w:rPr>
                <w:rFonts w:cs="Arial"/>
              </w:rPr>
              <w:t>MKGP</w:t>
            </w:r>
          </w:p>
        </w:tc>
        <w:tc>
          <w:tcPr>
            <w:tcW w:w="7060" w:type="dxa"/>
            <w:noWrap/>
            <w:hideMark/>
          </w:tcPr>
          <w:p w14:paraId="52CD105C" w14:textId="4AFE989B" w:rsidR="00293CCE" w:rsidRPr="00535C80" w:rsidRDefault="00293CCE" w:rsidP="00293CCE">
            <w:pPr>
              <w:spacing w:after="0" w:line="240" w:lineRule="auto"/>
              <w:rPr>
                <w:rFonts w:cs="Arial"/>
              </w:rPr>
            </w:pPr>
            <w:r w:rsidRPr="00535C80">
              <w:rPr>
                <w:rFonts w:cs="Arial"/>
              </w:rPr>
              <w:t>Minis</w:t>
            </w:r>
            <w:r w:rsidR="00F24278" w:rsidRPr="00535C80">
              <w:rPr>
                <w:rFonts w:cs="Arial"/>
              </w:rPr>
              <w:t>t</w:t>
            </w:r>
            <w:r w:rsidRPr="00535C80">
              <w:rPr>
                <w:rFonts w:cs="Arial"/>
              </w:rPr>
              <w:t>rstvo za kmetijstvo, gozdarstvo in prehrano</w:t>
            </w:r>
          </w:p>
        </w:tc>
      </w:tr>
      <w:tr w:rsidR="00293CCE" w:rsidRPr="00535C80" w14:paraId="3463275B" w14:textId="77777777" w:rsidTr="00935918">
        <w:trPr>
          <w:trHeight w:val="290"/>
        </w:trPr>
        <w:tc>
          <w:tcPr>
            <w:tcW w:w="1440" w:type="dxa"/>
            <w:noWrap/>
            <w:hideMark/>
          </w:tcPr>
          <w:p w14:paraId="3FF880D0" w14:textId="77777777" w:rsidR="00293CCE" w:rsidRPr="00535C80" w:rsidRDefault="00293CCE" w:rsidP="00293CCE">
            <w:pPr>
              <w:spacing w:after="0" w:line="240" w:lineRule="auto"/>
              <w:rPr>
                <w:rFonts w:cs="Arial"/>
              </w:rPr>
            </w:pPr>
            <w:r w:rsidRPr="00535C80">
              <w:rPr>
                <w:rFonts w:cs="Arial"/>
              </w:rPr>
              <w:t>MO</w:t>
            </w:r>
          </w:p>
        </w:tc>
        <w:tc>
          <w:tcPr>
            <w:tcW w:w="7060" w:type="dxa"/>
            <w:noWrap/>
            <w:hideMark/>
          </w:tcPr>
          <w:p w14:paraId="3B728B9F" w14:textId="7AD14182" w:rsidR="00293CCE" w:rsidRPr="00535C80" w:rsidRDefault="00293CCE" w:rsidP="00293CCE">
            <w:pPr>
              <w:spacing w:after="0" w:line="240" w:lineRule="auto"/>
              <w:rPr>
                <w:rFonts w:cs="Arial"/>
              </w:rPr>
            </w:pPr>
            <w:r w:rsidRPr="00535C80">
              <w:rPr>
                <w:rFonts w:cs="Arial"/>
              </w:rPr>
              <w:t>Mikroorganizmi</w:t>
            </w:r>
          </w:p>
        </w:tc>
      </w:tr>
      <w:tr w:rsidR="007E298C" w:rsidRPr="00535C80" w14:paraId="2EA5C231" w14:textId="77777777" w:rsidTr="00935918">
        <w:trPr>
          <w:trHeight w:val="290"/>
        </w:trPr>
        <w:tc>
          <w:tcPr>
            <w:tcW w:w="1440" w:type="dxa"/>
            <w:noWrap/>
          </w:tcPr>
          <w:p w14:paraId="3FA65160" w14:textId="133C2472" w:rsidR="007E298C" w:rsidRPr="00535C80" w:rsidRDefault="007E298C" w:rsidP="007E298C">
            <w:pPr>
              <w:spacing w:after="0" w:line="240" w:lineRule="auto"/>
              <w:rPr>
                <w:rFonts w:cs="Arial"/>
              </w:rPr>
            </w:pPr>
            <w:r w:rsidRPr="00535C80">
              <w:rPr>
                <w:rFonts w:cs="Arial"/>
              </w:rPr>
              <w:t>MPV</w:t>
            </w:r>
          </w:p>
        </w:tc>
        <w:tc>
          <w:tcPr>
            <w:tcW w:w="7060" w:type="dxa"/>
            <w:noWrap/>
          </w:tcPr>
          <w:p w14:paraId="6A8C97BB" w14:textId="545D54F7" w:rsidR="007E298C" w:rsidRPr="00535C80" w:rsidRDefault="007E298C" w:rsidP="00293CCE">
            <w:pPr>
              <w:spacing w:after="0" w:line="240" w:lineRule="auto"/>
              <w:rPr>
                <w:rFonts w:cs="Arial"/>
              </w:rPr>
            </w:pPr>
            <w:r w:rsidRPr="00535C80">
              <w:rPr>
                <w:rFonts w:cs="Arial"/>
              </w:rPr>
              <w:t>Monitoring pitne vode</w:t>
            </w:r>
          </w:p>
        </w:tc>
      </w:tr>
      <w:tr w:rsidR="00293CCE" w:rsidRPr="00535C80" w14:paraId="6B057C69" w14:textId="77777777" w:rsidTr="00935918">
        <w:trPr>
          <w:trHeight w:val="290"/>
        </w:trPr>
        <w:tc>
          <w:tcPr>
            <w:tcW w:w="1440" w:type="dxa"/>
            <w:noWrap/>
            <w:hideMark/>
          </w:tcPr>
          <w:p w14:paraId="5AE9AAAB" w14:textId="77777777" w:rsidR="00293CCE" w:rsidRPr="00535C80" w:rsidRDefault="00293CCE" w:rsidP="00293CCE">
            <w:pPr>
              <w:spacing w:after="0" w:line="240" w:lineRule="auto"/>
              <w:rPr>
                <w:rFonts w:cs="Arial"/>
              </w:rPr>
            </w:pPr>
            <w:r w:rsidRPr="00535C80">
              <w:rPr>
                <w:rFonts w:cs="Arial"/>
              </w:rPr>
              <w:t>NAP</w:t>
            </w:r>
          </w:p>
        </w:tc>
        <w:tc>
          <w:tcPr>
            <w:tcW w:w="7060" w:type="dxa"/>
            <w:noWrap/>
            <w:hideMark/>
          </w:tcPr>
          <w:p w14:paraId="51454F71" w14:textId="325F9AAF" w:rsidR="00293CCE" w:rsidRPr="00535C80" w:rsidRDefault="00293CCE" w:rsidP="00293CCE">
            <w:pPr>
              <w:spacing w:after="0" w:line="240" w:lineRule="auto"/>
              <w:rPr>
                <w:rFonts w:cs="Arial"/>
              </w:rPr>
            </w:pPr>
            <w:r w:rsidRPr="00535C80">
              <w:rPr>
                <w:rFonts w:cs="Arial"/>
              </w:rPr>
              <w:t>Nacionalni akcijski program</w:t>
            </w:r>
            <w:r w:rsidR="00EE651A" w:rsidRPr="00535C80">
              <w:rPr>
                <w:rFonts w:cs="Arial"/>
              </w:rPr>
              <w:t xml:space="preserve"> za trajnostno uporabo FFS</w:t>
            </w:r>
          </w:p>
        </w:tc>
      </w:tr>
      <w:tr w:rsidR="00293CCE" w:rsidRPr="00535C80" w14:paraId="1A17D859" w14:textId="77777777" w:rsidTr="00935918">
        <w:trPr>
          <w:trHeight w:val="290"/>
        </w:trPr>
        <w:tc>
          <w:tcPr>
            <w:tcW w:w="1440" w:type="dxa"/>
            <w:noWrap/>
            <w:hideMark/>
          </w:tcPr>
          <w:p w14:paraId="4C82CA98" w14:textId="77777777" w:rsidR="00293CCE" w:rsidRPr="00535C80" w:rsidRDefault="00293CCE" w:rsidP="00293CCE">
            <w:pPr>
              <w:spacing w:after="0" w:line="240" w:lineRule="auto"/>
              <w:rPr>
                <w:rFonts w:cs="Arial"/>
              </w:rPr>
            </w:pPr>
            <w:r w:rsidRPr="00535C80">
              <w:rPr>
                <w:rFonts w:cs="Arial"/>
              </w:rPr>
              <w:t>OO</w:t>
            </w:r>
          </w:p>
        </w:tc>
        <w:tc>
          <w:tcPr>
            <w:tcW w:w="7060" w:type="dxa"/>
            <w:noWrap/>
            <w:hideMark/>
          </w:tcPr>
          <w:p w14:paraId="50A30C33" w14:textId="77777777" w:rsidR="00293CCE" w:rsidRPr="00535C80" w:rsidRDefault="00293CCE" w:rsidP="00293CCE">
            <w:pPr>
              <w:spacing w:after="0" w:line="240" w:lineRule="auto"/>
              <w:rPr>
                <w:rFonts w:cs="Arial"/>
              </w:rPr>
            </w:pPr>
            <w:r w:rsidRPr="00535C80">
              <w:rPr>
                <w:rFonts w:cs="Arial"/>
              </w:rPr>
              <w:t>Oskrbovalno območje</w:t>
            </w:r>
          </w:p>
        </w:tc>
      </w:tr>
      <w:tr w:rsidR="008D1F7B" w:rsidRPr="00535C80" w14:paraId="0768B132" w14:textId="77777777" w:rsidTr="00935918">
        <w:trPr>
          <w:trHeight w:val="290"/>
        </w:trPr>
        <w:tc>
          <w:tcPr>
            <w:tcW w:w="1440" w:type="dxa"/>
            <w:noWrap/>
          </w:tcPr>
          <w:p w14:paraId="46563B23" w14:textId="1A1A3CD7" w:rsidR="008D1F7B" w:rsidRPr="00535C80" w:rsidRDefault="008D1F7B" w:rsidP="00293CCE">
            <w:pPr>
              <w:spacing w:after="0" w:line="240" w:lineRule="auto"/>
              <w:rPr>
                <w:rFonts w:cs="Arial"/>
              </w:rPr>
            </w:pPr>
            <w:r>
              <w:rPr>
                <w:rFonts w:cs="Arial"/>
              </w:rPr>
              <w:t>RS</w:t>
            </w:r>
          </w:p>
        </w:tc>
        <w:tc>
          <w:tcPr>
            <w:tcW w:w="7060" w:type="dxa"/>
            <w:noWrap/>
          </w:tcPr>
          <w:p w14:paraId="7527800F" w14:textId="506D5AFF" w:rsidR="008D1F7B" w:rsidRPr="00535C80" w:rsidRDefault="008D1F7B" w:rsidP="00293CCE">
            <w:pPr>
              <w:spacing w:after="0" w:line="240" w:lineRule="auto"/>
              <w:rPr>
                <w:rFonts w:cs="Arial"/>
              </w:rPr>
            </w:pPr>
            <w:r>
              <w:rPr>
                <w:rFonts w:cs="Arial"/>
              </w:rPr>
              <w:t>Republika Slovenija</w:t>
            </w:r>
          </w:p>
        </w:tc>
      </w:tr>
      <w:tr w:rsidR="00262F5D" w:rsidRPr="00535C80" w14:paraId="5DADBC7B" w14:textId="77777777" w:rsidTr="00935918">
        <w:trPr>
          <w:trHeight w:val="290"/>
        </w:trPr>
        <w:tc>
          <w:tcPr>
            <w:tcW w:w="1440" w:type="dxa"/>
            <w:noWrap/>
          </w:tcPr>
          <w:p w14:paraId="750DFFF6" w14:textId="4403A942" w:rsidR="00262F5D" w:rsidRDefault="00262F5D" w:rsidP="00293CCE">
            <w:pPr>
              <w:spacing w:after="0" w:line="240" w:lineRule="auto"/>
              <w:rPr>
                <w:rFonts w:cs="Arial"/>
              </w:rPr>
            </w:pPr>
            <w:r>
              <w:rPr>
                <w:rFonts w:cs="Arial"/>
              </w:rPr>
              <w:t>SURS</w:t>
            </w:r>
          </w:p>
        </w:tc>
        <w:tc>
          <w:tcPr>
            <w:tcW w:w="7060" w:type="dxa"/>
            <w:noWrap/>
          </w:tcPr>
          <w:p w14:paraId="3521685E" w14:textId="671F25AF" w:rsidR="00262F5D" w:rsidRDefault="00262F5D" w:rsidP="00293CCE">
            <w:pPr>
              <w:spacing w:after="0" w:line="240" w:lineRule="auto"/>
              <w:rPr>
                <w:rFonts w:cs="Arial"/>
              </w:rPr>
            </w:pPr>
            <w:r>
              <w:rPr>
                <w:rFonts w:cs="Arial"/>
              </w:rPr>
              <w:t>Statistični urad republike Slovenije</w:t>
            </w:r>
          </w:p>
        </w:tc>
      </w:tr>
      <w:tr w:rsidR="00D867ED" w:rsidRPr="00535C80" w14:paraId="5641D177" w14:textId="77777777" w:rsidTr="00935918">
        <w:trPr>
          <w:trHeight w:val="290"/>
        </w:trPr>
        <w:tc>
          <w:tcPr>
            <w:tcW w:w="1440" w:type="dxa"/>
            <w:noWrap/>
          </w:tcPr>
          <w:p w14:paraId="00B5A22D" w14:textId="29072BB4" w:rsidR="00D867ED" w:rsidRDefault="00D867ED" w:rsidP="00293CCE">
            <w:pPr>
              <w:spacing w:after="0" w:line="240" w:lineRule="auto"/>
              <w:rPr>
                <w:rFonts w:cs="Arial"/>
              </w:rPr>
            </w:pPr>
            <w:r>
              <w:rPr>
                <w:rFonts w:cs="Arial"/>
              </w:rPr>
              <w:t>UVHVVR</w:t>
            </w:r>
          </w:p>
        </w:tc>
        <w:tc>
          <w:tcPr>
            <w:tcW w:w="7060" w:type="dxa"/>
            <w:noWrap/>
          </w:tcPr>
          <w:p w14:paraId="531B380B" w14:textId="76B931E6" w:rsidR="00D867ED" w:rsidRDefault="00D867ED" w:rsidP="00293CCE">
            <w:pPr>
              <w:spacing w:after="0" w:line="240" w:lineRule="auto"/>
              <w:rPr>
                <w:rFonts w:cs="Arial"/>
              </w:rPr>
            </w:pPr>
            <w:r>
              <w:rPr>
                <w:rFonts w:cs="Arial"/>
              </w:rPr>
              <w:t>Uprava za varno hrano, veterinarstvo in varstvo rastlin</w:t>
            </w:r>
          </w:p>
        </w:tc>
      </w:tr>
    </w:tbl>
    <w:p w14:paraId="789C4723" w14:textId="77777777" w:rsidR="00FD03BF" w:rsidRPr="00535C80" w:rsidRDefault="00FD03BF">
      <w:pPr>
        <w:spacing w:after="0" w:line="240" w:lineRule="auto"/>
        <w:rPr>
          <w:rFonts w:cs="Arial"/>
        </w:rPr>
      </w:pPr>
    </w:p>
    <w:p w14:paraId="4BB8C7BD" w14:textId="30F5913A" w:rsidR="00FD03BF" w:rsidRPr="003150A7" w:rsidRDefault="00245456">
      <w:pPr>
        <w:spacing w:after="0" w:line="240" w:lineRule="auto"/>
        <w:rPr>
          <w:rFonts w:cs="Arial"/>
        </w:rPr>
      </w:pPr>
      <w:r w:rsidRPr="00535C80">
        <w:rPr>
          <w:rFonts w:cs="Arial"/>
        </w:rPr>
        <w:br w:type="page"/>
      </w:r>
    </w:p>
    <w:p w14:paraId="75F894B4" w14:textId="77777777" w:rsidR="00FD03BF" w:rsidRPr="003150A7" w:rsidRDefault="00FD03BF">
      <w:pPr>
        <w:spacing w:after="0" w:line="240" w:lineRule="auto"/>
        <w:rPr>
          <w:rFonts w:eastAsiaTheme="majorEastAsia" w:cs="Arial"/>
          <w:color w:val="365F91" w:themeColor="accent1" w:themeShade="BF"/>
        </w:rPr>
      </w:pPr>
    </w:p>
    <w:p w14:paraId="7B8B697F" w14:textId="60A64819" w:rsidR="003E5DBA" w:rsidRPr="003150A7" w:rsidRDefault="009B6EF4" w:rsidP="00535C80">
      <w:r w:rsidRPr="003150A7">
        <w:t xml:space="preserve">Na podlagi </w:t>
      </w:r>
      <w:r w:rsidR="0025458B" w:rsidRPr="003150A7">
        <w:t>8</w:t>
      </w:r>
      <w:r w:rsidR="008C3660" w:rsidRPr="003150A7">
        <w:t>.</w:t>
      </w:r>
      <w:r w:rsidR="0025458B" w:rsidRPr="003150A7">
        <w:t xml:space="preserve"> </w:t>
      </w:r>
      <w:r w:rsidR="008C3660" w:rsidRPr="003150A7">
        <w:t>točke</w:t>
      </w:r>
      <w:r w:rsidR="0025458B" w:rsidRPr="003150A7">
        <w:t xml:space="preserve"> Nacionalnega akcijskega programa za doseganje trajnostne rabe fitofarmacevtskih sredstev za obdobje 2012</w:t>
      </w:r>
      <w:r w:rsidR="00D867ED">
        <w:t xml:space="preserve"> </w:t>
      </w:r>
      <w:r w:rsidR="0025458B" w:rsidRPr="003150A7">
        <w:t>–</w:t>
      </w:r>
      <w:r w:rsidR="00D867ED">
        <w:t xml:space="preserve"> </w:t>
      </w:r>
      <w:r w:rsidR="0025458B" w:rsidRPr="003150A7">
        <w:t xml:space="preserve">2022 Ministrstvo za kmetijstvo, gozdarstvo in prehrano </w:t>
      </w:r>
      <w:r w:rsidR="003E5DBA" w:rsidRPr="003150A7">
        <w:t>sprejme</w:t>
      </w:r>
      <w:r w:rsidR="0025458B" w:rsidRPr="003150A7">
        <w:t xml:space="preserve"> </w:t>
      </w:r>
    </w:p>
    <w:p w14:paraId="2E5B367B" w14:textId="77777777" w:rsidR="007737DA" w:rsidRPr="003150A7" w:rsidRDefault="007737DA" w:rsidP="003D47F9">
      <w:pPr>
        <w:pStyle w:val="Odstavekseznama"/>
        <w:spacing w:beforeLines="60" w:before="144" w:afterLines="60" w:after="144" w:line="240" w:lineRule="auto"/>
        <w:ind w:left="0"/>
        <w:rPr>
          <w:rFonts w:cs="Arial"/>
        </w:rPr>
      </w:pPr>
    </w:p>
    <w:p w14:paraId="205EB7B7" w14:textId="4F8174AD" w:rsidR="007737DA" w:rsidRPr="00535C80" w:rsidRDefault="001C66A1" w:rsidP="00535C80">
      <w:pPr>
        <w:pStyle w:val="Brezrazmikov"/>
        <w:jc w:val="center"/>
        <w:rPr>
          <w:rFonts w:cs="Arial"/>
          <w:b/>
          <w:bCs/>
        </w:rPr>
      </w:pPr>
      <w:r w:rsidRPr="00535C80">
        <w:rPr>
          <w:rFonts w:cs="Arial"/>
          <w:b/>
          <w:bCs/>
        </w:rPr>
        <w:t>Končno p</w:t>
      </w:r>
      <w:r w:rsidR="007737DA" w:rsidRPr="00535C80">
        <w:rPr>
          <w:rFonts w:cs="Arial"/>
          <w:b/>
          <w:bCs/>
        </w:rPr>
        <w:t>oročilo o napredku pri doseganju ciljev</w:t>
      </w:r>
      <w:r w:rsidR="009F5748">
        <w:rPr>
          <w:rFonts w:cs="Arial"/>
          <w:b/>
          <w:bCs/>
        </w:rPr>
        <w:t xml:space="preserve"> </w:t>
      </w:r>
      <w:r w:rsidR="00DA2899" w:rsidRPr="00535C80">
        <w:rPr>
          <w:rFonts w:cs="Arial"/>
          <w:b/>
          <w:bCs/>
        </w:rPr>
        <w:t>n</w:t>
      </w:r>
      <w:r w:rsidR="007737DA" w:rsidRPr="00535C80">
        <w:rPr>
          <w:rFonts w:cs="Arial"/>
          <w:b/>
          <w:bCs/>
        </w:rPr>
        <w:t>acionalnega akcijskega programa za doseganje trajnostne rabe fitofarmacevtskih sredstev</w:t>
      </w:r>
    </w:p>
    <w:p w14:paraId="525546F2" w14:textId="2D9B9388" w:rsidR="00045618" w:rsidRPr="009F5748" w:rsidRDefault="00DA2899" w:rsidP="009F5748">
      <w:pPr>
        <w:pStyle w:val="Brezrazmikov"/>
        <w:jc w:val="center"/>
        <w:rPr>
          <w:rFonts w:cs="Arial"/>
          <w:b/>
          <w:bCs/>
        </w:rPr>
      </w:pPr>
      <w:r w:rsidRPr="00535C80">
        <w:rPr>
          <w:rFonts w:cs="Arial"/>
          <w:b/>
          <w:bCs/>
        </w:rPr>
        <w:t>z</w:t>
      </w:r>
      <w:r w:rsidR="001C66A1" w:rsidRPr="00535C80">
        <w:rPr>
          <w:rFonts w:cs="Arial"/>
          <w:b/>
          <w:bCs/>
        </w:rPr>
        <w:t>a obdobje</w:t>
      </w:r>
      <w:r w:rsidR="007737DA" w:rsidRPr="00535C80">
        <w:rPr>
          <w:rFonts w:cs="Arial"/>
          <w:b/>
          <w:bCs/>
        </w:rPr>
        <w:t xml:space="preserve"> 201</w:t>
      </w:r>
      <w:r w:rsidR="00245E2C" w:rsidRPr="00535C80">
        <w:rPr>
          <w:rFonts w:cs="Arial"/>
          <w:b/>
          <w:bCs/>
        </w:rPr>
        <w:t>8</w:t>
      </w:r>
      <w:r w:rsidR="001C66A1" w:rsidRPr="00535C80">
        <w:rPr>
          <w:rFonts w:cs="Arial"/>
          <w:b/>
          <w:bCs/>
        </w:rPr>
        <w:t xml:space="preserve"> </w:t>
      </w:r>
      <w:r w:rsidR="00D867ED">
        <w:rPr>
          <w:rFonts w:cs="Arial"/>
          <w:b/>
          <w:bCs/>
        </w:rPr>
        <w:t>–</w:t>
      </w:r>
      <w:r w:rsidR="001C66A1" w:rsidRPr="00535C80">
        <w:rPr>
          <w:rFonts w:cs="Arial"/>
          <w:b/>
          <w:bCs/>
        </w:rPr>
        <w:t xml:space="preserve"> </w:t>
      </w:r>
      <w:r w:rsidR="00626633" w:rsidRPr="00535C80">
        <w:rPr>
          <w:rFonts w:cs="Arial"/>
          <w:b/>
          <w:bCs/>
        </w:rPr>
        <w:t>20</w:t>
      </w:r>
      <w:r w:rsidR="00245E2C" w:rsidRPr="00535C80">
        <w:rPr>
          <w:rFonts w:cs="Arial"/>
          <w:b/>
          <w:bCs/>
        </w:rPr>
        <w:t>22</w:t>
      </w:r>
      <w:r w:rsidR="00D867ED">
        <w:rPr>
          <w:rFonts w:cs="Arial"/>
          <w:b/>
          <w:bCs/>
        </w:rPr>
        <w:t xml:space="preserve"> </w:t>
      </w:r>
    </w:p>
    <w:p w14:paraId="2C8F8CA7" w14:textId="5F8AC4FC" w:rsidR="009B6EF4" w:rsidRPr="00535C80" w:rsidRDefault="0036307E" w:rsidP="0036307E">
      <w:pPr>
        <w:pStyle w:val="Naslov3"/>
      </w:pPr>
      <w:bookmarkStart w:id="0" w:name="_Toc146287354"/>
      <w:bookmarkStart w:id="1" w:name="_Toc170816406"/>
      <w:r w:rsidRPr="00535C80">
        <w:t>Uvod</w:t>
      </w:r>
      <w:bookmarkEnd w:id="0"/>
      <w:bookmarkEnd w:id="1"/>
    </w:p>
    <w:p w14:paraId="0202BB1A" w14:textId="6ADB6B02" w:rsidR="007B0D2E" w:rsidRPr="003150A7" w:rsidRDefault="00045618" w:rsidP="00535C80">
      <w:r w:rsidRPr="003150A7">
        <w:t>Nacionaln</w:t>
      </w:r>
      <w:r w:rsidR="00871125" w:rsidRPr="003150A7">
        <w:t>i</w:t>
      </w:r>
      <w:r w:rsidRPr="003150A7">
        <w:t xml:space="preserve"> Akcijsk</w:t>
      </w:r>
      <w:r w:rsidR="00871125" w:rsidRPr="003150A7">
        <w:t>i</w:t>
      </w:r>
      <w:r w:rsidRPr="003150A7">
        <w:t xml:space="preserve"> Program</w:t>
      </w:r>
      <w:r w:rsidR="009F5748">
        <w:t xml:space="preserve"> </w:t>
      </w:r>
      <w:r w:rsidRPr="003150A7">
        <w:t>(</w:t>
      </w:r>
      <w:r w:rsidR="00873BA1" w:rsidRPr="003150A7">
        <w:t xml:space="preserve">v nadaljnjem besedilu: </w:t>
      </w:r>
      <w:r w:rsidRPr="003150A7">
        <w:t xml:space="preserve">NAP) </w:t>
      </w:r>
      <w:r w:rsidR="00871125" w:rsidRPr="003150A7">
        <w:t>z</w:t>
      </w:r>
      <w:r w:rsidRPr="003150A7">
        <w:t xml:space="preserve">a </w:t>
      </w:r>
      <w:r w:rsidR="00871125" w:rsidRPr="003150A7">
        <w:t>d</w:t>
      </w:r>
      <w:r w:rsidRPr="003150A7">
        <w:t xml:space="preserve">oseganje </w:t>
      </w:r>
      <w:r w:rsidR="00871125" w:rsidRPr="003150A7">
        <w:t>t</w:t>
      </w:r>
      <w:r w:rsidRPr="003150A7">
        <w:t xml:space="preserve">rajnostne </w:t>
      </w:r>
      <w:r w:rsidR="00871125" w:rsidRPr="003150A7">
        <w:t>r</w:t>
      </w:r>
      <w:r w:rsidRPr="003150A7">
        <w:t xml:space="preserve">abe </w:t>
      </w:r>
      <w:r w:rsidR="00871125" w:rsidRPr="003150A7">
        <w:t>f</w:t>
      </w:r>
      <w:r w:rsidRPr="003150A7">
        <w:t xml:space="preserve">itofarmacevtskih </w:t>
      </w:r>
      <w:r w:rsidR="00871125" w:rsidRPr="003150A7">
        <w:t>s</w:t>
      </w:r>
      <w:r w:rsidRPr="003150A7">
        <w:t>redstev</w:t>
      </w:r>
      <w:r w:rsidR="006A2F2F" w:rsidRPr="003150A7">
        <w:t xml:space="preserve"> </w:t>
      </w:r>
      <w:r w:rsidR="00F31C93" w:rsidRPr="003150A7">
        <w:t>(</w:t>
      </w:r>
      <w:r w:rsidR="000E576E">
        <w:t xml:space="preserve">v nadaljnjem besedilu: </w:t>
      </w:r>
      <w:r w:rsidR="00F31C93" w:rsidRPr="003150A7">
        <w:t xml:space="preserve">FFS) </w:t>
      </w:r>
      <w:r w:rsidR="007B0D2E" w:rsidRPr="003150A7">
        <w:t>je določen z Zakonom o fitofarmacevtskih sredstvih (Uradni list RS, št</w:t>
      </w:r>
      <w:r w:rsidR="00535C80">
        <w:t>.</w:t>
      </w:r>
      <w:r w:rsidR="007B0D2E" w:rsidRPr="003150A7">
        <w:t xml:space="preserve"> 83/12</w:t>
      </w:r>
      <w:r w:rsidR="00616FF0" w:rsidRPr="003150A7">
        <w:rPr>
          <w:color w:val="000000"/>
          <w:shd w:val="clear" w:color="auto" w:fill="FFFFFF"/>
        </w:rPr>
        <w:t xml:space="preserve"> in 35/23 – </w:t>
      </w:r>
      <w:proofErr w:type="spellStart"/>
      <w:r w:rsidR="00616FF0" w:rsidRPr="003150A7">
        <w:rPr>
          <w:color w:val="000000"/>
          <w:shd w:val="clear" w:color="auto" w:fill="FFFFFF"/>
        </w:rPr>
        <w:t>odl</w:t>
      </w:r>
      <w:proofErr w:type="spellEnd"/>
      <w:r w:rsidR="00616FF0" w:rsidRPr="003150A7">
        <w:rPr>
          <w:color w:val="000000"/>
          <w:shd w:val="clear" w:color="auto" w:fill="FFFFFF"/>
        </w:rPr>
        <w:t>. US</w:t>
      </w:r>
      <w:r w:rsidR="007B0D2E" w:rsidRPr="003150A7">
        <w:t xml:space="preserve"> – </w:t>
      </w:r>
      <w:r w:rsidR="00535C80">
        <w:t xml:space="preserve">v nadaljnjem besedilu: </w:t>
      </w:r>
      <w:r w:rsidR="007B0D2E" w:rsidRPr="003150A7">
        <w:t xml:space="preserve">ZFfS-1), ki je usklajen z Direktivo 2009/128/EC </w:t>
      </w:r>
      <w:r w:rsidR="00873BA1" w:rsidRPr="003150A7">
        <w:t xml:space="preserve">Evropskega Parlamenta in Sveta </w:t>
      </w:r>
      <w:r w:rsidR="007B0D2E" w:rsidRPr="003150A7">
        <w:t xml:space="preserve">z dne 21. oktobra 2009 o določitvi okvira za ukrepe Skupnosti za doseganje trajnostne rabe pesticidov. </w:t>
      </w:r>
    </w:p>
    <w:p w14:paraId="02EA26B3" w14:textId="34937FB4" w:rsidR="00244479" w:rsidRPr="003150A7" w:rsidRDefault="00045618" w:rsidP="00535C80">
      <w:r w:rsidRPr="003150A7">
        <w:t>Vlada Republike Slovenije</w:t>
      </w:r>
      <w:r w:rsidR="008D1F7B">
        <w:t xml:space="preserve"> (v nadaljnjem besedilu: RS)</w:t>
      </w:r>
      <w:r w:rsidR="007B0D2E" w:rsidRPr="003150A7">
        <w:t xml:space="preserve"> je </w:t>
      </w:r>
      <w:r w:rsidRPr="003150A7">
        <w:t xml:space="preserve">sprejela </w:t>
      </w:r>
      <w:r w:rsidR="007B0D2E" w:rsidRPr="003150A7">
        <w:t xml:space="preserve">NAP za obdobje 2012 – 2022 </w:t>
      </w:r>
      <w:r w:rsidRPr="003150A7">
        <w:t>s sklepom št</w:t>
      </w:r>
      <w:r w:rsidR="007B0D2E" w:rsidRPr="003150A7">
        <w:t>. 34300-2/2012/3 dne 12.12.2012</w:t>
      </w:r>
      <w:r w:rsidR="009D586F" w:rsidRPr="003150A7">
        <w:t xml:space="preserve">; s sklepom št. 34300-1/2018/7 dne 24. maja 2018 pa Spremembe in dopolnitve Nacionalnega akcijskega programa za doseganje trajnostne rabe </w:t>
      </w:r>
      <w:r w:rsidR="00F31C93" w:rsidRPr="003150A7">
        <w:t>FFS</w:t>
      </w:r>
      <w:r w:rsidR="009D586F" w:rsidRPr="003150A7">
        <w:t xml:space="preserve"> za obdobje 2018</w:t>
      </w:r>
      <w:r w:rsidR="00D867ED">
        <w:t xml:space="preserve"> – </w:t>
      </w:r>
      <w:r w:rsidR="009D586F" w:rsidRPr="003150A7">
        <w:t xml:space="preserve">2022. </w:t>
      </w:r>
      <w:r w:rsidR="002536B7" w:rsidRPr="003150A7">
        <w:t xml:space="preserve">Dokumenti, vezani na </w:t>
      </w:r>
      <w:r w:rsidR="007B0D2E" w:rsidRPr="003150A7">
        <w:t>NAP</w:t>
      </w:r>
      <w:r w:rsidR="002536B7" w:rsidRPr="003150A7">
        <w:t xml:space="preserve"> (NAP 2012</w:t>
      </w:r>
      <w:r w:rsidR="00D867ED">
        <w:t xml:space="preserve"> – </w:t>
      </w:r>
      <w:r w:rsidR="002536B7" w:rsidRPr="003150A7">
        <w:t>2022</w:t>
      </w:r>
      <w:r w:rsidR="00D867ED">
        <w:t xml:space="preserve"> </w:t>
      </w:r>
      <w:r w:rsidR="002536B7" w:rsidRPr="003150A7">
        <w:t>, Poročilo NAP 2013</w:t>
      </w:r>
      <w:r w:rsidR="00D867ED">
        <w:t xml:space="preserve"> – </w:t>
      </w:r>
      <w:r w:rsidR="002536B7" w:rsidRPr="003150A7">
        <w:t>2015, Spremembe in dopolnitve NAP za obdobje 2018</w:t>
      </w:r>
      <w:r w:rsidR="00D867ED">
        <w:t xml:space="preserve"> – </w:t>
      </w:r>
      <w:r w:rsidR="002536B7" w:rsidRPr="003150A7">
        <w:t>2022 in Poročilo o izvajanju NAP 2013</w:t>
      </w:r>
      <w:r w:rsidR="00D867ED">
        <w:t xml:space="preserve"> – </w:t>
      </w:r>
      <w:r w:rsidR="002536B7" w:rsidRPr="003150A7">
        <w:t>2017),</w:t>
      </w:r>
      <w:r w:rsidR="007B0D2E" w:rsidRPr="003150A7">
        <w:t xml:space="preserve"> </w:t>
      </w:r>
      <w:r w:rsidR="002536B7" w:rsidRPr="003150A7">
        <w:t>so dostop</w:t>
      </w:r>
      <w:r w:rsidR="007B0D2E" w:rsidRPr="003150A7">
        <w:t>n</w:t>
      </w:r>
      <w:r w:rsidR="002536B7" w:rsidRPr="003150A7">
        <w:t>i</w:t>
      </w:r>
      <w:r w:rsidR="007B0D2E" w:rsidRPr="003150A7">
        <w:t xml:space="preserve"> na spletnih straneh Uprave</w:t>
      </w:r>
      <w:r w:rsidR="00535C80">
        <w:t xml:space="preserve"> Republike Slovenije</w:t>
      </w:r>
      <w:r w:rsidR="00AA554B" w:rsidRPr="003150A7">
        <w:t xml:space="preserve"> za varno hrano, veterinarstvo in varstvo rastlin (v nadaljnjem besedilu: Uprava)</w:t>
      </w:r>
      <w:r w:rsidR="00644B6B" w:rsidRPr="003150A7">
        <w:t>.</w:t>
      </w:r>
      <w:r w:rsidR="00644B6B" w:rsidRPr="003150A7">
        <w:rPr>
          <w:rStyle w:val="Sprotnaopomba-sklic"/>
          <w:rFonts w:cs="Arial"/>
        </w:rPr>
        <w:footnoteReference w:id="1"/>
      </w:r>
    </w:p>
    <w:p w14:paraId="44A74785" w14:textId="082952B6" w:rsidR="001E1886" w:rsidRPr="003150A7" w:rsidRDefault="009D586F" w:rsidP="00535C80">
      <w:r w:rsidRPr="003150A7">
        <w:t xml:space="preserve">V skladu z </w:t>
      </w:r>
      <w:r w:rsidR="00535C80" w:rsidRPr="003150A7">
        <w:t xml:space="preserve">zakonodajo </w:t>
      </w:r>
      <w:r w:rsidRPr="003150A7">
        <w:t>E</w:t>
      </w:r>
      <w:r w:rsidR="00535C80">
        <w:t xml:space="preserve">vropske </w:t>
      </w:r>
      <w:r w:rsidRPr="003150A7">
        <w:t>U</w:t>
      </w:r>
      <w:r w:rsidR="00535C80">
        <w:t>nije (v nadaljnjem besedilu: EU)</w:t>
      </w:r>
      <w:r w:rsidRPr="003150A7">
        <w:t xml:space="preserve"> morajo </w:t>
      </w:r>
      <w:r w:rsidR="008D1F7B">
        <w:t>NAP</w:t>
      </w:r>
      <w:r w:rsidRPr="003150A7">
        <w:t xml:space="preserve"> v zvezi z rabo FFS izdelati vse države članice EU. </w:t>
      </w:r>
      <w:r w:rsidR="00EC4EA7" w:rsidRPr="003150A7">
        <w:t xml:space="preserve">Od leta 2016 dalje je na spletnih straneh Evropske </w:t>
      </w:r>
      <w:r w:rsidR="00535C80">
        <w:t>K</w:t>
      </w:r>
      <w:r w:rsidR="00EC4EA7" w:rsidRPr="003150A7">
        <w:t>omisije</w:t>
      </w:r>
      <w:r w:rsidR="00A96AC8">
        <w:t xml:space="preserve"> (v nadaljnjem besedilu: EK)</w:t>
      </w:r>
      <w:r w:rsidR="00EC4EA7" w:rsidRPr="003150A7">
        <w:t xml:space="preserve"> dostopna spletna stran z informaci</w:t>
      </w:r>
      <w:r w:rsidR="001E1886" w:rsidRPr="003150A7">
        <w:t>jami o urejenosti vseh področij</w:t>
      </w:r>
      <w:r w:rsidR="00EC4EA7" w:rsidRPr="003150A7">
        <w:t xml:space="preserve"> iz Direktive 2009</w:t>
      </w:r>
      <w:r w:rsidR="00644B6B" w:rsidRPr="003150A7">
        <w:t>/128/ES v vseh državah članicah.</w:t>
      </w:r>
      <w:r w:rsidR="00644B6B" w:rsidRPr="003150A7">
        <w:rPr>
          <w:rStyle w:val="Sprotnaopomba-sklic"/>
          <w:rFonts w:cs="Arial"/>
        </w:rPr>
        <w:footnoteReference w:id="2"/>
      </w:r>
    </w:p>
    <w:p w14:paraId="67BA76D5" w14:textId="0569B2E5" w:rsidR="00C42BD6" w:rsidRPr="003150A7" w:rsidRDefault="009A0A0A" w:rsidP="00535C80">
      <w:r w:rsidRPr="003150A7">
        <w:t xml:space="preserve">To </w:t>
      </w:r>
      <w:r w:rsidR="00DB3656" w:rsidRPr="003150A7">
        <w:t xml:space="preserve">poročilo </w:t>
      </w:r>
      <w:r w:rsidRPr="003150A7">
        <w:t xml:space="preserve">je </w:t>
      </w:r>
      <w:r w:rsidR="00FE2113" w:rsidRPr="003150A7">
        <w:t>končno</w:t>
      </w:r>
      <w:r w:rsidRPr="003150A7">
        <w:t xml:space="preserve"> p</w:t>
      </w:r>
      <w:r w:rsidR="00C42BD6" w:rsidRPr="003150A7">
        <w:t xml:space="preserve">oročilo </w:t>
      </w:r>
      <w:r w:rsidRPr="003150A7">
        <w:t xml:space="preserve">o NAP </w:t>
      </w:r>
      <w:r w:rsidR="00FE2113" w:rsidRPr="003150A7">
        <w:t>za obdobje 201</w:t>
      </w:r>
      <w:r w:rsidR="00F31C93" w:rsidRPr="003150A7">
        <w:t>8</w:t>
      </w:r>
      <w:r w:rsidR="00D867ED">
        <w:t xml:space="preserve"> – </w:t>
      </w:r>
      <w:r w:rsidR="00FE2113" w:rsidRPr="003150A7">
        <w:t>20</w:t>
      </w:r>
      <w:r w:rsidR="00F31C93" w:rsidRPr="003150A7">
        <w:t>22</w:t>
      </w:r>
      <w:r w:rsidR="00FE2113" w:rsidRPr="003150A7">
        <w:t xml:space="preserve"> </w:t>
      </w:r>
      <w:r w:rsidRPr="003150A7">
        <w:t xml:space="preserve">in </w:t>
      </w:r>
      <w:r w:rsidR="00C42BD6" w:rsidRPr="003150A7">
        <w:t xml:space="preserve">je sestavljeno </w:t>
      </w:r>
      <w:r w:rsidR="001504B6">
        <w:t xml:space="preserve">iz </w:t>
      </w:r>
      <w:r w:rsidR="00F31C93" w:rsidRPr="003150A7">
        <w:t xml:space="preserve">ocene stanja doseganja ciljev za zmanjšanje uporabe in tveganja FFS ter posrednih kazalcev, ki vplivajo na zmanjšanje tveganja, kot so usposabljanje uporabnikov, nadzor nad </w:t>
      </w:r>
      <w:r w:rsidR="001504B6">
        <w:t>napravami za nanašanje FFS</w:t>
      </w:r>
      <w:r w:rsidR="00F31C93" w:rsidRPr="003150A7">
        <w:t>, razvoj ekološke pridelave in podobno.</w:t>
      </w:r>
    </w:p>
    <w:p w14:paraId="23A9CCCC" w14:textId="6289350E" w:rsidR="00045618" w:rsidRPr="00535C80" w:rsidRDefault="0036307E" w:rsidP="00535C80">
      <w:pPr>
        <w:pStyle w:val="Naslov3"/>
      </w:pPr>
      <w:bookmarkStart w:id="2" w:name="_Toc422912708"/>
      <w:bookmarkStart w:id="3" w:name="_Toc422912740"/>
      <w:bookmarkStart w:id="4" w:name="_Toc146287355"/>
      <w:bookmarkStart w:id="5" w:name="_Toc149826477"/>
      <w:bookmarkStart w:id="6" w:name="_Toc170816407"/>
      <w:r w:rsidRPr="00535C80">
        <w:rPr>
          <w:rStyle w:val="Naslov5Znak"/>
          <w:rFonts w:ascii="Arial" w:hAnsi="Arial" w:cs="Times New Roman"/>
          <w:color w:val="auto"/>
          <w:sz w:val="26"/>
          <w:szCs w:val="26"/>
          <w:lang w:val="sl-SI" w:eastAsia="sl-SI"/>
        </w:rPr>
        <w:t xml:space="preserve">Cilji, opredeljeni v </w:t>
      </w:r>
      <w:r w:rsidR="007B7189">
        <w:rPr>
          <w:rStyle w:val="Naslov5Znak"/>
          <w:rFonts w:ascii="Arial" w:hAnsi="Arial" w:cs="Times New Roman"/>
          <w:color w:val="auto"/>
          <w:sz w:val="26"/>
          <w:szCs w:val="26"/>
          <w:lang w:val="sl-SI" w:eastAsia="sl-SI"/>
        </w:rPr>
        <w:t>NAP</w:t>
      </w:r>
      <w:r w:rsidRPr="00535C80">
        <w:rPr>
          <w:rStyle w:val="Naslov5Znak"/>
          <w:rFonts w:ascii="Arial" w:hAnsi="Arial" w:cs="Times New Roman"/>
          <w:color w:val="auto"/>
          <w:sz w:val="26"/>
          <w:szCs w:val="26"/>
          <w:lang w:val="sl-SI" w:eastAsia="sl-SI"/>
        </w:rPr>
        <w:t xml:space="preserve"> za obdobje 2018</w:t>
      </w:r>
      <w:r w:rsidR="00D867ED">
        <w:rPr>
          <w:rStyle w:val="Naslov5Znak"/>
          <w:rFonts w:ascii="Arial" w:hAnsi="Arial" w:cs="Times New Roman"/>
          <w:color w:val="auto"/>
          <w:sz w:val="26"/>
          <w:szCs w:val="26"/>
          <w:lang w:val="sl-SI" w:eastAsia="sl-SI"/>
        </w:rPr>
        <w:t xml:space="preserve"> – </w:t>
      </w:r>
      <w:r w:rsidRPr="00535C80">
        <w:rPr>
          <w:rStyle w:val="Naslov5Znak"/>
          <w:rFonts w:ascii="Arial" w:hAnsi="Arial" w:cs="Times New Roman"/>
          <w:color w:val="auto"/>
          <w:sz w:val="26"/>
          <w:szCs w:val="26"/>
          <w:lang w:val="sl-SI" w:eastAsia="sl-SI"/>
        </w:rPr>
        <w:t>2022</w:t>
      </w:r>
      <w:r w:rsidR="004D477A" w:rsidRPr="00535C80">
        <w:t>:</w:t>
      </w:r>
      <w:bookmarkEnd w:id="2"/>
      <w:bookmarkEnd w:id="3"/>
      <w:bookmarkEnd w:id="4"/>
      <w:bookmarkEnd w:id="5"/>
      <w:bookmarkEnd w:id="6"/>
    </w:p>
    <w:p w14:paraId="061E3A79" w14:textId="6FCBD88E" w:rsidR="00F31C93" w:rsidRPr="003150A7" w:rsidRDefault="00F31C93" w:rsidP="00535C80">
      <w:bookmarkStart w:id="7" w:name="_Toc422912709"/>
      <w:bookmarkStart w:id="8" w:name="_Toc422912741"/>
      <w:r w:rsidRPr="003150A7">
        <w:rPr>
          <w:b/>
        </w:rPr>
        <w:t>Splošni cilj NAP</w:t>
      </w:r>
      <w:r w:rsidRPr="003150A7">
        <w:t xml:space="preserve"> je zmanjšanje vplivov in učinkov, ki jih lahko prinaša raba FFS, na zdravje in na okolje. </w:t>
      </w:r>
      <w:r w:rsidRPr="003150A7">
        <w:rPr>
          <w:b/>
          <w:bCs/>
        </w:rPr>
        <w:t>Podrobnejši cilji NAP</w:t>
      </w:r>
      <w:r w:rsidRPr="003150A7">
        <w:t xml:space="preserve"> za obdobje 2018</w:t>
      </w:r>
      <w:r w:rsidR="00D867ED">
        <w:t xml:space="preserve"> </w:t>
      </w:r>
      <w:r w:rsidRPr="003150A7">
        <w:t>–</w:t>
      </w:r>
      <w:r w:rsidR="00D867ED">
        <w:t xml:space="preserve"> </w:t>
      </w:r>
      <w:r w:rsidRPr="003150A7">
        <w:t>2022 pa so naslednji:</w:t>
      </w:r>
    </w:p>
    <w:p w14:paraId="50B5F405" w14:textId="37720CFD" w:rsidR="00F31C93" w:rsidRPr="00535C80" w:rsidRDefault="00F31C93" w:rsidP="00535C80">
      <w:pPr>
        <w:pStyle w:val="Odstavekseznama"/>
        <w:numPr>
          <w:ilvl w:val="0"/>
          <w:numId w:val="13"/>
        </w:numPr>
      </w:pPr>
      <w:r w:rsidRPr="00535C80">
        <w:t>zmanjšanje tveganja v povezavi z rabo FFS</w:t>
      </w:r>
      <w:r w:rsidR="00535C80">
        <w:t>,</w:t>
      </w:r>
    </w:p>
    <w:p w14:paraId="6F5F4944" w14:textId="77777777" w:rsidR="00F31C93" w:rsidRPr="00535C80" w:rsidRDefault="00F31C93" w:rsidP="00535C80">
      <w:pPr>
        <w:pStyle w:val="Odstavekseznama"/>
        <w:numPr>
          <w:ilvl w:val="0"/>
          <w:numId w:val="13"/>
        </w:numPr>
      </w:pPr>
      <w:r w:rsidRPr="00535C80">
        <w:t xml:space="preserve">zmanjšanje tveganja in rabe FFS z uvedbo omejitve uporabe določenih FFS na javnih površinah, </w:t>
      </w:r>
    </w:p>
    <w:p w14:paraId="6CCB1884" w14:textId="77777777" w:rsidR="00FC070C" w:rsidRDefault="00F31C93" w:rsidP="00535C80">
      <w:pPr>
        <w:pStyle w:val="Odstavekseznama"/>
        <w:numPr>
          <w:ilvl w:val="0"/>
          <w:numId w:val="13"/>
        </w:numPr>
      </w:pPr>
      <w:bookmarkStart w:id="9" w:name="_Hlk148350504"/>
      <w:r w:rsidRPr="00535C80">
        <w:t xml:space="preserve">omejitev dostopnosti FFS za poklicno uporabo </w:t>
      </w:r>
      <w:r w:rsidR="000E576E" w:rsidRPr="00535C80">
        <w:t>nepoklicnim</w:t>
      </w:r>
      <w:r w:rsidRPr="00535C80">
        <w:t xml:space="preserve"> uporabnikom</w:t>
      </w:r>
      <w:bookmarkEnd w:id="9"/>
      <w:r w:rsidRPr="00535C80">
        <w:t xml:space="preserve">, </w:t>
      </w:r>
    </w:p>
    <w:p w14:paraId="358AB3A9" w14:textId="6CB81358" w:rsidR="00F31C93" w:rsidRPr="00535C80" w:rsidRDefault="00F31C93" w:rsidP="00535C80">
      <w:pPr>
        <w:pStyle w:val="Odstavekseznama"/>
        <w:numPr>
          <w:ilvl w:val="0"/>
          <w:numId w:val="13"/>
        </w:numPr>
      </w:pPr>
      <w:r w:rsidRPr="00535C80">
        <w:t xml:space="preserve">spremljanje in preučitev možnosti za zmanjšanje tveganja, ki jih lahko prinaša uporaba FFS, ki vsebujejo problematične snovi (opredeljene z Uredbo (ES) 1107/2009), predvsem v primerih, kjer so na razpolago alternative, </w:t>
      </w:r>
    </w:p>
    <w:p w14:paraId="251B1AE9" w14:textId="31CFEA2E" w:rsidR="00F31C93" w:rsidRPr="00535C80" w:rsidRDefault="00F31C93" w:rsidP="00535C80">
      <w:pPr>
        <w:pStyle w:val="Odstavekseznama"/>
        <w:numPr>
          <w:ilvl w:val="0"/>
          <w:numId w:val="13"/>
        </w:numPr>
      </w:pPr>
      <w:r w:rsidRPr="00535C80">
        <w:lastRenderedPageBreak/>
        <w:t xml:space="preserve">spremljanje tveganja za zdravje ljudi in živali zaradi ostankov FFS v </w:t>
      </w:r>
      <w:r w:rsidR="00535C80">
        <w:t>kmetijskih pridelkih, živilih</w:t>
      </w:r>
      <w:r w:rsidRPr="00535C80">
        <w:t xml:space="preserve"> in krmi; spremlja se trend gibanja ostankov FFS v proizvodih iz EU in tretjih držav ter </w:t>
      </w:r>
      <w:r w:rsidR="00535C80">
        <w:t>kmetijskih pridelkih in živilih</w:t>
      </w:r>
      <w:r w:rsidRPr="00535C80">
        <w:t xml:space="preserve"> slovenske pridelave,</w:t>
      </w:r>
    </w:p>
    <w:p w14:paraId="1BE41F2F" w14:textId="69494C1E" w:rsidR="00F31C93" w:rsidRPr="00535C80" w:rsidRDefault="00F31C93" w:rsidP="00535C80">
      <w:pPr>
        <w:pStyle w:val="Odstavekseznama"/>
        <w:numPr>
          <w:ilvl w:val="0"/>
          <w:numId w:val="13"/>
        </w:numPr>
      </w:pPr>
      <w:r w:rsidRPr="00535C80">
        <w:t xml:space="preserve">zmanjšanje ravni zdravju škodljivih aktivnih snovi v pitni vodi, zmanjšanje števila merilnih mest podzemnih voda, kjer je prisotno preseganje </w:t>
      </w:r>
      <w:proofErr w:type="spellStart"/>
      <w:r w:rsidRPr="00535C80">
        <w:t>okoljskih</w:t>
      </w:r>
      <w:proofErr w:type="spellEnd"/>
      <w:r w:rsidRPr="00535C80">
        <w:t xml:space="preserve"> standardov kakovosti </w:t>
      </w:r>
      <w:r w:rsidR="007D0188">
        <w:t xml:space="preserve">glede </w:t>
      </w:r>
      <w:r w:rsidRPr="00535C80">
        <w:t xml:space="preserve">FFS, spremljanje onesnaženja površinskih vod s FFS, </w:t>
      </w:r>
    </w:p>
    <w:p w14:paraId="59A7BDB5" w14:textId="788772B3" w:rsidR="00F31C93" w:rsidRPr="00535C80" w:rsidRDefault="00F31C93" w:rsidP="00535C80">
      <w:pPr>
        <w:pStyle w:val="Odstavekseznama"/>
        <w:numPr>
          <w:ilvl w:val="0"/>
          <w:numId w:val="13"/>
        </w:numPr>
      </w:pPr>
      <w:r w:rsidRPr="00535C80">
        <w:t xml:space="preserve">spodbujanje kmetijske pridelave z uporabo načel </w:t>
      </w:r>
      <w:r w:rsidR="009F5748">
        <w:t>IVR</w:t>
      </w:r>
      <w:r w:rsidRPr="00535C80">
        <w:t xml:space="preserve"> na način, da se kemična FFS uporabijo le takrat, kadar je to nujno potrebno oz. ekonomsko upravičeno, zlasti s povečanjem ozaveščanja uporabnikov o varni rabi FFS, spodbujanjem ekološke pridelave ter drugih sonaravnih kmetijskih praks,</w:t>
      </w:r>
    </w:p>
    <w:p w14:paraId="1325BE78" w14:textId="77777777" w:rsidR="00F31C93" w:rsidRPr="00535C80" w:rsidRDefault="00F31C93" w:rsidP="00535C80">
      <w:pPr>
        <w:pStyle w:val="Odstavekseznama"/>
        <w:numPr>
          <w:ilvl w:val="0"/>
          <w:numId w:val="13"/>
        </w:numPr>
      </w:pPr>
      <w:r w:rsidRPr="00535C80">
        <w:t xml:space="preserve">zagotavljanje obveščanja in usposabljanja uporabnikov FFS, pregledovanja naprav za nanašanje FFS in vzpodbujanje uporabe naprednih tehnik za </w:t>
      </w:r>
      <w:r w:rsidRPr="00535C80">
        <w:rPr>
          <w:rFonts w:eastAsia="SimSun"/>
          <w:kern w:val="1"/>
          <w:lang w:eastAsia="hi-IN" w:bidi="hi-IN"/>
        </w:rPr>
        <w:t>zmanjšanje tveganja zaradi uporabe FFS.</w:t>
      </w:r>
    </w:p>
    <w:p w14:paraId="60D0D54B" w14:textId="5EB0AD9A" w:rsidR="004D477A" w:rsidRPr="007D0188" w:rsidRDefault="0036307E" w:rsidP="007D0188">
      <w:pPr>
        <w:pStyle w:val="Naslov3"/>
      </w:pPr>
      <w:bookmarkStart w:id="10" w:name="_Toc170816408"/>
      <w:r w:rsidRPr="007D0188">
        <w:t>Promet in uporaba FFS</w:t>
      </w:r>
      <w:bookmarkEnd w:id="10"/>
    </w:p>
    <w:p w14:paraId="5AA7403C" w14:textId="72E76E03" w:rsidR="00590BC6" w:rsidRPr="007D0188" w:rsidRDefault="00F603B6" w:rsidP="007D0188">
      <w:pPr>
        <w:rPr>
          <w:b/>
          <w:bCs/>
        </w:rPr>
      </w:pPr>
      <w:r w:rsidRPr="007D0188">
        <w:rPr>
          <w:b/>
          <w:bCs/>
        </w:rPr>
        <w:t xml:space="preserve">Ocena </w:t>
      </w:r>
      <w:r w:rsidR="00885193" w:rsidRPr="007D0188">
        <w:rPr>
          <w:b/>
          <w:bCs/>
        </w:rPr>
        <w:t>gibanja rabe in</w:t>
      </w:r>
      <w:r w:rsidRPr="007D0188">
        <w:rPr>
          <w:b/>
          <w:bCs/>
        </w:rPr>
        <w:t xml:space="preserve"> zmanjšanja tveganja zaradi rabe FFS </w:t>
      </w:r>
    </w:p>
    <w:p w14:paraId="525408EF" w14:textId="56B28A86" w:rsidR="00A607DB" w:rsidRPr="003150A7" w:rsidRDefault="001163B5" w:rsidP="007D0188">
      <w:pPr>
        <w:rPr>
          <w:shd w:val="clear" w:color="auto" w:fill="FFFFFF"/>
        </w:rPr>
      </w:pPr>
      <w:r w:rsidRPr="003150A7">
        <w:t xml:space="preserve">Trend zmanjšanja tveganja zaradi rabe FFS se </w:t>
      </w:r>
      <w:r w:rsidR="00616FF0" w:rsidRPr="003150A7">
        <w:t xml:space="preserve">trenutno ocenjuje </w:t>
      </w:r>
      <w:r w:rsidR="001D62F4" w:rsidRPr="003150A7">
        <w:t xml:space="preserve">posredno </w:t>
      </w:r>
      <w:r w:rsidR="00616FF0" w:rsidRPr="003150A7">
        <w:t xml:space="preserve">preko </w:t>
      </w:r>
      <w:r w:rsidR="000E576E">
        <w:t>prometa</w:t>
      </w:r>
      <w:r w:rsidR="00616FF0" w:rsidRPr="003150A7">
        <w:t xml:space="preserve"> FFS in sicer </w:t>
      </w:r>
      <w:r w:rsidR="00F603B6" w:rsidRPr="003150A7">
        <w:t xml:space="preserve">z uporabo </w:t>
      </w:r>
      <w:r w:rsidR="00D56C84" w:rsidRPr="003150A7">
        <w:t xml:space="preserve">dveh </w:t>
      </w:r>
      <w:r w:rsidR="00F603B6" w:rsidRPr="003150A7">
        <w:t>kazalnikov tveganja</w:t>
      </w:r>
      <w:r w:rsidR="00AF7D27" w:rsidRPr="003150A7">
        <w:t xml:space="preserve">, izračunanih po metodologiji </w:t>
      </w:r>
      <w:r w:rsidR="009F5748">
        <w:t>EK</w:t>
      </w:r>
      <w:r w:rsidR="00AF7D27" w:rsidRPr="003150A7">
        <w:t xml:space="preserve"> (</w:t>
      </w:r>
      <w:r w:rsidRPr="003150A7">
        <w:rPr>
          <w:shd w:val="clear" w:color="auto" w:fill="FFFFFF"/>
        </w:rPr>
        <w:t xml:space="preserve">Pravilnik o določitvi usklajenih kazalnikov tveganja zaradi uporabe </w:t>
      </w:r>
      <w:r w:rsidR="008D1F7B">
        <w:rPr>
          <w:shd w:val="clear" w:color="auto" w:fill="FFFFFF"/>
        </w:rPr>
        <w:t>FFS</w:t>
      </w:r>
      <w:r w:rsidRPr="003150A7">
        <w:rPr>
          <w:shd w:val="clear" w:color="auto" w:fill="FFFFFF"/>
        </w:rPr>
        <w:t xml:space="preserve"> (Uradni list RS, št.</w:t>
      </w:r>
      <w:r w:rsidR="00070C21" w:rsidRPr="003150A7">
        <w:rPr>
          <w:shd w:val="clear" w:color="auto" w:fill="FFFFFF"/>
        </w:rPr>
        <w:t xml:space="preserve"> 54/19</w:t>
      </w:r>
      <w:r w:rsidRPr="003150A7">
        <w:rPr>
          <w:shd w:val="clear" w:color="auto" w:fill="FFFFFF"/>
        </w:rPr>
        <w:t xml:space="preserve">)). </w:t>
      </w:r>
      <w:r w:rsidR="00A607DB" w:rsidRPr="003150A7">
        <w:rPr>
          <w:shd w:val="clear" w:color="auto" w:fill="FFFFFF"/>
        </w:rPr>
        <w:t>Letno jih izračuna</w:t>
      </w:r>
      <w:r w:rsidRPr="003150A7">
        <w:rPr>
          <w:shd w:val="clear" w:color="auto" w:fill="FFFFFF"/>
        </w:rPr>
        <w:t xml:space="preserve"> Evropski urad za statistiko (EUROSTAT) iz podatkov</w:t>
      </w:r>
      <w:r w:rsidR="00130DBA" w:rsidRPr="003150A7">
        <w:rPr>
          <w:shd w:val="clear" w:color="auto" w:fill="FFFFFF"/>
        </w:rPr>
        <w:t xml:space="preserve"> o </w:t>
      </w:r>
      <w:r w:rsidR="000E576E">
        <w:rPr>
          <w:shd w:val="clear" w:color="auto" w:fill="FFFFFF"/>
        </w:rPr>
        <w:t>prometu</w:t>
      </w:r>
      <w:r w:rsidRPr="003150A7">
        <w:rPr>
          <w:shd w:val="clear" w:color="auto" w:fill="FFFFFF"/>
        </w:rPr>
        <w:t xml:space="preserve">, ki jih pošljemo države članice. </w:t>
      </w:r>
    </w:p>
    <w:p w14:paraId="16BC5BF5" w14:textId="41249E33" w:rsidR="00F603B6" w:rsidRPr="003150A7" w:rsidRDefault="00D712CD" w:rsidP="007D0188">
      <w:pPr>
        <w:rPr>
          <w:shd w:val="clear" w:color="auto" w:fill="FFFFFF"/>
        </w:rPr>
      </w:pPr>
      <w:r>
        <w:rPr>
          <w:shd w:val="clear" w:color="auto" w:fill="FFFFFF"/>
        </w:rPr>
        <w:t>V obdobju 2010-2025 p</w:t>
      </w:r>
      <w:r w:rsidR="00616FF0" w:rsidRPr="003150A7">
        <w:rPr>
          <w:shd w:val="clear" w:color="auto" w:fill="FFFFFF"/>
        </w:rPr>
        <w:t xml:space="preserve">odatke o </w:t>
      </w:r>
      <w:r w:rsidR="001D62F4" w:rsidRPr="003150A7">
        <w:rPr>
          <w:shd w:val="clear" w:color="auto" w:fill="FFFFFF"/>
        </w:rPr>
        <w:t xml:space="preserve">dejanski </w:t>
      </w:r>
      <w:r w:rsidR="00616FF0" w:rsidRPr="003150A7">
        <w:rPr>
          <w:shd w:val="clear" w:color="auto" w:fill="FFFFFF"/>
        </w:rPr>
        <w:t>uporabi FFS</w:t>
      </w:r>
      <w:r>
        <w:rPr>
          <w:shd w:val="clear" w:color="auto" w:fill="FFFFFF"/>
        </w:rPr>
        <w:t xml:space="preserve"> v kmetijstvu</w:t>
      </w:r>
      <w:r w:rsidR="00616FF0" w:rsidRPr="003150A7">
        <w:rPr>
          <w:shd w:val="clear" w:color="auto" w:fill="FFFFFF"/>
        </w:rPr>
        <w:t xml:space="preserve"> </w:t>
      </w:r>
      <w:r w:rsidR="00130DBA" w:rsidRPr="003150A7">
        <w:rPr>
          <w:shd w:val="clear" w:color="auto" w:fill="FFFFFF"/>
        </w:rPr>
        <w:t xml:space="preserve">Statistični urad </w:t>
      </w:r>
      <w:r w:rsidR="00D832DF" w:rsidRPr="003150A7">
        <w:rPr>
          <w:shd w:val="clear" w:color="auto" w:fill="FFFFFF"/>
        </w:rPr>
        <w:t>Republike Slovenije</w:t>
      </w:r>
      <w:r w:rsidR="008D1F7B">
        <w:rPr>
          <w:shd w:val="clear" w:color="auto" w:fill="FFFFFF"/>
        </w:rPr>
        <w:t xml:space="preserve"> (v nadaljnjem besedilu: SURS)</w:t>
      </w:r>
      <w:r w:rsidR="00D832DF" w:rsidRPr="003150A7">
        <w:rPr>
          <w:shd w:val="clear" w:color="auto" w:fill="FFFFFF"/>
        </w:rPr>
        <w:t xml:space="preserve"> </w:t>
      </w:r>
      <w:r w:rsidR="00130DBA" w:rsidRPr="003150A7">
        <w:rPr>
          <w:shd w:val="clear" w:color="auto" w:fill="FFFFFF"/>
        </w:rPr>
        <w:t>pridobiva</w:t>
      </w:r>
      <w:r>
        <w:rPr>
          <w:shd w:val="clear" w:color="auto" w:fill="FFFFFF"/>
        </w:rPr>
        <w:t xml:space="preserve"> </w:t>
      </w:r>
      <w:r w:rsidR="00130DBA" w:rsidRPr="003150A7">
        <w:rPr>
          <w:shd w:val="clear" w:color="auto" w:fill="FFFFFF"/>
        </w:rPr>
        <w:t xml:space="preserve">preko </w:t>
      </w:r>
      <w:r>
        <w:rPr>
          <w:shd w:val="clear" w:color="auto" w:fill="FFFFFF"/>
        </w:rPr>
        <w:t>vzorčnih raziskovanj</w:t>
      </w:r>
      <w:r w:rsidRPr="003150A7">
        <w:rPr>
          <w:shd w:val="clear" w:color="auto" w:fill="FFFFFF"/>
        </w:rPr>
        <w:t xml:space="preserve"> </w:t>
      </w:r>
      <w:r w:rsidR="00130DBA" w:rsidRPr="003150A7">
        <w:rPr>
          <w:shd w:val="clear" w:color="auto" w:fill="FFFFFF"/>
        </w:rPr>
        <w:t xml:space="preserve">v določenem intervalu, </w:t>
      </w:r>
      <w:r>
        <w:rPr>
          <w:shd w:val="clear" w:color="auto" w:fill="FFFFFF"/>
        </w:rPr>
        <w:t>določenim z</w:t>
      </w:r>
      <w:r w:rsidR="00130DBA" w:rsidRPr="003150A7">
        <w:rPr>
          <w:shd w:val="clear" w:color="auto" w:fill="FFFFFF"/>
        </w:rPr>
        <w:t xml:space="preserve"> EU </w:t>
      </w:r>
      <w:r>
        <w:rPr>
          <w:shd w:val="clear" w:color="auto" w:fill="FFFFFF"/>
        </w:rPr>
        <w:t>statistično uredbo</w:t>
      </w:r>
      <w:r w:rsidRPr="003150A7">
        <w:rPr>
          <w:shd w:val="clear" w:color="auto" w:fill="FFFFFF"/>
        </w:rPr>
        <w:t xml:space="preserve"> </w:t>
      </w:r>
      <w:r w:rsidR="00130DBA" w:rsidRPr="003150A7">
        <w:rPr>
          <w:shd w:val="clear" w:color="auto" w:fill="FFFFFF"/>
        </w:rPr>
        <w:t xml:space="preserve">o statistiki </w:t>
      </w:r>
      <w:r w:rsidR="008D1F7B">
        <w:rPr>
          <w:shd w:val="clear" w:color="auto" w:fill="FFFFFF"/>
        </w:rPr>
        <w:t>FFS</w:t>
      </w:r>
      <w:r w:rsidR="00561DC0">
        <w:rPr>
          <w:rStyle w:val="Sprotnaopomba-sklic"/>
          <w:shd w:val="clear" w:color="auto" w:fill="FFFFFF"/>
        </w:rPr>
        <w:footnoteReference w:id="3"/>
      </w:r>
      <w:r w:rsidR="00130DBA" w:rsidRPr="003150A7">
        <w:rPr>
          <w:shd w:val="clear" w:color="auto" w:fill="FFFFFF"/>
        </w:rPr>
        <w:t xml:space="preserve">. </w:t>
      </w:r>
      <w:r w:rsidR="00670AA5">
        <w:rPr>
          <w:shd w:val="clear" w:color="auto" w:fill="FFFFFF"/>
        </w:rPr>
        <w:t>SURS je podatke o rabi FFS v kmetijstvu tako zbral za let</w:t>
      </w:r>
      <w:r w:rsidR="00403932">
        <w:rPr>
          <w:shd w:val="clear" w:color="auto" w:fill="FFFFFF"/>
        </w:rPr>
        <w:t>i</w:t>
      </w:r>
      <w:r w:rsidR="00670AA5">
        <w:rPr>
          <w:shd w:val="clear" w:color="auto" w:fill="FFFFFF"/>
        </w:rPr>
        <w:t xml:space="preserve"> 2014 in 2017, izvajanje raziskovanja za leto 2023 pa še poteka</w:t>
      </w:r>
      <w:r w:rsidR="009702FF" w:rsidRPr="003150A7">
        <w:rPr>
          <w:rStyle w:val="Sprotnaopomba-sklic"/>
          <w:rFonts w:cs="Arial"/>
          <w:shd w:val="clear" w:color="auto" w:fill="FFFFFF"/>
        </w:rPr>
        <w:footnoteReference w:id="4"/>
      </w:r>
      <w:r w:rsidR="0091096C">
        <w:rPr>
          <w:shd w:val="clear" w:color="auto" w:fill="FFFFFF"/>
        </w:rPr>
        <w:t>.</w:t>
      </w:r>
      <w:r w:rsidR="009702FF" w:rsidRPr="003150A7">
        <w:rPr>
          <w:shd w:val="clear" w:color="auto" w:fill="FFFFFF"/>
        </w:rPr>
        <w:t xml:space="preserve"> </w:t>
      </w:r>
      <w:r w:rsidR="00130DBA" w:rsidRPr="003150A7">
        <w:rPr>
          <w:shd w:val="clear" w:color="auto" w:fill="FFFFFF"/>
        </w:rPr>
        <w:t>V skladu z ZFfS-1</w:t>
      </w:r>
      <w:r w:rsidR="00616FF0" w:rsidRPr="003150A7">
        <w:rPr>
          <w:shd w:val="clear" w:color="auto" w:fill="FFFFFF"/>
        </w:rPr>
        <w:t xml:space="preserve"> poklicni uporabniki FFS </w:t>
      </w:r>
      <w:r w:rsidR="00130DBA" w:rsidRPr="003150A7">
        <w:rPr>
          <w:shd w:val="clear" w:color="auto" w:fill="FFFFFF"/>
        </w:rPr>
        <w:t>vodijo podatke o uporabi na predpisanem obrazcu</w:t>
      </w:r>
      <w:r w:rsidR="009702FF" w:rsidRPr="003150A7">
        <w:rPr>
          <w:shd w:val="clear" w:color="auto" w:fill="FFFFFF"/>
        </w:rPr>
        <w:t xml:space="preserve">, </w:t>
      </w:r>
      <w:r w:rsidR="00616FF0" w:rsidRPr="003150A7">
        <w:rPr>
          <w:shd w:val="clear" w:color="auto" w:fill="FFFFFF"/>
        </w:rPr>
        <w:t>jih hranijo pri sebi 3 leta</w:t>
      </w:r>
      <w:r w:rsidR="009702FF" w:rsidRPr="003150A7">
        <w:rPr>
          <w:shd w:val="clear" w:color="auto" w:fill="FFFFFF"/>
        </w:rPr>
        <w:t xml:space="preserve"> in jih na poziv pošljejo pristojnim organom</w:t>
      </w:r>
      <w:r w:rsidR="006F6DBE">
        <w:rPr>
          <w:shd w:val="clear" w:color="auto" w:fill="FFFFFF"/>
        </w:rPr>
        <w:t>,</w:t>
      </w:r>
      <w:r w:rsidR="006F6DBE" w:rsidRPr="006F6DBE">
        <w:rPr>
          <w:shd w:val="clear" w:color="auto" w:fill="FFFFFF"/>
        </w:rPr>
        <w:t xml:space="preserve"> ali jih predložijo pristojnim organom ob kontrolah na terenu</w:t>
      </w:r>
      <w:r w:rsidR="009702FF" w:rsidRPr="003150A7">
        <w:rPr>
          <w:shd w:val="clear" w:color="auto" w:fill="FFFFFF"/>
        </w:rPr>
        <w:t>. Vodenje</w:t>
      </w:r>
      <w:r w:rsidR="00616FF0" w:rsidRPr="003150A7">
        <w:rPr>
          <w:shd w:val="clear" w:color="auto" w:fill="FFFFFF"/>
        </w:rPr>
        <w:t xml:space="preserve"> in hranjenje podatkov </w:t>
      </w:r>
      <w:r w:rsidR="009702FF" w:rsidRPr="003150A7">
        <w:rPr>
          <w:shd w:val="clear" w:color="auto" w:fill="FFFFFF"/>
        </w:rPr>
        <w:t xml:space="preserve">v elektronski obliki do sedaj ni bilo </w:t>
      </w:r>
      <w:r w:rsidR="00616FF0" w:rsidRPr="003150A7">
        <w:rPr>
          <w:shd w:val="clear" w:color="auto" w:fill="FFFFFF"/>
        </w:rPr>
        <w:t xml:space="preserve">predpisano. </w:t>
      </w:r>
    </w:p>
    <w:p w14:paraId="0FF760F5" w14:textId="7D5B763F" w:rsidR="005E7147" w:rsidRDefault="00130DBA" w:rsidP="008D1F7B">
      <w:pPr>
        <w:rPr>
          <w:color w:val="000000"/>
        </w:rPr>
      </w:pPr>
      <w:r w:rsidRPr="003150A7">
        <w:rPr>
          <w:shd w:val="clear" w:color="auto" w:fill="FFFFFF"/>
        </w:rPr>
        <w:t xml:space="preserve">V letu 2023 </w:t>
      </w:r>
      <w:r w:rsidR="0083605E" w:rsidRPr="003150A7">
        <w:rPr>
          <w:shd w:val="clear" w:color="auto" w:fill="FFFFFF"/>
        </w:rPr>
        <w:t xml:space="preserve">so se predpisi EU spremenili. </w:t>
      </w:r>
      <w:r w:rsidR="009F5748">
        <w:rPr>
          <w:shd w:val="clear" w:color="auto" w:fill="FFFFFF"/>
        </w:rPr>
        <w:t>EK</w:t>
      </w:r>
      <w:r w:rsidR="00616FF0" w:rsidRPr="003150A7">
        <w:rPr>
          <w:shd w:val="clear" w:color="auto" w:fill="FFFFFF"/>
        </w:rPr>
        <w:t xml:space="preserve"> je marca 2023 izdala Izvedbeno </w:t>
      </w:r>
      <w:r w:rsidR="00616FF0" w:rsidRPr="003150A7">
        <w:rPr>
          <w:color w:val="000000"/>
        </w:rPr>
        <w:t>Uredbo EU št</w:t>
      </w:r>
      <w:r w:rsidR="008D1F7B">
        <w:rPr>
          <w:color w:val="000000"/>
        </w:rPr>
        <w:t>.</w:t>
      </w:r>
      <w:r w:rsidR="00616FF0" w:rsidRPr="003150A7">
        <w:rPr>
          <w:color w:val="000000"/>
        </w:rPr>
        <w:t xml:space="preserve"> 2023/564</w:t>
      </w:r>
      <w:r w:rsidRPr="003150A7">
        <w:rPr>
          <w:rStyle w:val="Sprotnaopomba-sklic"/>
          <w:rFonts w:cs="Arial"/>
          <w:color w:val="000000"/>
        </w:rPr>
        <w:footnoteReference w:id="5"/>
      </w:r>
      <w:r w:rsidR="00616FF0" w:rsidRPr="003150A7">
        <w:rPr>
          <w:color w:val="000000"/>
        </w:rPr>
        <w:t>, s katero predpisuje elektronsko vodenje podatkov o uporabi FFS, ki j</w:t>
      </w:r>
      <w:r w:rsidR="009702FF" w:rsidRPr="003150A7">
        <w:rPr>
          <w:color w:val="000000"/>
        </w:rPr>
        <w:t xml:space="preserve">ih </w:t>
      </w:r>
      <w:r w:rsidR="00616FF0" w:rsidRPr="003150A7">
        <w:rPr>
          <w:color w:val="000000"/>
        </w:rPr>
        <w:t>morajo voditi poklicni uporabniki</w:t>
      </w:r>
      <w:r w:rsidR="009702FF" w:rsidRPr="003150A7">
        <w:rPr>
          <w:color w:val="000000"/>
        </w:rPr>
        <w:t xml:space="preserve"> FFS</w:t>
      </w:r>
      <w:r w:rsidR="00616FF0" w:rsidRPr="003150A7">
        <w:rPr>
          <w:color w:val="000000"/>
        </w:rPr>
        <w:t>.</w:t>
      </w:r>
      <w:r w:rsidRPr="003150A7">
        <w:rPr>
          <w:color w:val="000000"/>
        </w:rPr>
        <w:t xml:space="preserve"> </w:t>
      </w:r>
      <w:r w:rsidR="0083605E" w:rsidRPr="003150A7">
        <w:rPr>
          <w:color w:val="000000"/>
        </w:rPr>
        <w:t xml:space="preserve">Izvedbena Uredba se neposredno izvaja v državah članicah, pri čemer dopušča nacionalno urejanje derogacij. </w:t>
      </w:r>
      <w:r w:rsidR="00533B7B" w:rsidRPr="00535C80">
        <w:rPr>
          <w:rFonts w:cs="Arial"/>
        </w:rPr>
        <w:t>Ministrstvo za kmetijstvo, gozdarstvo in prehrano</w:t>
      </w:r>
      <w:r w:rsidR="00533B7B" w:rsidRPr="003150A7">
        <w:rPr>
          <w:color w:val="000000"/>
        </w:rPr>
        <w:t xml:space="preserve"> </w:t>
      </w:r>
      <w:r w:rsidR="00533B7B">
        <w:rPr>
          <w:color w:val="000000"/>
        </w:rPr>
        <w:t xml:space="preserve">(v nadaljnjem besedilu: </w:t>
      </w:r>
      <w:r w:rsidRPr="003150A7">
        <w:rPr>
          <w:color w:val="000000"/>
        </w:rPr>
        <w:t>MKGP</w:t>
      </w:r>
      <w:r w:rsidR="00533B7B">
        <w:rPr>
          <w:color w:val="000000"/>
        </w:rPr>
        <w:t>)</w:t>
      </w:r>
      <w:r w:rsidRPr="003150A7">
        <w:rPr>
          <w:color w:val="000000"/>
        </w:rPr>
        <w:t xml:space="preserve"> je v 2023 pričelo s pripravo predpisov in izvedbenih del za vzpostavitev takega načina vodenja podatkov o uporabi FFS</w:t>
      </w:r>
      <w:r w:rsidR="0083605E" w:rsidRPr="003150A7">
        <w:rPr>
          <w:color w:val="000000"/>
        </w:rPr>
        <w:t>, poklicni uporabniki FFS pa se bodo morali temu prilagoditi</w:t>
      </w:r>
      <w:r w:rsidRPr="003150A7">
        <w:rPr>
          <w:color w:val="000000"/>
        </w:rPr>
        <w:t xml:space="preserve">. </w:t>
      </w:r>
    </w:p>
    <w:p w14:paraId="38D440B4" w14:textId="4001D310" w:rsidR="003D3B0A" w:rsidRPr="008D1F7B" w:rsidRDefault="003D3B0A" w:rsidP="008D1F7B">
      <w:pPr>
        <w:rPr>
          <w:shd w:val="clear" w:color="auto" w:fill="FFFFFF"/>
        </w:rPr>
      </w:pPr>
      <w:r>
        <w:rPr>
          <w:color w:val="000000"/>
        </w:rPr>
        <w:t>V letu 2022 je bila sprejeta tudi nova EU statistična zakonodaja, ki po letu 2025 na novo določa tudi zahteve po podatkih o rabi FFS v kmetijstvu</w:t>
      </w:r>
      <w:r w:rsidR="00561DC0">
        <w:rPr>
          <w:rStyle w:val="Sprotnaopomba-sklic"/>
          <w:color w:val="000000"/>
        </w:rPr>
        <w:footnoteReference w:id="6"/>
      </w:r>
      <w:r>
        <w:rPr>
          <w:color w:val="000000"/>
        </w:rPr>
        <w:t>.</w:t>
      </w:r>
      <w:r w:rsidR="00D16DCB">
        <w:rPr>
          <w:color w:val="000000"/>
        </w:rPr>
        <w:t xml:space="preserve"> Nove zahteve vse države članice obvezujejo, da od leta </w:t>
      </w:r>
      <w:r w:rsidR="00D16DCB">
        <w:rPr>
          <w:color w:val="000000"/>
        </w:rPr>
        <w:lastRenderedPageBreak/>
        <w:t xml:space="preserve">2028 naprej letno zagotavljajo podrobne statistične podatke o rabi FFS v kmetijstvu na podlagi </w:t>
      </w:r>
      <w:r w:rsidR="00403932">
        <w:rPr>
          <w:color w:val="000000"/>
        </w:rPr>
        <w:t xml:space="preserve">95 % </w:t>
      </w:r>
      <w:r w:rsidR="00D16DCB">
        <w:rPr>
          <w:color w:val="000000"/>
        </w:rPr>
        <w:t>zajema</w:t>
      </w:r>
      <w:r w:rsidR="00403932">
        <w:rPr>
          <w:color w:val="000000"/>
        </w:rPr>
        <w:t xml:space="preserve"> v posameznem referenčnem letu</w:t>
      </w:r>
      <w:r w:rsidR="00D16DCB">
        <w:rPr>
          <w:color w:val="000000"/>
        </w:rPr>
        <w:t>. Že v letu 2026 pa velja prehodno obdobje, ko bomo</w:t>
      </w:r>
      <w:r w:rsidR="006E4597">
        <w:rPr>
          <w:color w:val="000000"/>
        </w:rPr>
        <w:t xml:space="preserve"> v državah</w:t>
      </w:r>
      <w:r w:rsidR="00D16DCB">
        <w:rPr>
          <w:color w:val="000000"/>
        </w:rPr>
        <w:t xml:space="preserve"> lahko te podatke še vedno zagotovili na podlagi vzorčnega raziskovanja vendar po spremenjenih določilih glede zajema.</w:t>
      </w:r>
    </w:p>
    <w:p w14:paraId="611E26D2" w14:textId="6466930B" w:rsidR="002E501B" w:rsidRPr="007D0188" w:rsidRDefault="002E501B" w:rsidP="007D0188">
      <w:pPr>
        <w:rPr>
          <w:b/>
          <w:bCs/>
        </w:rPr>
      </w:pPr>
      <w:r w:rsidRPr="007D0188">
        <w:rPr>
          <w:b/>
          <w:bCs/>
        </w:rPr>
        <w:t>Ocena trendov z uporabo dveh kazalnikov tveganja</w:t>
      </w:r>
      <w:r w:rsidR="00561DC0">
        <w:rPr>
          <w:rStyle w:val="Sprotnaopomba-sklic"/>
          <w:b/>
          <w:bCs/>
        </w:rPr>
        <w:footnoteReference w:id="7"/>
      </w:r>
      <w:r w:rsidR="001504B6" w:rsidRPr="007D0188">
        <w:rPr>
          <w:b/>
          <w:bCs/>
        </w:rPr>
        <w:t>, ki jih izračuna EUROSTAT</w:t>
      </w:r>
      <w:r w:rsidRPr="007D0188">
        <w:rPr>
          <w:b/>
          <w:bCs/>
        </w:rPr>
        <w:t>:</w:t>
      </w:r>
    </w:p>
    <w:p w14:paraId="014A3917" w14:textId="2FE47B51" w:rsidR="00420C8B" w:rsidRPr="007D0188" w:rsidRDefault="001504B6" w:rsidP="007D0188">
      <w:pPr>
        <w:rPr>
          <w:rStyle w:val="Krepko"/>
          <w:rFonts w:cs="Arial"/>
          <w:b w:val="0"/>
          <w:bCs w:val="0"/>
          <w:color w:val="111111"/>
          <w:bdr w:val="none" w:sz="0" w:space="0" w:color="auto" w:frame="1"/>
          <w:lang w:val="en-GB" w:eastAsia="en-US"/>
        </w:rPr>
      </w:pPr>
      <w:r w:rsidRPr="00F2439B">
        <w:rPr>
          <w:rStyle w:val="Krepko"/>
          <w:rFonts w:cs="Arial"/>
          <w:b w:val="0"/>
          <w:bCs w:val="0"/>
          <w:color w:val="111111"/>
          <w:szCs w:val="22"/>
          <w:bdr w:val="none" w:sz="0" w:space="0" w:color="auto" w:frame="1"/>
        </w:rPr>
        <w:t xml:space="preserve">Kazalnik 1 in </w:t>
      </w:r>
      <w:r w:rsidR="00070751">
        <w:rPr>
          <w:rStyle w:val="Krepko"/>
          <w:rFonts w:cs="Arial"/>
          <w:b w:val="0"/>
          <w:bCs w:val="0"/>
          <w:color w:val="111111"/>
          <w:bdr w:val="none" w:sz="0" w:space="0" w:color="auto" w:frame="1"/>
        </w:rPr>
        <w:t>k</w:t>
      </w:r>
      <w:r w:rsidRPr="00F2439B">
        <w:rPr>
          <w:rStyle w:val="Krepko"/>
          <w:rFonts w:cs="Arial"/>
          <w:b w:val="0"/>
          <w:bCs w:val="0"/>
          <w:color w:val="111111"/>
          <w:szCs w:val="22"/>
          <w:bdr w:val="none" w:sz="0" w:space="0" w:color="auto" w:frame="1"/>
        </w:rPr>
        <w:t xml:space="preserve">azalnik 2 izračuna </w:t>
      </w:r>
      <w:r w:rsidR="006C582D" w:rsidRPr="00F2439B">
        <w:rPr>
          <w:rStyle w:val="Krepko"/>
          <w:rFonts w:cs="Arial"/>
          <w:b w:val="0"/>
          <w:bCs w:val="0"/>
          <w:color w:val="111111"/>
          <w:szCs w:val="22"/>
          <w:bdr w:val="none" w:sz="0" w:space="0" w:color="auto" w:frame="1"/>
        </w:rPr>
        <w:t>EUROSTAT</w:t>
      </w:r>
      <w:r w:rsidR="006C582D">
        <w:rPr>
          <w:rStyle w:val="Krepko"/>
          <w:rFonts w:cs="Arial"/>
          <w:b w:val="0"/>
          <w:bCs w:val="0"/>
          <w:color w:val="111111"/>
          <w:szCs w:val="22"/>
          <w:bdr w:val="none" w:sz="0" w:space="0" w:color="auto" w:frame="1"/>
        </w:rPr>
        <w:t xml:space="preserve"> </w:t>
      </w:r>
      <w:r>
        <w:rPr>
          <w:rStyle w:val="Krepko"/>
          <w:rFonts w:cs="Arial"/>
          <w:b w:val="0"/>
          <w:bCs w:val="0"/>
          <w:color w:val="111111"/>
          <w:szCs w:val="22"/>
          <w:bdr w:val="none" w:sz="0" w:space="0" w:color="auto" w:frame="1"/>
        </w:rPr>
        <w:t xml:space="preserve">po </w:t>
      </w:r>
      <w:r w:rsidR="006C582D">
        <w:rPr>
          <w:rStyle w:val="Krepko"/>
          <w:rFonts w:cs="Arial"/>
          <w:b w:val="0"/>
          <w:bCs w:val="0"/>
          <w:color w:val="111111"/>
          <w:szCs w:val="22"/>
          <w:bdr w:val="none" w:sz="0" w:space="0" w:color="auto" w:frame="1"/>
        </w:rPr>
        <w:t xml:space="preserve">EU </w:t>
      </w:r>
      <w:r>
        <w:rPr>
          <w:rStyle w:val="Krepko"/>
          <w:rFonts w:cs="Arial"/>
          <w:b w:val="0"/>
          <w:bCs w:val="0"/>
          <w:color w:val="111111"/>
          <w:szCs w:val="22"/>
          <w:bdr w:val="none" w:sz="0" w:space="0" w:color="auto" w:frame="1"/>
        </w:rPr>
        <w:t xml:space="preserve">metodologiji </w:t>
      </w:r>
      <w:r>
        <w:t>za vse države članice</w:t>
      </w:r>
      <w:r w:rsidR="0091096C">
        <w:t xml:space="preserve"> iz podatkov o prodaji FFS</w:t>
      </w:r>
      <w:r w:rsidR="006C582D">
        <w:rPr>
          <w:rStyle w:val="Krepko"/>
          <w:rFonts w:cs="Arial"/>
          <w:b w:val="0"/>
          <w:bCs w:val="0"/>
          <w:color w:val="111111"/>
          <w:szCs w:val="22"/>
          <w:bdr w:val="none" w:sz="0" w:space="0" w:color="auto" w:frame="1"/>
        </w:rPr>
        <w:t xml:space="preserve">. Podatke </w:t>
      </w:r>
      <w:r w:rsidR="0086661D">
        <w:rPr>
          <w:rStyle w:val="Krepko"/>
          <w:rFonts w:cs="Arial"/>
          <w:b w:val="0"/>
          <w:bCs w:val="0"/>
          <w:color w:val="111111"/>
          <w:szCs w:val="22"/>
          <w:bdr w:val="none" w:sz="0" w:space="0" w:color="auto" w:frame="1"/>
        </w:rPr>
        <w:t xml:space="preserve">o prodaji FFS </w:t>
      </w:r>
      <w:r w:rsidR="006C582D">
        <w:rPr>
          <w:rStyle w:val="Krepko"/>
          <w:rFonts w:cs="Arial"/>
          <w:b w:val="0"/>
          <w:bCs w:val="0"/>
          <w:color w:val="111111"/>
          <w:szCs w:val="22"/>
          <w:bdr w:val="none" w:sz="0" w:space="0" w:color="auto" w:frame="1"/>
        </w:rPr>
        <w:t>za izračun pošljejo vse države članice E</w:t>
      </w:r>
      <w:r w:rsidR="00E0471C">
        <w:rPr>
          <w:rStyle w:val="Krepko"/>
          <w:rFonts w:cs="Arial"/>
          <w:b w:val="0"/>
          <w:bCs w:val="0"/>
          <w:color w:val="111111"/>
          <w:szCs w:val="22"/>
          <w:bdr w:val="none" w:sz="0" w:space="0" w:color="auto" w:frame="1"/>
        </w:rPr>
        <w:t>UROSTAT-</w:t>
      </w:r>
      <w:r w:rsidR="006C582D">
        <w:rPr>
          <w:rStyle w:val="Krepko"/>
          <w:rFonts w:cs="Arial"/>
          <w:b w:val="0"/>
          <w:bCs w:val="0"/>
          <w:color w:val="111111"/>
          <w:szCs w:val="22"/>
          <w:bdr w:val="none" w:sz="0" w:space="0" w:color="auto" w:frame="1"/>
        </w:rPr>
        <w:t>u preko nacionalnih statističnih uradov. Spodaj sta prikazana oba kazalnika, izračunana za Republiko Slovenijo</w:t>
      </w:r>
      <w:r w:rsidR="007E298C">
        <w:rPr>
          <w:rStyle w:val="Krepko"/>
          <w:rFonts w:cs="Arial"/>
          <w:b w:val="0"/>
          <w:bCs w:val="0"/>
          <w:color w:val="111111"/>
          <w:szCs w:val="22"/>
          <w:bdr w:val="none" w:sz="0" w:space="0" w:color="auto" w:frame="1"/>
        </w:rPr>
        <w:t xml:space="preserve"> do leta 2021</w:t>
      </w:r>
      <w:r w:rsidR="0091096C">
        <w:rPr>
          <w:rStyle w:val="Krepko"/>
          <w:rFonts w:cs="Arial"/>
          <w:b w:val="0"/>
          <w:bCs w:val="0"/>
          <w:color w:val="111111"/>
          <w:szCs w:val="22"/>
          <w:bdr w:val="none" w:sz="0" w:space="0" w:color="auto" w:frame="1"/>
        </w:rPr>
        <w:t>.</w:t>
      </w:r>
      <w:r w:rsidR="007E298C">
        <w:rPr>
          <w:rStyle w:val="Krepko"/>
          <w:rFonts w:cs="Arial"/>
          <w:b w:val="0"/>
          <w:bCs w:val="0"/>
          <w:color w:val="111111"/>
          <w:szCs w:val="22"/>
          <w:bdr w:val="none" w:sz="0" w:space="0" w:color="auto" w:frame="1"/>
        </w:rPr>
        <w:t xml:space="preserve"> </w:t>
      </w:r>
      <w:r w:rsidR="0091096C">
        <w:rPr>
          <w:rStyle w:val="Krepko"/>
          <w:rFonts w:cs="Arial"/>
          <w:b w:val="0"/>
          <w:bCs w:val="0"/>
          <w:color w:val="111111"/>
          <w:szCs w:val="22"/>
          <w:bdr w:val="none" w:sz="0" w:space="0" w:color="auto" w:frame="1"/>
        </w:rPr>
        <w:t>V času priprave poročila kazalnika za</w:t>
      </w:r>
      <w:r w:rsidR="007E298C">
        <w:rPr>
          <w:rStyle w:val="Krepko"/>
          <w:rFonts w:cs="Arial"/>
          <w:b w:val="0"/>
          <w:bCs w:val="0"/>
          <w:color w:val="111111"/>
          <w:szCs w:val="22"/>
          <w:bdr w:val="none" w:sz="0" w:space="0" w:color="auto" w:frame="1"/>
        </w:rPr>
        <w:t xml:space="preserve"> leto 2022 še nista </w:t>
      </w:r>
      <w:r w:rsidR="0091096C">
        <w:rPr>
          <w:rStyle w:val="Krepko"/>
          <w:rFonts w:cs="Arial"/>
          <w:b w:val="0"/>
          <w:bCs w:val="0"/>
          <w:color w:val="111111"/>
          <w:szCs w:val="22"/>
          <w:bdr w:val="none" w:sz="0" w:space="0" w:color="auto" w:frame="1"/>
        </w:rPr>
        <w:t xml:space="preserve">bila </w:t>
      </w:r>
      <w:r w:rsidR="007E298C">
        <w:rPr>
          <w:rStyle w:val="Krepko"/>
          <w:rFonts w:cs="Arial"/>
          <w:b w:val="0"/>
          <w:bCs w:val="0"/>
          <w:color w:val="111111"/>
          <w:szCs w:val="22"/>
          <w:bdr w:val="none" w:sz="0" w:space="0" w:color="auto" w:frame="1"/>
        </w:rPr>
        <w:t xml:space="preserve">izračunana. </w:t>
      </w:r>
    </w:p>
    <w:p w14:paraId="247A7F88" w14:textId="5CE13AC9" w:rsidR="003F53BA" w:rsidRPr="007D0188" w:rsidRDefault="001163B5" w:rsidP="007D0188">
      <w:pPr>
        <w:rPr>
          <w:szCs w:val="22"/>
        </w:rPr>
      </w:pPr>
      <w:r w:rsidRPr="003150A7">
        <w:rPr>
          <w:rStyle w:val="Krepko"/>
          <w:rFonts w:cs="Arial"/>
          <w:color w:val="111111"/>
          <w:szCs w:val="22"/>
          <w:bdr w:val="none" w:sz="0" w:space="0" w:color="auto" w:frame="1"/>
        </w:rPr>
        <w:t>Kazalnik 1</w:t>
      </w:r>
      <w:r w:rsidRPr="003150A7">
        <w:t> </w:t>
      </w:r>
      <w:r w:rsidR="006C582D">
        <w:t xml:space="preserve">se </w:t>
      </w:r>
      <w:r w:rsidR="001504B6" w:rsidRPr="003150A7">
        <w:t xml:space="preserve">izračuna </w:t>
      </w:r>
      <w:r w:rsidRPr="003150A7">
        <w:t xml:space="preserve">na podlagi statističnih podatkov o količinah aktivnih snovi v FFS, danih v </w:t>
      </w:r>
      <w:r w:rsidR="006C582D">
        <w:t xml:space="preserve">promet </w:t>
      </w:r>
      <w:r w:rsidR="00885193" w:rsidRPr="003150A7">
        <w:t xml:space="preserve">z uporabo </w:t>
      </w:r>
      <w:proofErr w:type="spellStart"/>
      <w:r w:rsidR="00B758E4">
        <w:t>utež</w:t>
      </w:r>
      <w:r w:rsidR="0017705D">
        <w:t>e</w:t>
      </w:r>
      <w:r w:rsidR="00B758E4">
        <w:t>nega</w:t>
      </w:r>
      <w:proofErr w:type="spellEnd"/>
      <w:r w:rsidR="00885193" w:rsidRPr="003150A7">
        <w:t xml:space="preserve"> faktorja, določenega na podlagi lastnosti FFS. </w:t>
      </w:r>
      <w:r w:rsidR="00D832DF" w:rsidRPr="003150A7">
        <w:t xml:space="preserve">Izhodiščna vrednost je povprečna prodaja FFS v letih od 2011 do 2013, označena s 100. </w:t>
      </w:r>
      <w:bookmarkStart w:id="11" w:name="_Toc149824891"/>
      <w:bookmarkStart w:id="12" w:name="_Toc149825600"/>
      <w:bookmarkStart w:id="13" w:name="_Toc151116349"/>
      <w:r w:rsidR="008763A2">
        <w:t>V izračun niso vključene količine aktivnih snovi iz FFS, ki so bil</w:t>
      </w:r>
      <w:r w:rsidR="00327608">
        <w:t>a</w:t>
      </w:r>
      <w:r w:rsidR="008763A2">
        <w:t xml:space="preserve"> ilegalno uvožen</w:t>
      </w:r>
      <w:r w:rsidR="00327608">
        <w:t>a</w:t>
      </w:r>
      <w:r w:rsidR="008763A2">
        <w:t xml:space="preserve"> v Slovenijo.</w:t>
      </w:r>
    </w:p>
    <w:p w14:paraId="476C2610" w14:textId="66EF1470" w:rsidR="00885193" w:rsidRPr="007D0188" w:rsidRDefault="003F53BA" w:rsidP="003F53BA">
      <w:pPr>
        <w:pStyle w:val="Napis"/>
        <w:rPr>
          <w:rFonts w:cs="Arial"/>
          <w:color w:val="111111"/>
          <w:sz w:val="20"/>
          <w:szCs w:val="20"/>
        </w:rPr>
      </w:pPr>
      <w:bookmarkStart w:id="14" w:name="_Toc152153144"/>
      <w:r w:rsidRPr="007D0188">
        <w:rPr>
          <w:rFonts w:cs="Arial"/>
          <w:sz w:val="20"/>
          <w:szCs w:val="20"/>
        </w:rPr>
        <w:t xml:space="preserve">Preglednica </w:t>
      </w:r>
      <w:r w:rsidRPr="007D0188">
        <w:rPr>
          <w:rFonts w:cs="Arial"/>
          <w:sz w:val="20"/>
          <w:szCs w:val="20"/>
        </w:rPr>
        <w:fldChar w:fldCharType="begin"/>
      </w:r>
      <w:r w:rsidRPr="007D0188">
        <w:rPr>
          <w:rFonts w:cs="Arial"/>
          <w:sz w:val="20"/>
          <w:szCs w:val="20"/>
        </w:rPr>
        <w:instrText xml:space="preserve"> SEQ Preglednica \* ARABIC </w:instrText>
      </w:r>
      <w:r w:rsidRPr="007D0188">
        <w:rPr>
          <w:rFonts w:cs="Arial"/>
          <w:sz w:val="20"/>
          <w:szCs w:val="20"/>
        </w:rPr>
        <w:fldChar w:fldCharType="separate"/>
      </w:r>
      <w:r w:rsidR="00DB7441">
        <w:rPr>
          <w:rFonts w:cs="Arial"/>
          <w:noProof/>
          <w:sz w:val="20"/>
          <w:szCs w:val="20"/>
        </w:rPr>
        <w:t>1</w:t>
      </w:r>
      <w:r w:rsidRPr="007D0188">
        <w:rPr>
          <w:rFonts w:cs="Arial"/>
          <w:sz w:val="20"/>
          <w:szCs w:val="20"/>
        </w:rPr>
        <w:fldChar w:fldCharType="end"/>
      </w:r>
      <w:r w:rsidRPr="007D0188">
        <w:rPr>
          <w:rFonts w:cs="Arial"/>
          <w:sz w:val="20"/>
          <w:szCs w:val="20"/>
        </w:rPr>
        <w:t xml:space="preserve">: </w:t>
      </w:r>
      <w:r w:rsidR="00CA590B" w:rsidRPr="007D0188">
        <w:rPr>
          <w:rFonts w:cs="Arial"/>
          <w:sz w:val="20"/>
          <w:szCs w:val="20"/>
        </w:rPr>
        <w:t>Gibanje kazalnika tveganja 1</w:t>
      </w:r>
      <w:bookmarkEnd w:id="11"/>
      <w:bookmarkEnd w:id="12"/>
      <w:bookmarkEnd w:id="13"/>
      <w:bookmarkEnd w:id="14"/>
    </w:p>
    <w:tbl>
      <w:tblPr>
        <w:tblStyle w:val="Tabelamre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05"/>
        <w:gridCol w:w="1409"/>
        <w:gridCol w:w="710"/>
        <w:gridCol w:w="714"/>
        <w:gridCol w:w="706"/>
        <w:gridCol w:w="714"/>
        <w:gridCol w:w="708"/>
        <w:gridCol w:w="709"/>
        <w:gridCol w:w="709"/>
        <w:gridCol w:w="850"/>
      </w:tblGrid>
      <w:tr w:rsidR="00760A5D" w:rsidRPr="003150A7" w14:paraId="2CF1684A" w14:textId="77777777" w:rsidTr="004935E3">
        <w:trPr>
          <w:trHeight w:val="289"/>
        </w:trPr>
        <w:tc>
          <w:tcPr>
            <w:tcW w:w="2405" w:type="dxa"/>
          </w:tcPr>
          <w:p w14:paraId="66444F47" w14:textId="4D3FD2A1" w:rsidR="00760A5D" w:rsidRPr="003150A7" w:rsidRDefault="00760A5D" w:rsidP="004935E3">
            <w:pPr>
              <w:pStyle w:val="Brezrazmikov"/>
            </w:pPr>
            <w:r w:rsidRPr="003150A7">
              <w:t>Leto</w:t>
            </w:r>
          </w:p>
        </w:tc>
        <w:tc>
          <w:tcPr>
            <w:tcW w:w="1409" w:type="dxa"/>
          </w:tcPr>
          <w:p w14:paraId="65A23FD7" w14:textId="7D8E51D9" w:rsidR="00760A5D" w:rsidRPr="003150A7" w:rsidRDefault="00760A5D" w:rsidP="004935E3">
            <w:pPr>
              <w:pStyle w:val="Brezrazmikov"/>
              <w:jc w:val="center"/>
            </w:pPr>
            <w:r w:rsidRPr="003150A7">
              <w:t>2011-2013</w:t>
            </w:r>
          </w:p>
        </w:tc>
        <w:tc>
          <w:tcPr>
            <w:tcW w:w="710" w:type="dxa"/>
          </w:tcPr>
          <w:p w14:paraId="1C780E46" w14:textId="0DB6BB00" w:rsidR="00760A5D" w:rsidRPr="003150A7" w:rsidRDefault="00760A5D" w:rsidP="004935E3">
            <w:pPr>
              <w:pStyle w:val="Brezrazmikov"/>
              <w:jc w:val="center"/>
            </w:pPr>
            <w:r w:rsidRPr="003150A7">
              <w:t>2014</w:t>
            </w:r>
          </w:p>
        </w:tc>
        <w:tc>
          <w:tcPr>
            <w:tcW w:w="714" w:type="dxa"/>
          </w:tcPr>
          <w:p w14:paraId="44C84DE0" w14:textId="57A5E492" w:rsidR="00760A5D" w:rsidRPr="003150A7" w:rsidRDefault="00760A5D" w:rsidP="004935E3">
            <w:pPr>
              <w:pStyle w:val="Brezrazmikov"/>
              <w:jc w:val="center"/>
            </w:pPr>
            <w:r w:rsidRPr="003150A7">
              <w:t>2015</w:t>
            </w:r>
          </w:p>
        </w:tc>
        <w:tc>
          <w:tcPr>
            <w:tcW w:w="706" w:type="dxa"/>
          </w:tcPr>
          <w:p w14:paraId="536057ED" w14:textId="105EED09" w:rsidR="00760A5D" w:rsidRPr="003150A7" w:rsidRDefault="00760A5D" w:rsidP="004935E3">
            <w:pPr>
              <w:pStyle w:val="Brezrazmikov"/>
              <w:jc w:val="center"/>
            </w:pPr>
            <w:r w:rsidRPr="003150A7">
              <w:t>2016</w:t>
            </w:r>
          </w:p>
        </w:tc>
        <w:tc>
          <w:tcPr>
            <w:tcW w:w="714" w:type="dxa"/>
          </w:tcPr>
          <w:p w14:paraId="3219F8DD" w14:textId="0F4ED8E3" w:rsidR="00760A5D" w:rsidRPr="003150A7" w:rsidRDefault="00760A5D" w:rsidP="004935E3">
            <w:pPr>
              <w:pStyle w:val="Brezrazmikov"/>
              <w:jc w:val="center"/>
            </w:pPr>
            <w:r w:rsidRPr="003150A7">
              <w:t>2017</w:t>
            </w:r>
          </w:p>
        </w:tc>
        <w:tc>
          <w:tcPr>
            <w:tcW w:w="708" w:type="dxa"/>
          </w:tcPr>
          <w:p w14:paraId="296D00FE" w14:textId="4B704FB2" w:rsidR="00760A5D" w:rsidRPr="003150A7" w:rsidRDefault="00760A5D" w:rsidP="004935E3">
            <w:pPr>
              <w:pStyle w:val="Brezrazmikov"/>
              <w:jc w:val="center"/>
            </w:pPr>
            <w:r w:rsidRPr="003150A7">
              <w:t>2018</w:t>
            </w:r>
          </w:p>
        </w:tc>
        <w:tc>
          <w:tcPr>
            <w:tcW w:w="709" w:type="dxa"/>
          </w:tcPr>
          <w:p w14:paraId="55CBC76B" w14:textId="5C710C7C" w:rsidR="00760A5D" w:rsidRPr="003150A7" w:rsidRDefault="00760A5D" w:rsidP="004935E3">
            <w:pPr>
              <w:pStyle w:val="Brezrazmikov"/>
              <w:jc w:val="center"/>
            </w:pPr>
            <w:r w:rsidRPr="003150A7">
              <w:t>2019</w:t>
            </w:r>
          </w:p>
        </w:tc>
        <w:tc>
          <w:tcPr>
            <w:tcW w:w="709" w:type="dxa"/>
          </w:tcPr>
          <w:p w14:paraId="05AE4817" w14:textId="0B41C3D8" w:rsidR="00760A5D" w:rsidRPr="003150A7" w:rsidRDefault="00760A5D" w:rsidP="004935E3">
            <w:pPr>
              <w:pStyle w:val="Brezrazmikov"/>
              <w:jc w:val="center"/>
            </w:pPr>
            <w:r w:rsidRPr="003150A7">
              <w:t>2020</w:t>
            </w:r>
          </w:p>
        </w:tc>
        <w:tc>
          <w:tcPr>
            <w:tcW w:w="850" w:type="dxa"/>
          </w:tcPr>
          <w:p w14:paraId="0A104345" w14:textId="6ADB3B2A" w:rsidR="00760A5D" w:rsidRPr="003150A7" w:rsidRDefault="00760A5D" w:rsidP="004935E3">
            <w:pPr>
              <w:pStyle w:val="Brezrazmikov"/>
              <w:jc w:val="center"/>
            </w:pPr>
            <w:r w:rsidRPr="003150A7">
              <w:t>2021</w:t>
            </w:r>
          </w:p>
        </w:tc>
      </w:tr>
      <w:tr w:rsidR="00760A5D" w:rsidRPr="003150A7" w14:paraId="1B540DE3" w14:textId="77777777" w:rsidTr="004935E3">
        <w:trPr>
          <w:trHeight w:val="289"/>
        </w:trPr>
        <w:tc>
          <w:tcPr>
            <w:tcW w:w="2405" w:type="dxa"/>
          </w:tcPr>
          <w:p w14:paraId="443A9787" w14:textId="5901B85D" w:rsidR="00760A5D" w:rsidRPr="003150A7" w:rsidRDefault="00760A5D" w:rsidP="004935E3">
            <w:pPr>
              <w:pStyle w:val="Brezrazmikov"/>
            </w:pPr>
            <w:r w:rsidRPr="003150A7">
              <w:t>Kazalnik tveganja 1</w:t>
            </w:r>
          </w:p>
        </w:tc>
        <w:tc>
          <w:tcPr>
            <w:tcW w:w="1409" w:type="dxa"/>
          </w:tcPr>
          <w:p w14:paraId="16D3FC2C" w14:textId="3BC6604F" w:rsidR="00760A5D" w:rsidRPr="003150A7" w:rsidRDefault="00760A5D" w:rsidP="004935E3">
            <w:pPr>
              <w:pStyle w:val="Brezrazmikov"/>
              <w:jc w:val="center"/>
            </w:pPr>
            <w:r w:rsidRPr="003150A7">
              <w:t>100</w:t>
            </w:r>
          </w:p>
        </w:tc>
        <w:tc>
          <w:tcPr>
            <w:tcW w:w="710" w:type="dxa"/>
          </w:tcPr>
          <w:p w14:paraId="5D7DED90" w14:textId="22649E17" w:rsidR="00760A5D" w:rsidRPr="003150A7" w:rsidRDefault="00760A5D" w:rsidP="004935E3">
            <w:pPr>
              <w:pStyle w:val="Brezrazmikov"/>
              <w:jc w:val="center"/>
            </w:pPr>
            <w:r w:rsidRPr="003150A7">
              <w:t>98</w:t>
            </w:r>
          </w:p>
        </w:tc>
        <w:tc>
          <w:tcPr>
            <w:tcW w:w="714" w:type="dxa"/>
          </w:tcPr>
          <w:p w14:paraId="430F9563" w14:textId="45FE16EA" w:rsidR="00760A5D" w:rsidRPr="003150A7" w:rsidRDefault="00760A5D" w:rsidP="004935E3">
            <w:pPr>
              <w:pStyle w:val="Brezrazmikov"/>
              <w:jc w:val="center"/>
            </w:pPr>
            <w:r w:rsidRPr="003150A7">
              <w:t>100</w:t>
            </w:r>
          </w:p>
        </w:tc>
        <w:tc>
          <w:tcPr>
            <w:tcW w:w="706" w:type="dxa"/>
          </w:tcPr>
          <w:p w14:paraId="47E2DC45" w14:textId="1809A17E" w:rsidR="00760A5D" w:rsidRPr="003150A7" w:rsidRDefault="00760A5D" w:rsidP="004935E3">
            <w:pPr>
              <w:pStyle w:val="Brezrazmikov"/>
              <w:jc w:val="center"/>
            </w:pPr>
            <w:r w:rsidRPr="003150A7">
              <w:t>107</w:t>
            </w:r>
          </w:p>
        </w:tc>
        <w:tc>
          <w:tcPr>
            <w:tcW w:w="714" w:type="dxa"/>
          </w:tcPr>
          <w:p w14:paraId="65290CB8" w14:textId="400E7371" w:rsidR="00760A5D" w:rsidRPr="003150A7" w:rsidRDefault="00760A5D" w:rsidP="004935E3">
            <w:pPr>
              <w:pStyle w:val="Brezrazmikov"/>
              <w:jc w:val="center"/>
            </w:pPr>
            <w:r w:rsidRPr="003150A7">
              <w:t>98</w:t>
            </w:r>
          </w:p>
        </w:tc>
        <w:tc>
          <w:tcPr>
            <w:tcW w:w="708" w:type="dxa"/>
          </w:tcPr>
          <w:p w14:paraId="72D9DDE2" w14:textId="68CC9778" w:rsidR="00760A5D" w:rsidRPr="003150A7" w:rsidRDefault="00760A5D" w:rsidP="004935E3">
            <w:pPr>
              <w:pStyle w:val="Brezrazmikov"/>
              <w:jc w:val="center"/>
            </w:pPr>
            <w:r w:rsidRPr="003150A7">
              <w:t>103</w:t>
            </w:r>
          </w:p>
        </w:tc>
        <w:tc>
          <w:tcPr>
            <w:tcW w:w="709" w:type="dxa"/>
          </w:tcPr>
          <w:p w14:paraId="2B222EA6" w14:textId="0A92CFE2" w:rsidR="00760A5D" w:rsidRPr="003150A7" w:rsidRDefault="00760A5D" w:rsidP="004935E3">
            <w:pPr>
              <w:pStyle w:val="Brezrazmikov"/>
              <w:jc w:val="center"/>
            </w:pPr>
            <w:r w:rsidRPr="003150A7">
              <w:t>75</w:t>
            </w:r>
          </w:p>
        </w:tc>
        <w:tc>
          <w:tcPr>
            <w:tcW w:w="709" w:type="dxa"/>
          </w:tcPr>
          <w:p w14:paraId="59646068" w14:textId="03EDA77D" w:rsidR="00760A5D" w:rsidRPr="003150A7" w:rsidRDefault="00760A5D" w:rsidP="004935E3">
            <w:pPr>
              <w:pStyle w:val="Brezrazmikov"/>
              <w:jc w:val="center"/>
            </w:pPr>
            <w:r w:rsidRPr="003150A7">
              <w:t>72</w:t>
            </w:r>
          </w:p>
        </w:tc>
        <w:tc>
          <w:tcPr>
            <w:tcW w:w="850" w:type="dxa"/>
          </w:tcPr>
          <w:p w14:paraId="7AD36845" w14:textId="40BD2310" w:rsidR="00760A5D" w:rsidRPr="003150A7" w:rsidRDefault="00760A5D" w:rsidP="004935E3">
            <w:pPr>
              <w:pStyle w:val="Brezrazmikov"/>
              <w:jc w:val="center"/>
            </w:pPr>
            <w:r w:rsidRPr="003150A7">
              <w:t>68</w:t>
            </w:r>
          </w:p>
        </w:tc>
      </w:tr>
    </w:tbl>
    <w:p w14:paraId="35D56746" w14:textId="77777777" w:rsidR="00CA590B" w:rsidRPr="003150A7" w:rsidRDefault="00CA590B" w:rsidP="001163B5">
      <w:pPr>
        <w:pStyle w:val="Navadensplet"/>
        <w:spacing w:before="0" w:beforeAutospacing="0" w:after="0" w:afterAutospacing="0"/>
        <w:textAlignment w:val="baseline"/>
        <w:rPr>
          <w:rStyle w:val="Krepko"/>
          <w:rFonts w:ascii="Arial" w:hAnsi="Arial" w:cs="Arial"/>
          <w:color w:val="111111"/>
          <w:sz w:val="22"/>
          <w:szCs w:val="22"/>
          <w:bdr w:val="none" w:sz="0" w:space="0" w:color="auto" w:frame="1"/>
        </w:rPr>
      </w:pPr>
    </w:p>
    <w:p w14:paraId="34CF7859" w14:textId="77777777" w:rsidR="00FE30D5" w:rsidRDefault="00FE30D5" w:rsidP="00E92CD6">
      <w:pPr>
        <w:pStyle w:val="Navadensplet"/>
        <w:spacing w:before="0" w:beforeAutospacing="0" w:after="0" w:afterAutospacing="0"/>
        <w:jc w:val="center"/>
        <w:textAlignment w:val="baseline"/>
        <w:rPr>
          <w:rStyle w:val="Krepko"/>
          <w:rFonts w:ascii="Arial" w:hAnsi="Arial" w:cs="Arial"/>
          <w:color w:val="111111"/>
          <w:sz w:val="22"/>
          <w:szCs w:val="22"/>
          <w:bdr w:val="none" w:sz="0" w:space="0" w:color="auto" w:frame="1"/>
        </w:rPr>
      </w:pPr>
    </w:p>
    <w:p w14:paraId="12E11094" w14:textId="78C19073" w:rsidR="00CA590B" w:rsidRPr="003150A7" w:rsidRDefault="00CA590B" w:rsidP="00E92CD6">
      <w:pPr>
        <w:pStyle w:val="Navadensplet"/>
        <w:spacing w:before="0" w:beforeAutospacing="0" w:after="0" w:afterAutospacing="0"/>
        <w:jc w:val="center"/>
        <w:textAlignment w:val="baseline"/>
        <w:rPr>
          <w:rStyle w:val="Krepko"/>
          <w:rFonts w:ascii="Arial" w:hAnsi="Arial" w:cs="Arial"/>
          <w:color w:val="111111"/>
          <w:sz w:val="22"/>
          <w:szCs w:val="22"/>
          <w:bdr w:val="none" w:sz="0" w:space="0" w:color="auto" w:frame="1"/>
        </w:rPr>
      </w:pPr>
      <w:r w:rsidRPr="003150A7">
        <w:rPr>
          <w:rFonts w:ascii="Arial" w:hAnsi="Arial" w:cs="Arial"/>
          <w:noProof/>
          <w:sz w:val="22"/>
          <w:szCs w:val="22"/>
        </w:rPr>
        <w:drawing>
          <wp:inline distT="0" distB="0" distL="0" distR="0" wp14:anchorId="187F8D22" wp14:editId="369D3C82">
            <wp:extent cx="4680000" cy="2520000"/>
            <wp:effectExtent l="0" t="0" r="6350" b="13970"/>
            <wp:docPr id="13" name="Grafikon 13">
              <a:extLst xmlns:a="http://schemas.openxmlformats.org/drawingml/2006/main">
                <a:ext uri="{FF2B5EF4-FFF2-40B4-BE49-F238E27FC236}">
                  <a16:creationId xmlns:a16="http://schemas.microsoft.com/office/drawing/2014/main" id="{5EC0FA7C-2E76-C8F5-787A-43EF223B76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736941" w14:textId="5FCAFE42" w:rsidR="00CA590B" w:rsidRPr="004935E3" w:rsidRDefault="00C2407F" w:rsidP="00C2407F">
      <w:pPr>
        <w:pStyle w:val="Napis"/>
        <w:jc w:val="center"/>
        <w:rPr>
          <w:rStyle w:val="Krepko"/>
          <w:rFonts w:cs="Arial"/>
          <w:color w:val="111111"/>
          <w:sz w:val="20"/>
          <w:szCs w:val="20"/>
          <w:bdr w:val="none" w:sz="0" w:space="0" w:color="auto" w:frame="1"/>
        </w:rPr>
      </w:pPr>
      <w:bookmarkStart w:id="15" w:name="_Toc151554959"/>
      <w:r w:rsidRPr="004935E3">
        <w:rPr>
          <w:rFonts w:cs="Arial"/>
          <w:sz w:val="20"/>
          <w:szCs w:val="20"/>
        </w:rPr>
        <w:t xml:space="preserve">Slika </w:t>
      </w:r>
      <w:r w:rsidRPr="004935E3">
        <w:rPr>
          <w:rFonts w:cs="Arial"/>
          <w:sz w:val="20"/>
          <w:szCs w:val="20"/>
        </w:rPr>
        <w:fldChar w:fldCharType="begin"/>
      </w:r>
      <w:r w:rsidRPr="004935E3">
        <w:rPr>
          <w:rFonts w:cs="Arial"/>
          <w:sz w:val="20"/>
          <w:szCs w:val="20"/>
        </w:rPr>
        <w:instrText xml:space="preserve"> SEQ Slika \* ARABIC </w:instrText>
      </w:r>
      <w:r w:rsidRPr="004935E3">
        <w:rPr>
          <w:rFonts w:cs="Arial"/>
          <w:sz w:val="20"/>
          <w:szCs w:val="20"/>
        </w:rPr>
        <w:fldChar w:fldCharType="separate"/>
      </w:r>
      <w:r w:rsidR="00D24AE7">
        <w:rPr>
          <w:rFonts w:cs="Arial"/>
          <w:noProof/>
          <w:sz w:val="20"/>
          <w:szCs w:val="20"/>
        </w:rPr>
        <w:t>1</w:t>
      </w:r>
      <w:r w:rsidRPr="004935E3">
        <w:rPr>
          <w:rFonts w:cs="Arial"/>
          <w:sz w:val="20"/>
          <w:szCs w:val="20"/>
        </w:rPr>
        <w:fldChar w:fldCharType="end"/>
      </w:r>
      <w:r w:rsidR="00CA590B" w:rsidRPr="004935E3">
        <w:rPr>
          <w:rFonts w:cs="Arial"/>
          <w:sz w:val="20"/>
          <w:szCs w:val="20"/>
        </w:rPr>
        <w:t xml:space="preserve">: </w:t>
      </w:r>
      <w:r w:rsidR="00F9332B" w:rsidRPr="004935E3">
        <w:rPr>
          <w:rFonts w:cs="Arial"/>
          <w:sz w:val="20"/>
          <w:szCs w:val="20"/>
        </w:rPr>
        <w:t>G</w:t>
      </w:r>
      <w:r w:rsidR="00CA590B" w:rsidRPr="004935E3">
        <w:rPr>
          <w:rFonts w:cs="Arial"/>
          <w:sz w:val="20"/>
          <w:szCs w:val="20"/>
        </w:rPr>
        <w:t xml:space="preserve">ibanje kazalnika </w:t>
      </w:r>
      <w:r w:rsidR="00F9332B" w:rsidRPr="004935E3">
        <w:rPr>
          <w:rFonts w:cs="Arial"/>
          <w:sz w:val="20"/>
          <w:szCs w:val="20"/>
        </w:rPr>
        <w:t xml:space="preserve">tveganja </w:t>
      </w:r>
      <w:r w:rsidR="00CA590B" w:rsidRPr="004935E3">
        <w:rPr>
          <w:rFonts w:cs="Arial"/>
          <w:sz w:val="20"/>
          <w:szCs w:val="20"/>
        </w:rPr>
        <w:t>1</w:t>
      </w:r>
      <w:bookmarkEnd w:id="15"/>
    </w:p>
    <w:p w14:paraId="51BD83E5" w14:textId="77777777" w:rsidR="00CA590B" w:rsidRPr="003150A7" w:rsidRDefault="00CA590B" w:rsidP="001163B5">
      <w:pPr>
        <w:pStyle w:val="Navadensplet"/>
        <w:spacing w:before="0" w:beforeAutospacing="0" w:after="0" w:afterAutospacing="0"/>
        <w:textAlignment w:val="baseline"/>
        <w:rPr>
          <w:rStyle w:val="Krepko"/>
          <w:rFonts w:ascii="Arial" w:hAnsi="Arial" w:cs="Arial"/>
          <w:color w:val="111111"/>
          <w:sz w:val="22"/>
          <w:szCs w:val="22"/>
          <w:bdr w:val="none" w:sz="0" w:space="0" w:color="auto" w:frame="1"/>
        </w:rPr>
      </w:pPr>
    </w:p>
    <w:p w14:paraId="01E7B5D6" w14:textId="36CB2E18" w:rsidR="00501453" w:rsidRPr="00F2439B" w:rsidRDefault="00501453" w:rsidP="004935E3">
      <w:r w:rsidRPr="00F2439B">
        <w:t xml:space="preserve">Od leta 2018 </w:t>
      </w:r>
      <w:r w:rsidR="000E576E" w:rsidRPr="00F2439B">
        <w:t>promet</w:t>
      </w:r>
      <w:r w:rsidRPr="00F2439B">
        <w:t xml:space="preserve"> FFS</w:t>
      </w:r>
      <w:r w:rsidR="001504B6" w:rsidRPr="00F2439B">
        <w:t xml:space="preserve"> v </w:t>
      </w:r>
      <w:r w:rsidR="00F2439B" w:rsidRPr="00F2439B">
        <w:t>R</w:t>
      </w:r>
      <w:r w:rsidR="00ED66DD">
        <w:t xml:space="preserve">epubliki </w:t>
      </w:r>
      <w:r w:rsidR="00F2439B" w:rsidRPr="00F2439B">
        <w:t>S</w:t>
      </w:r>
      <w:r w:rsidR="00ED66DD">
        <w:t>loveniji</w:t>
      </w:r>
      <w:r w:rsidR="001504B6" w:rsidRPr="00F2439B">
        <w:t xml:space="preserve"> </w:t>
      </w:r>
      <w:r w:rsidRPr="00F2439B">
        <w:t xml:space="preserve">upada in s tem tudi izračunani kazalnik tveganja 1. Glede na izhodiščno vrednost 100 v letih 2011-2013 se je </w:t>
      </w:r>
      <w:r w:rsidR="000B6183" w:rsidRPr="00F2439B">
        <w:t xml:space="preserve">v letu 2021 </w:t>
      </w:r>
      <w:r w:rsidRPr="00F2439B">
        <w:t xml:space="preserve">zmanjšal za </w:t>
      </w:r>
      <w:r w:rsidRPr="00F2439B">
        <w:rPr>
          <w:b/>
          <w:bCs/>
        </w:rPr>
        <w:t>32 odstotkov</w:t>
      </w:r>
      <w:r w:rsidRPr="00F2439B">
        <w:t xml:space="preserve">. </w:t>
      </w:r>
    </w:p>
    <w:p w14:paraId="2C823DF1" w14:textId="33930914" w:rsidR="009702FF" w:rsidRPr="00F2439B" w:rsidRDefault="00D16728" w:rsidP="004935E3">
      <w:r w:rsidRPr="00F2439B">
        <w:t>V</w:t>
      </w:r>
      <w:r w:rsidR="00501453" w:rsidRPr="00F2439B">
        <w:t xml:space="preserve"> letu 2021 smo zabeležili najnižj</w:t>
      </w:r>
      <w:r w:rsidR="000E576E" w:rsidRPr="00F2439B">
        <w:t>i</w:t>
      </w:r>
      <w:r w:rsidR="00501453" w:rsidRPr="00F2439B">
        <w:t xml:space="preserve"> </w:t>
      </w:r>
      <w:r w:rsidR="000E576E" w:rsidRPr="00F2439B">
        <w:t>promet</w:t>
      </w:r>
      <w:r w:rsidR="00501453" w:rsidRPr="00F2439B">
        <w:t xml:space="preserve"> FFS, odkar </w:t>
      </w:r>
      <w:r w:rsidR="000E576E" w:rsidRPr="00F2439B">
        <w:t>ga</w:t>
      </w:r>
      <w:r w:rsidR="00501453" w:rsidRPr="00F2439B">
        <w:t xml:space="preserve"> uradno spremljamo</w:t>
      </w:r>
      <w:r w:rsidR="00D83167" w:rsidRPr="00F2439B">
        <w:t>. Glavni razlog je verjetno</w:t>
      </w:r>
      <w:r w:rsidR="00501453" w:rsidRPr="00F2439B">
        <w:t xml:space="preserve"> </w:t>
      </w:r>
      <w:r w:rsidR="00D83167" w:rsidRPr="00F2439B">
        <w:t>suša v 2021, zato je bila poraba fungicidov manjša v trajnih nasadih</w:t>
      </w:r>
      <w:r w:rsidR="00501453" w:rsidRPr="00F2439B">
        <w:t xml:space="preserve">. </w:t>
      </w:r>
      <w:r w:rsidR="00D5763B" w:rsidRPr="00F2439B">
        <w:t>Raba FFS v t</w:t>
      </w:r>
      <w:r w:rsidR="00501453" w:rsidRPr="00F2439B">
        <w:t>rajni</w:t>
      </w:r>
      <w:r w:rsidR="00D5763B" w:rsidRPr="00F2439B">
        <w:t>h</w:t>
      </w:r>
      <w:r w:rsidR="00501453" w:rsidRPr="00F2439B">
        <w:t xml:space="preserve"> nasadi</w:t>
      </w:r>
      <w:r w:rsidR="00D5763B" w:rsidRPr="00F2439B">
        <w:t>h</w:t>
      </w:r>
      <w:r w:rsidR="00501453" w:rsidRPr="00F2439B">
        <w:t xml:space="preserve"> (sadovnjaki in vinogradi) predstavlja nad 90 % vse porabe fungicidov v Sloveniji</w:t>
      </w:r>
      <w:r w:rsidR="00D83167" w:rsidRPr="00F2439B">
        <w:t>. N</w:t>
      </w:r>
      <w:r w:rsidR="00501453" w:rsidRPr="00F2439B">
        <w:t xml:space="preserve">ihanje prodaje </w:t>
      </w:r>
      <w:r w:rsidR="00D83167" w:rsidRPr="00F2439B">
        <w:t xml:space="preserve">FFS je </w:t>
      </w:r>
      <w:r w:rsidR="00501453" w:rsidRPr="00F2439B">
        <w:t>odvisno od vremenskih razmer v posamezni rastni sezoni</w:t>
      </w:r>
      <w:r w:rsidRPr="00F2439B">
        <w:t xml:space="preserve">, </w:t>
      </w:r>
      <w:r w:rsidR="00501453" w:rsidRPr="00F2439B">
        <w:t xml:space="preserve">pritiska škodljivih organizmov, vrste aktivnih snovi v </w:t>
      </w:r>
      <w:r w:rsidR="00F2439B">
        <w:t>FFS</w:t>
      </w:r>
      <w:r w:rsidR="00501453" w:rsidRPr="00F2439B">
        <w:t xml:space="preserve"> ter ekonomskih razlogov. </w:t>
      </w:r>
      <w:r w:rsidRPr="00F2439B">
        <w:t xml:space="preserve">Ocenjujemo, da na porabo FFS </w:t>
      </w:r>
      <w:r w:rsidR="006723C8">
        <w:t>vplivajo</w:t>
      </w:r>
      <w:r w:rsidRPr="00F2439B">
        <w:t xml:space="preserve"> vreme</w:t>
      </w:r>
      <w:r w:rsidR="00E0471C" w:rsidRPr="00F2439B">
        <w:t xml:space="preserve">nske </w:t>
      </w:r>
      <w:r w:rsidR="00E0471C" w:rsidRPr="00F2439B">
        <w:lastRenderedPageBreak/>
        <w:t>razmere</w:t>
      </w:r>
      <w:r w:rsidRPr="00F2439B">
        <w:t xml:space="preserve">. </w:t>
      </w:r>
      <w:r w:rsidR="001D62F4" w:rsidRPr="00F2439B">
        <w:t>V</w:t>
      </w:r>
      <w:r w:rsidR="00E0471C" w:rsidRPr="00F2439B">
        <w:t xml:space="preserve">endar je treba podatke ocenjevati previdno, saj </w:t>
      </w:r>
      <w:r w:rsidR="001D62F4" w:rsidRPr="00F2439B">
        <w:t xml:space="preserve">se </w:t>
      </w:r>
      <w:r w:rsidR="000E576E" w:rsidRPr="00F2439B">
        <w:t xml:space="preserve">vse </w:t>
      </w:r>
      <w:r w:rsidR="001D62F4" w:rsidRPr="00F2439B">
        <w:t>prodane količine</w:t>
      </w:r>
      <w:r w:rsidR="00501453" w:rsidRPr="00F2439B">
        <w:t xml:space="preserve"> FFS</w:t>
      </w:r>
      <w:r w:rsidR="001D62F4" w:rsidRPr="00F2439B">
        <w:t xml:space="preserve"> ne porabijo </w:t>
      </w:r>
      <w:r w:rsidR="006F6DBE" w:rsidRPr="00F2439B">
        <w:t xml:space="preserve">zgolj </w:t>
      </w:r>
      <w:r w:rsidR="00501453" w:rsidRPr="00F2439B">
        <w:t>v kmetijstv</w:t>
      </w:r>
      <w:r w:rsidR="00F2439B">
        <w:t>u</w:t>
      </w:r>
      <w:r w:rsidR="00F2439B" w:rsidRPr="00F2439B">
        <w:t>. D</w:t>
      </w:r>
      <w:r w:rsidR="00501453" w:rsidRPr="00F2439B">
        <w:t xml:space="preserve">oločene aktivne snovi </w:t>
      </w:r>
      <w:r w:rsidR="001D62F4" w:rsidRPr="00F2439B">
        <w:t xml:space="preserve">se </w:t>
      </w:r>
      <w:r w:rsidR="00501453" w:rsidRPr="00F2439B">
        <w:t>lahko uporabljajo tudi na drugih površinah, na primer za vzdrževanje javnih površin, med njimi cest in železnic. Vse nabavljene količine se ne uporabijo v tekočem letu, lahko ostanejo na zalogi pri pridelovalcu za uporabo v naslednjem letu.</w:t>
      </w:r>
      <w:r w:rsidR="001D62F4" w:rsidRPr="00F2439B">
        <w:t xml:space="preserve"> Ocenjujemo, da je poraba FFS v kmetijstvu manjša od</w:t>
      </w:r>
      <w:r w:rsidR="00F2439B">
        <w:t xml:space="preserve"> </w:t>
      </w:r>
      <w:r w:rsidR="000E576E" w:rsidRPr="00F2439B">
        <w:t>prometa</w:t>
      </w:r>
      <w:r w:rsidR="001D62F4" w:rsidRPr="00F2439B">
        <w:t xml:space="preserve"> FFS</w:t>
      </w:r>
      <w:r w:rsidR="00561DC0">
        <w:rPr>
          <w:rStyle w:val="Sprotnaopomba-sklic"/>
        </w:rPr>
        <w:footnoteReference w:id="8"/>
      </w:r>
      <w:r w:rsidR="001D62F4" w:rsidRPr="00F2439B">
        <w:t xml:space="preserve">. </w:t>
      </w:r>
    </w:p>
    <w:p w14:paraId="2E92A79E" w14:textId="3FAE52B4" w:rsidR="00D83167" w:rsidRPr="003150A7" w:rsidRDefault="00501453" w:rsidP="004935E3">
      <w:r w:rsidRPr="003150A7">
        <w:t>Največji delež k vrednosti usklajenega kazalnika tveganja 1 vsa leta doprinese </w:t>
      </w:r>
      <w:r w:rsidRPr="003150A7">
        <w:rPr>
          <w:rStyle w:val="Krepko"/>
          <w:rFonts w:cs="Arial"/>
          <w:color w:val="111111"/>
          <w:szCs w:val="22"/>
          <w:bdr w:val="none" w:sz="0" w:space="0" w:color="auto" w:frame="1"/>
        </w:rPr>
        <w:t>žveplo</w:t>
      </w:r>
      <w:r w:rsidRPr="003150A7">
        <w:t xml:space="preserve">, in sicer predstavlja več kot 35 % vseh prodanih kemičnih </w:t>
      </w:r>
      <w:r w:rsidR="00D16728" w:rsidRPr="003150A7">
        <w:t>FFS</w:t>
      </w:r>
      <w:r w:rsidRPr="003150A7">
        <w:t xml:space="preserve">. </w:t>
      </w:r>
      <w:r w:rsidR="00D16728" w:rsidRPr="003150A7">
        <w:t xml:space="preserve">Žveplo se uporablja v veliko večjem odmerku </w:t>
      </w:r>
      <w:r w:rsidR="00D16728" w:rsidRPr="00FD2BFB">
        <w:t xml:space="preserve">kot druga FFS in </w:t>
      </w:r>
      <w:r w:rsidR="00FD2BFB" w:rsidRPr="00FD2BFB">
        <w:t xml:space="preserve">zato </w:t>
      </w:r>
      <w:r w:rsidR="00D16728" w:rsidRPr="00FD2BFB">
        <w:t xml:space="preserve">največ doprinese </w:t>
      </w:r>
      <w:r w:rsidR="00BE4BE9" w:rsidRPr="00FD2BFB">
        <w:t>k</w:t>
      </w:r>
      <w:r w:rsidR="00D16728" w:rsidRPr="00FD2BFB">
        <w:t xml:space="preserve"> izračunu</w:t>
      </w:r>
      <w:r w:rsidR="00D16728" w:rsidRPr="003150A7">
        <w:t xml:space="preserve"> kazalnika tveganja 1.</w:t>
      </w:r>
      <w:r w:rsidRPr="003150A7">
        <w:rPr>
          <w:rStyle w:val="Krepko"/>
          <w:rFonts w:cs="Arial"/>
          <w:color w:val="111111"/>
          <w:szCs w:val="22"/>
          <w:bdr w:val="none" w:sz="0" w:space="0" w:color="auto" w:frame="1"/>
        </w:rPr>
        <w:t> Baker</w:t>
      </w:r>
      <w:r w:rsidRPr="003150A7">
        <w:t>, parafinsko olje in kalijev hidrogen karbonat skupno doprinesejo približno 9 % k vrednosti kazalnika tveganja</w:t>
      </w:r>
      <w:r w:rsidR="004734D5" w:rsidRPr="003150A7">
        <w:t xml:space="preserve"> 1</w:t>
      </w:r>
      <w:r w:rsidRPr="003150A7">
        <w:t xml:space="preserve">. </w:t>
      </w:r>
      <w:r w:rsidR="00D16728" w:rsidRPr="003150A7">
        <w:t xml:space="preserve">Baker je snov, ki je obenem kandidatka za zamenjavo in moramo zato njegovo rabo v skladu z zahtevami iz </w:t>
      </w:r>
      <w:r w:rsidR="004734D5" w:rsidRPr="003150A7">
        <w:t>S</w:t>
      </w:r>
      <w:r w:rsidR="00D16728" w:rsidRPr="003150A7">
        <w:t>trategije od »vil do vilic« občutno zmanjšati.</w:t>
      </w:r>
    </w:p>
    <w:p w14:paraId="3A69511D" w14:textId="7CF416FE" w:rsidR="004B4692" w:rsidRPr="009B4D80" w:rsidRDefault="00F80CC6" w:rsidP="004935E3">
      <w:pPr>
        <w:rPr>
          <w:rStyle w:val="Krepko"/>
          <w:b w:val="0"/>
          <w:bCs w:val="0"/>
          <w:szCs w:val="22"/>
        </w:rPr>
      </w:pPr>
      <w:r w:rsidRPr="003150A7">
        <w:t>Žveplo, baker, parafinsko olje in kalijev hidrogen karbonat</w:t>
      </w:r>
      <w:r w:rsidR="00501453" w:rsidRPr="003150A7">
        <w:t xml:space="preserve">, ki skupno prispevajo več kot 40 % vseh prodanih kemičnih </w:t>
      </w:r>
      <w:r w:rsidR="00D16728" w:rsidRPr="003150A7">
        <w:t>FFS</w:t>
      </w:r>
      <w:r w:rsidR="00501453" w:rsidRPr="003150A7">
        <w:t>, so snovi, ki se uporabljajo tudi in predvsem v ekološk</w:t>
      </w:r>
      <w:r w:rsidR="00D5763B" w:rsidRPr="003150A7">
        <w:t>i</w:t>
      </w:r>
      <w:r w:rsidR="00501453" w:rsidRPr="003150A7">
        <w:t xml:space="preserve"> </w:t>
      </w:r>
      <w:r w:rsidR="00D5763B" w:rsidRPr="003150A7">
        <w:t>pridelavi</w:t>
      </w:r>
      <w:r w:rsidR="00501453" w:rsidRPr="003150A7">
        <w:t xml:space="preserve"> in hkrati </w:t>
      </w:r>
      <w:r w:rsidR="00501453" w:rsidRPr="004935E3">
        <w:t xml:space="preserve">predstavljajo temeljno varstvo rastlin v primerih, ko nimamo na voljo drugih </w:t>
      </w:r>
      <w:r w:rsidR="00D16728" w:rsidRPr="004935E3">
        <w:t xml:space="preserve">ustreznih </w:t>
      </w:r>
      <w:r w:rsidR="00DA2899" w:rsidRPr="004935E3">
        <w:t>ukrepov varstva rastlin</w:t>
      </w:r>
      <w:r w:rsidR="00501453" w:rsidRPr="004935E3">
        <w:t xml:space="preserve">. Smiselno bi bilo, da bi </w:t>
      </w:r>
      <w:r w:rsidR="004734D5" w:rsidRPr="004935E3">
        <w:t>snovi</w:t>
      </w:r>
      <w:r w:rsidR="00501453" w:rsidRPr="004935E3">
        <w:t>, kot sta žveplo in baker</w:t>
      </w:r>
      <w:r w:rsidR="004734D5" w:rsidRPr="004935E3">
        <w:t>,</w:t>
      </w:r>
      <w:r w:rsidR="00501453" w:rsidRPr="004935E3">
        <w:t xml:space="preserve"> drugače ovrednotili (</w:t>
      </w:r>
      <w:r w:rsidR="00D83167" w:rsidRPr="004935E3">
        <w:t xml:space="preserve">uporabili </w:t>
      </w:r>
      <w:r w:rsidR="00501453" w:rsidRPr="004935E3">
        <w:t xml:space="preserve">drugačen </w:t>
      </w:r>
      <w:proofErr w:type="spellStart"/>
      <w:r w:rsidR="0017705D">
        <w:t>uteženi</w:t>
      </w:r>
      <w:proofErr w:type="spellEnd"/>
      <w:r w:rsidR="00501453" w:rsidRPr="004935E3">
        <w:t xml:space="preserve"> faktor), sicer so cilji večanja površin pod ekološkim kmetijstvom v nasprotju s cilji zmanjševanja </w:t>
      </w:r>
      <w:r w:rsidR="00D16728" w:rsidRPr="004935E3">
        <w:t xml:space="preserve">uporabe </w:t>
      </w:r>
      <w:r w:rsidR="00501453" w:rsidRPr="004935E3">
        <w:t xml:space="preserve">kemičnih </w:t>
      </w:r>
      <w:r w:rsidR="00D16728" w:rsidRPr="004935E3">
        <w:t>FFS</w:t>
      </w:r>
      <w:r w:rsidR="00501453" w:rsidRPr="004935E3">
        <w:t xml:space="preserve"> ter še posebej kandidatk za zamenjavo.</w:t>
      </w:r>
    </w:p>
    <w:p w14:paraId="516A063A" w14:textId="44D85608" w:rsidR="001163B5" w:rsidRPr="004935E3" w:rsidRDefault="001163B5" w:rsidP="004935E3">
      <w:pPr>
        <w:rPr>
          <w:lang w:val="en-GB"/>
        </w:rPr>
      </w:pPr>
      <w:r w:rsidRPr="004935E3">
        <w:rPr>
          <w:rStyle w:val="Krepko"/>
          <w:rFonts w:cs="Arial"/>
          <w:color w:val="111111"/>
          <w:szCs w:val="22"/>
          <w:bdr w:val="none" w:sz="0" w:space="0" w:color="auto" w:frame="1"/>
        </w:rPr>
        <w:t>Kazalnik 2</w:t>
      </w:r>
      <w:r w:rsidRPr="004935E3">
        <w:t xml:space="preserve"> se izračuna na podlagi števila </w:t>
      </w:r>
      <w:r w:rsidR="0091096C" w:rsidRPr="004935E3">
        <w:t>odobritev</w:t>
      </w:r>
      <w:r w:rsidRPr="004935E3">
        <w:t>, izdanih za uporabo FFS v nujnih primerih</w:t>
      </w:r>
      <w:r w:rsidRPr="003150A7">
        <w:t xml:space="preserve"> v zvezi z varstvom rastlin</w:t>
      </w:r>
      <w:r w:rsidR="00885193" w:rsidRPr="003150A7">
        <w:t xml:space="preserve"> z uporabo </w:t>
      </w:r>
      <w:proofErr w:type="spellStart"/>
      <w:r w:rsidR="0017705D">
        <w:t>uteženega</w:t>
      </w:r>
      <w:proofErr w:type="spellEnd"/>
      <w:r w:rsidR="00885193" w:rsidRPr="003150A7">
        <w:t xml:space="preserve"> faktorja, določenega na podlagi lastnosti</w:t>
      </w:r>
      <w:r w:rsidR="00D832DF" w:rsidRPr="003150A7">
        <w:t xml:space="preserve"> </w:t>
      </w:r>
      <w:r w:rsidR="00885193" w:rsidRPr="003150A7">
        <w:t xml:space="preserve">FFS. </w:t>
      </w:r>
      <w:r w:rsidR="00D832DF" w:rsidRPr="003150A7">
        <w:t xml:space="preserve">Izhodiščna vrednost je </w:t>
      </w:r>
      <w:r w:rsidR="00227117" w:rsidRPr="003150A7">
        <w:t>povprečno število</w:t>
      </w:r>
      <w:r w:rsidR="00D832DF" w:rsidRPr="003150A7">
        <w:t xml:space="preserve"> izdanih </w:t>
      </w:r>
      <w:r w:rsidR="0091096C">
        <w:t>odobritev</w:t>
      </w:r>
      <w:r w:rsidR="00D832DF" w:rsidRPr="003150A7">
        <w:t xml:space="preserve"> v letih 2011 do 2013</w:t>
      </w:r>
      <w:r w:rsidR="00227117" w:rsidRPr="003150A7">
        <w:t xml:space="preserve">, označena s 100. </w:t>
      </w:r>
    </w:p>
    <w:p w14:paraId="7023A98D" w14:textId="612960C9" w:rsidR="008162A9" w:rsidRPr="003150A7" w:rsidRDefault="00795828" w:rsidP="004935E3">
      <w:r w:rsidRPr="003150A7">
        <w:t xml:space="preserve">Preglednica in slika prikazujeta gibanje kazalnika tveganja 2. </w:t>
      </w:r>
    </w:p>
    <w:p w14:paraId="71FE3F84" w14:textId="394D5DEA" w:rsidR="00795828" w:rsidRPr="004935E3" w:rsidRDefault="003F53BA" w:rsidP="003F53BA">
      <w:pPr>
        <w:pStyle w:val="Napis"/>
        <w:rPr>
          <w:rFonts w:eastAsia="Times New Roman" w:cs="Arial"/>
          <w:sz w:val="20"/>
          <w:szCs w:val="20"/>
        </w:rPr>
      </w:pPr>
      <w:bookmarkStart w:id="16" w:name="_Toc149824892"/>
      <w:bookmarkStart w:id="17" w:name="_Toc149825601"/>
      <w:bookmarkStart w:id="18" w:name="_Toc151116350"/>
      <w:bookmarkStart w:id="19" w:name="_Toc152153145"/>
      <w:r w:rsidRPr="004935E3">
        <w:rPr>
          <w:rFonts w:cs="Arial"/>
          <w:sz w:val="20"/>
          <w:szCs w:val="20"/>
        </w:rPr>
        <w:t xml:space="preserve">Preglednica </w:t>
      </w:r>
      <w:r w:rsidRPr="004935E3">
        <w:rPr>
          <w:rFonts w:cs="Arial"/>
          <w:sz w:val="20"/>
          <w:szCs w:val="20"/>
        </w:rPr>
        <w:fldChar w:fldCharType="begin"/>
      </w:r>
      <w:r w:rsidRPr="004935E3">
        <w:rPr>
          <w:rFonts w:cs="Arial"/>
          <w:sz w:val="20"/>
          <w:szCs w:val="20"/>
        </w:rPr>
        <w:instrText xml:space="preserve"> SEQ Preglednica \* ARABIC </w:instrText>
      </w:r>
      <w:r w:rsidRPr="004935E3">
        <w:rPr>
          <w:rFonts w:cs="Arial"/>
          <w:sz w:val="20"/>
          <w:szCs w:val="20"/>
        </w:rPr>
        <w:fldChar w:fldCharType="separate"/>
      </w:r>
      <w:r w:rsidR="00DB7441">
        <w:rPr>
          <w:rFonts w:cs="Arial"/>
          <w:noProof/>
          <w:sz w:val="20"/>
          <w:szCs w:val="20"/>
        </w:rPr>
        <w:t>2</w:t>
      </w:r>
      <w:r w:rsidRPr="004935E3">
        <w:rPr>
          <w:rFonts w:cs="Arial"/>
          <w:sz w:val="20"/>
          <w:szCs w:val="20"/>
        </w:rPr>
        <w:fldChar w:fldCharType="end"/>
      </w:r>
      <w:r w:rsidRPr="004935E3">
        <w:rPr>
          <w:rFonts w:cs="Arial"/>
          <w:sz w:val="20"/>
          <w:szCs w:val="20"/>
        </w:rPr>
        <w:t>:</w:t>
      </w:r>
      <w:r w:rsidRPr="004935E3">
        <w:rPr>
          <w:sz w:val="16"/>
          <w:szCs w:val="16"/>
        </w:rPr>
        <w:t xml:space="preserve"> </w:t>
      </w:r>
      <w:r w:rsidR="008162A9" w:rsidRPr="004935E3">
        <w:rPr>
          <w:rFonts w:cs="Arial"/>
          <w:sz w:val="20"/>
          <w:szCs w:val="20"/>
        </w:rPr>
        <w:t>Gibanje kazalnika tveganja 2</w:t>
      </w:r>
      <w:bookmarkEnd w:id="16"/>
      <w:bookmarkEnd w:id="17"/>
      <w:bookmarkEnd w:id="18"/>
      <w:bookmarkEnd w:id="19"/>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551"/>
        <w:gridCol w:w="250"/>
        <w:gridCol w:w="1269"/>
        <w:gridCol w:w="710"/>
        <w:gridCol w:w="710"/>
        <w:gridCol w:w="710"/>
        <w:gridCol w:w="710"/>
        <w:gridCol w:w="710"/>
        <w:gridCol w:w="710"/>
        <w:gridCol w:w="710"/>
        <w:gridCol w:w="706"/>
      </w:tblGrid>
      <w:tr w:rsidR="008162A9" w:rsidRPr="003150A7" w14:paraId="3DC6F715" w14:textId="77777777" w:rsidTr="00321FE3">
        <w:trPr>
          <w:trHeight w:val="289"/>
        </w:trPr>
        <w:tc>
          <w:tcPr>
            <w:tcW w:w="1309" w:type="pct"/>
          </w:tcPr>
          <w:p w14:paraId="003CF4CF" w14:textId="70036408" w:rsidR="008162A9" w:rsidRPr="003150A7" w:rsidRDefault="008162A9" w:rsidP="004935E3">
            <w:pPr>
              <w:pStyle w:val="Brezrazmikov"/>
              <w:rPr>
                <w:rFonts w:eastAsia="Times New Roman"/>
              </w:rPr>
            </w:pPr>
            <w:r w:rsidRPr="003150A7">
              <w:rPr>
                <w:rFonts w:eastAsia="Times New Roman"/>
              </w:rPr>
              <w:t>Leto</w:t>
            </w:r>
          </w:p>
        </w:tc>
        <w:tc>
          <w:tcPr>
            <w:tcW w:w="779" w:type="pct"/>
            <w:gridSpan w:val="2"/>
          </w:tcPr>
          <w:p w14:paraId="3D8863C0" w14:textId="7A8BBDE7" w:rsidR="008162A9" w:rsidRPr="003150A7" w:rsidRDefault="008162A9" w:rsidP="004935E3">
            <w:pPr>
              <w:pStyle w:val="Brezrazmikov"/>
              <w:jc w:val="center"/>
              <w:rPr>
                <w:rFonts w:eastAsia="Times New Roman"/>
              </w:rPr>
            </w:pPr>
            <w:r w:rsidRPr="003150A7">
              <w:rPr>
                <w:rFonts w:eastAsia="Times New Roman"/>
              </w:rPr>
              <w:t>2011</w:t>
            </w:r>
            <w:r w:rsidR="00321FE3">
              <w:rPr>
                <w:rFonts w:eastAsia="Times New Roman"/>
              </w:rPr>
              <w:t xml:space="preserve"> – </w:t>
            </w:r>
            <w:r w:rsidRPr="003150A7">
              <w:rPr>
                <w:rFonts w:eastAsia="Times New Roman"/>
              </w:rPr>
              <w:t>2013</w:t>
            </w:r>
            <w:r w:rsidR="00321FE3">
              <w:rPr>
                <w:rFonts w:eastAsia="Times New Roman"/>
              </w:rPr>
              <w:t xml:space="preserve"> </w:t>
            </w:r>
          </w:p>
        </w:tc>
        <w:tc>
          <w:tcPr>
            <w:tcW w:w="364" w:type="pct"/>
          </w:tcPr>
          <w:p w14:paraId="3467A04F" w14:textId="75498551" w:rsidR="008162A9" w:rsidRPr="003150A7" w:rsidRDefault="008162A9" w:rsidP="004935E3">
            <w:pPr>
              <w:pStyle w:val="Brezrazmikov"/>
              <w:jc w:val="center"/>
              <w:rPr>
                <w:rFonts w:eastAsia="Times New Roman"/>
              </w:rPr>
            </w:pPr>
            <w:r w:rsidRPr="003150A7">
              <w:rPr>
                <w:rFonts w:eastAsia="Times New Roman"/>
              </w:rPr>
              <w:t>2014</w:t>
            </w:r>
          </w:p>
        </w:tc>
        <w:tc>
          <w:tcPr>
            <w:tcW w:w="364" w:type="pct"/>
          </w:tcPr>
          <w:p w14:paraId="067DC826" w14:textId="32665C6D" w:rsidR="008162A9" w:rsidRPr="003150A7" w:rsidRDefault="008162A9" w:rsidP="004935E3">
            <w:pPr>
              <w:pStyle w:val="Brezrazmikov"/>
              <w:jc w:val="center"/>
              <w:rPr>
                <w:rFonts w:eastAsia="Times New Roman"/>
              </w:rPr>
            </w:pPr>
            <w:r w:rsidRPr="003150A7">
              <w:rPr>
                <w:rFonts w:eastAsia="Times New Roman"/>
              </w:rPr>
              <w:t>2015</w:t>
            </w:r>
          </w:p>
        </w:tc>
        <w:tc>
          <w:tcPr>
            <w:tcW w:w="364" w:type="pct"/>
          </w:tcPr>
          <w:p w14:paraId="22741E4B" w14:textId="7836C0B2" w:rsidR="008162A9" w:rsidRPr="003150A7" w:rsidRDefault="008162A9" w:rsidP="004935E3">
            <w:pPr>
              <w:pStyle w:val="Brezrazmikov"/>
              <w:jc w:val="center"/>
              <w:rPr>
                <w:rFonts w:eastAsia="Times New Roman"/>
              </w:rPr>
            </w:pPr>
            <w:r w:rsidRPr="003150A7">
              <w:rPr>
                <w:rFonts w:eastAsia="Times New Roman"/>
              </w:rPr>
              <w:t>2016</w:t>
            </w:r>
          </w:p>
        </w:tc>
        <w:tc>
          <w:tcPr>
            <w:tcW w:w="364" w:type="pct"/>
          </w:tcPr>
          <w:p w14:paraId="5BBAD778" w14:textId="06256E95" w:rsidR="008162A9" w:rsidRPr="003150A7" w:rsidRDefault="008162A9" w:rsidP="004935E3">
            <w:pPr>
              <w:pStyle w:val="Brezrazmikov"/>
              <w:jc w:val="center"/>
              <w:rPr>
                <w:rFonts w:eastAsia="Times New Roman"/>
              </w:rPr>
            </w:pPr>
            <w:r w:rsidRPr="003150A7">
              <w:rPr>
                <w:rFonts w:eastAsia="Times New Roman"/>
              </w:rPr>
              <w:t>2017</w:t>
            </w:r>
          </w:p>
        </w:tc>
        <w:tc>
          <w:tcPr>
            <w:tcW w:w="364" w:type="pct"/>
          </w:tcPr>
          <w:p w14:paraId="29E90796" w14:textId="54E5B009" w:rsidR="008162A9" w:rsidRPr="003150A7" w:rsidRDefault="008162A9" w:rsidP="004935E3">
            <w:pPr>
              <w:pStyle w:val="Brezrazmikov"/>
              <w:jc w:val="center"/>
              <w:rPr>
                <w:rFonts w:eastAsia="Times New Roman"/>
              </w:rPr>
            </w:pPr>
            <w:r w:rsidRPr="003150A7">
              <w:rPr>
                <w:rFonts w:eastAsia="Times New Roman"/>
              </w:rPr>
              <w:t>2018</w:t>
            </w:r>
          </w:p>
        </w:tc>
        <w:tc>
          <w:tcPr>
            <w:tcW w:w="364" w:type="pct"/>
          </w:tcPr>
          <w:p w14:paraId="6BD4DC08" w14:textId="7D7B33BB" w:rsidR="008162A9" w:rsidRPr="003150A7" w:rsidRDefault="008162A9" w:rsidP="004935E3">
            <w:pPr>
              <w:pStyle w:val="Brezrazmikov"/>
              <w:jc w:val="center"/>
              <w:rPr>
                <w:rFonts w:eastAsia="Times New Roman"/>
              </w:rPr>
            </w:pPr>
            <w:r w:rsidRPr="003150A7">
              <w:rPr>
                <w:rFonts w:eastAsia="Times New Roman"/>
              </w:rPr>
              <w:t>2019</w:t>
            </w:r>
          </w:p>
        </w:tc>
        <w:tc>
          <w:tcPr>
            <w:tcW w:w="364" w:type="pct"/>
          </w:tcPr>
          <w:p w14:paraId="600A173D" w14:textId="15B4A1D4" w:rsidR="008162A9" w:rsidRPr="003150A7" w:rsidRDefault="008162A9" w:rsidP="004935E3">
            <w:pPr>
              <w:pStyle w:val="Brezrazmikov"/>
              <w:jc w:val="center"/>
              <w:rPr>
                <w:rFonts w:eastAsia="Times New Roman"/>
              </w:rPr>
            </w:pPr>
            <w:r w:rsidRPr="003150A7">
              <w:rPr>
                <w:rFonts w:eastAsia="Times New Roman"/>
              </w:rPr>
              <w:t>2020</w:t>
            </w:r>
          </w:p>
        </w:tc>
        <w:tc>
          <w:tcPr>
            <w:tcW w:w="362" w:type="pct"/>
          </w:tcPr>
          <w:p w14:paraId="7E2A7492" w14:textId="422176A1" w:rsidR="008162A9" w:rsidRPr="003150A7" w:rsidRDefault="008162A9" w:rsidP="004935E3">
            <w:pPr>
              <w:pStyle w:val="Brezrazmikov"/>
              <w:jc w:val="center"/>
              <w:rPr>
                <w:rFonts w:eastAsia="Times New Roman"/>
              </w:rPr>
            </w:pPr>
            <w:r w:rsidRPr="003150A7">
              <w:rPr>
                <w:rFonts w:eastAsia="Times New Roman"/>
              </w:rPr>
              <w:t>2021</w:t>
            </w:r>
          </w:p>
        </w:tc>
      </w:tr>
      <w:tr w:rsidR="008162A9" w:rsidRPr="003150A7" w14:paraId="1392CF2D" w14:textId="77777777" w:rsidTr="00321FE3">
        <w:trPr>
          <w:trHeight w:val="289"/>
        </w:trPr>
        <w:tc>
          <w:tcPr>
            <w:tcW w:w="1438" w:type="pct"/>
            <w:gridSpan w:val="2"/>
          </w:tcPr>
          <w:p w14:paraId="1501A5CA" w14:textId="543C54A4" w:rsidR="008162A9" w:rsidRPr="003150A7" w:rsidRDefault="004935E3" w:rsidP="004935E3">
            <w:pPr>
              <w:pStyle w:val="Brezrazmikov"/>
              <w:rPr>
                <w:rFonts w:eastAsia="Times New Roman"/>
              </w:rPr>
            </w:pPr>
            <w:r>
              <w:rPr>
                <w:rFonts w:eastAsia="Times New Roman"/>
              </w:rPr>
              <w:t>K</w:t>
            </w:r>
            <w:r w:rsidR="008162A9" w:rsidRPr="003150A7">
              <w:rPr>
                <w:rFonts w:eastAsia="Times New Roman"/>
              </w:rPr>
              <w:t>azalnik tveganja 2</w:t>
            </w:r>
          </w:p>
        </w:tc>
        <w:tc>
          <w:tcPr>
            <w:tcW w:w="651" w:type="pct"/>
          </w:tcPr>
          <w:p w14:paraId="7B4202F5" w14:textId="72C7DBBD" w:rsidR="008162A9" w:rsidRPr="003150A7" w:rsidRDefault="008162A9" w:rsidP="004935E3">
            <w:pPr>
              <w:pStyle w:val="Brezrazmikov"/>
              <w:jc w:val="center"/>
              <w:rPr>
                <w:rFonts w:eastAsia="Times New Roman"/>
              </w:rPr>
            </w:pPr>
            <w:r w:rsidRPr="003150A7">
              <w:rPr>
                <w:rFonts w:eastAsia="Times New Roman"/>
              </w:rPr>
              <w:t>100</w:t>
            </w:r>
          </w:p>
        </w:tc>
        <w:tc>
          <w:tcPr>
            <w:tcW w:w="364" w:type="pct"/>
          </w:tcPr>
          <w:p w14:paraId="2E786345" w14:textId="01A733FC" w:rsidR="008162A9" w:rsidRPr="003150A7" w:rsidRDefault="008162A9" w:rsidP="004935E3">
            <w:pPr>
              <w:pStyle w:val="Brezrazmikov"/>
              <w:jc w:val="center"/>
              <w:rPr>
                <w:rFonts w:eastAsia="Times New Roman"/>
              </w:rPr>
            </w:pPr>
            <w:r w:rsidRPr="003150A7">
              <w:rPr>
                <w:rFonts w:eastAsia="Times New Roman"/>
              </w:rPr>
              <w:t>182</w:t>
            </w:r>
          </w:p>
        </w:tc>
        <w:tc>
          <w:tcPr>
            <w:tcW w:w="364" w:type="pct"/>
          </w:tcPr>
          <w:p w14:paraId="5B85280E" w14:textId="540DC684" w:rsidR="008162A9" w:rsidRPr="003150A7" w:rsidRDefault="008162A9" w:rsidP="004935E3">
            <w:pPr>
              <w:pStyle w:val="Brezrazmikov"/>
              <w:jc w:val="center"/>
              <w:rPr>
                <w:rFonts w:eastAsia="Times New Roman"/>
              </w:rPr>
            </w:pPr>
            <w:r w:rsidRPr="003150A7">
              <w:rPr>
                <w:rFonts w:eastAsia="Times New Roman"/>
              </w:rPr>
              <w:t>39</w:t>
            </w:r>
          </w:p>
        </w:tc>
        <w:tc>
          <w:tcPr>
            <w:tcW w:w="364" w:type="pct"/>
          </w:tcPr>
          <w:p w14:paraId="1E5E80B2" w14:textId="49275FAA" w:rsidR="008162A9" w:rsidRPr="003150A7" w:rsidRDefault="008162A9" w:rsidP="004935E3">
            <w:pPr>
              <w:pStyle w:val="Brezrazmikov"/>
              <w:jc w:val="center"/>
              <w:rPr>
                <w:rFonts w:eastAsia="Times New Roman"/>
              </w:rPr>
            </w:pPr>
            <w:r w:rsidRPr="003150A7">
              <w:rPr>
                <w:rFonts w:eastAsia="Times New Roman"/>
              </w:rPr>
              <w:t>150</w:t>
            </w:r>
          </w:p>
        </w:tc>
        <w:tc>
          <w:tcPr>
            <w:tcW w:w="364" w:type="pct"/>
          </w:tcPr>
          <w:p w14:paraId="2A7BFDD0" w14:textId="6E8339D5" w:rsidR="008162A9" w:rsidRPr="003150A7" w:rsidRDefault="008162A9" w:rsidP="004935E3">
            <w:pPr>
              <w:pStyle w:val="Brezrazmikov"/>
              <w:jc w:val="center"/>
              <w:rPr>
                <w:rFonts w:eastAsia="Times New Roman"/>
              </w:rPr>
            </w:pPr>
            <w:r w:rsidRPr="003150A7">
              <w:rPr>
                <w:rFonts w:eastAsia="Times New Roman"/>
              </w:rPr>
              <w:t>150</w:t>
            </w:r>
          </w:p>
        </w:tc>
        <w:tc>
          <w:tcPr>
            <w:tcW w:w="364" w:type="pct"/>
          </w:tcPr>
          <w:p w14:paraId="71C4E389" w14:textId="22A2C485" w:rsidR="008162A9" w:rsidRPr="003150A7" w:rsidRDefault="008162A9" w:rsidP="004935E3">
            <w:pPr>
              <w:pStyle w:val="Brezrazmikov"/>
              <w:jc w:val="center"/>
              <w:rPr>
                <w:rFonts w:eastAsia="Times New Roman"/>
              </w:rPr>
            </w:pPr>
            <w:r w:rsidRPr="003150A7">
              <w:rPr>
                <w:rFonts w:eastAsia="Times New Roman"/>
              </w:rPr>
              <w:t>111</w:t>
            </w:r>
          </w:p>
        </w:tc>
        <w:tc>
          <w:tcPr>
            <w:tcW w:w="364" w:type="pct"/>
          </w:tcPr>
          <w:p w14:paraId="2959E9D8" w14:textId="196A5350" w:rsidR="008162A9" w:rsidRPr="003150A7" w:rsidRDefault="008162A9" w:rsidP="004935E3">
            <w:pPr>
              <w:pStyle w:val="Brezrazmikov"/>
              <w:jc w:val="center"/>
              <w:rPr>
                <w:rFonts w:eastAsia="Times New Roman"/>
              </w:rPr>
            </w:pPr>
            <w:r w:rsidRPr="003150A7">
              <w:rPr>
                <w:rFonts w:eastAsia="Times New Roman"/>
              </w:rPr>
              <w:t>150</w:t>
            </w:r>
          </w:p>
        </w:tc>
        <w:tc>
          <w:tcPr>
            <w:tcW w:w="364" w:type="pct"/>
          </w:tcPr>
          <w:p w14:paraId="796CCCAC" w14:textId="0D357EBC" w:rsidR="008162A9" w:rsidRPr="003150A7" w:rsidRDefault="008162A9" w:rsidP="004935E3">
            <w:pPr>
              <w:pStyle w:val="Brezrazmikov"/>
              <w:jc w:val="center"/>
              <w:rPr>
                <w:rFonts w:eastAsia="Times New Roman"/>
              </w:rPr>
            </w:pPr>
            <w:r w:rsidRPr="003150A7">
              <w:rPr>
                <w:rFonts w:eastAsia="Times New Roman"/>
              </w:rPr>
              <w:t>316</w:t>
            </w:r>
          </w:p>
        </w:tc>
        <w:tc>
          <w:tcPr>
            <w:tcW w:w="362" w:type="pct"/>
          </w:tcPr>
          <w:p w14:paraId="5DF4CE14" w14:textId="13DFE740" w:rsidR="008162A9" w:rsidRPr="003150A7" w:rsidRDefault="008162A9" w:rsidP="004935E3">
            <w:pPr>
              <w:pStyle w:val="Brezrazmikov"/>
              <w:jc w:val="center"/>
              <w:rPr>
                <w:rFonts w:eastAsia="Times New Roman"/>
              </w:rPr>
            </w:pPr>
            <w:r w:rsidRPr="003150A7">
              <w:rPr>
                <w:rFonts w:eastAsia="Times New Roman"/>
              </w:rPr>
              <w:t>205</w:t>
            </w:r>
          </w:p>
        </w:tc>
      </w:tr>
    </w:tbl>
    <w:p w14:paraId="52BA662B" w14:textId="3A6E02C0" w:rsidR="001163B5" w:rsidRPr="003150A7" w:rsidRDefault="001163B5" w:rsidP="00F31C93">
      <w:pPr>
        <w:spacing w:before="80" w:after="80" w:line="220" w:lineRule="atLeast"/>
        <w:rPr>
          <w:rFonts w:eastAsia="Times New Roman" w:cs="Arial"/>
        </w:rPr>
      </w:pPr>
    </w:p>
    <w:p w14:paraId="296C4223" w14:textId="3ECC03A0" w:rsidR="008162A9" w:rsidRPr="003150A7" w:rsidRDefault="00C7488B" w:rsidP="000B6183">
      <w:pPr>
        <w:spacing w:before="80" w:after="80" w:line="220" w:lineRule="atLeast"/>
        <w:jc w:val="center"/>
        <w:rPr>
          <w:rFonts w:eastAsia="Times New Roman" w:cs="Arial"/>
        </w:rPr>
      </w:pPr>
      <w:r w:rsidRPr="003150A7">
        <w:rPr>
          <w:rFonts w:cs="Arial"/>
          <w:noProof/>
        </w:rPr>
        <w:drawing>
          <wp:inline distT="0" distB="0" distL="0" distR="0" wp14:anchorId="33B3E0A0" wp14:editId="641A7425">
            <wp:extent cx="4680000" cy="2340000"/>
            <wp:effectExtent l="0" t="0" r="6350" b="3175"/>
            <wp:docPr id="15" name="Grafikon 15">
              <a:extLst xmlns:a="http://schemas.openxmlformats.org/drawingml/2006/main">
                <a:ext uri="{FF2B5EF4-FFF2-40B4-BE49-F238E27FC236}">
                  <a16:creationId xmlns:a16="http://schemas.microsoft.com/office/drawing/2014/main" id="{B9E1FB44-74BC-5AE2-28BA-A5C47167EB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6D2ED0" w14:textId="07458E9D" w:rsidR="001163B5" w:rsidRPr="004935E3" w:rsidRDefault="00C2407F" w:rsidP="00C2407F">
      <w:pPr>
        <w:pStyle w:val="Napis"/>
        <w:jc w:val="center"/>
        <w:rPr>
          <w:rFonts w:eastAsia="Times New Roman" w:cs="Arial"/>
          <w:sz w:val="20"/>
          <w:szCs w:val="20"/>
        </w:rPr>
      </w:pPr>
      <w:bookmarkStart w:id="20" w:name="_Toc151554960"/>
      <w:r w:rsidRPr="004935E3">
        <w:rPr>
          <w:rFonts w:cs="Arial"/>
          <w:sz w:val="20"/>
          <w:szCs w:val="20"/>
        </w:rPr>
        <w:t xml:space="preserve">Slika </w:t>
      </w:r>
      <w:r w:rsidRPr="004935E3">
        <w:rPr>
          <w:rFonts w:cs="Arial"/>
          <w:sz w:val="20"/>
          <w:szCs w:val="20"/>
        </w:rPr>
        <w:fldChar w:fldCharType="begin"/>
      </w:r>
      <w:r w:rsidRPr="004935E3">
        <w:rPr>
          <w:rFonts w:cs="Arial"/>
          <w:sz w:val="20"/>
          <w:szCs w:val="20"/>
        </w:rPr>
        <w:instrText xml:space="preserve"> SEQ Slika \* ARABIC </w:instrText>
      </w:r>
      <w:r w:rsidRPr="004935E3">
        <w:rPr>
          <w:rFonts w:cs="Arial"/>
          <w:sz w:val="20"/>
          <w:szCs w:val="20"/>
        </w:rPr>
        <w:fldChar w:fldCharType="separate"/>
      </w:r>
      <w:r w:rsidR="00D24AE7">
        <w:rPr>
          <w:rFonts w:cs="Arial"/>
          <w:noProof/>
          <w:sz w:val="20"/>
          <w:szCs w:val="20"/>
        </w:rPr>
        <w:t>2</w:t>
      </w:r>
      <w:r w:rsidRPr="004935E3">
        <w:rPr>
          <w:rFonts w:cs="Arial"/>
          <w:sz w:val="20"/>
          <w:szCs w:val="20"/>
        </w:rPr>
        <w:fldChar w:fldCharType="end"/>
      </w:r>
      <w:r w:rsidR="00C7488B" w:rsidRPr="004935E3">
        <w:rPr>
          <w:rFonts w:cs="Arial"/>
          <w:sz w:val="20"/>
          <w:szCs w:val="20"/>
        </w:rPr>
        <w:t>: Gibanje usklajenega kazalnika tveganja 2</w:t>
      </w:r>
      <w:bookmarkEnd w:id="20"/>
    </w:p>
    <w:p w14:paraId="7AD898D6" w14:textId="5C027978" w:rsidR="00551508" w:rsidRPr="003150A7" w:rsidRDefault="007A7FCB" w:rsidP="004935E3">
      <w:r>
        <w:lastRenderedPageBreak/>
        <w:t>V R</w:t>
      </w:r>
      <w:r w:rsidR="00ED66DD">
        <w:t xml:space="preserve">epubliki </w:t>
      </w:r>
      <w:r>
        <w:t>S</w:t>
      </w:r>
      <w:r w:rsidR="00ED66DD">
        <w:t>loveniji</w:t>
      </w:r>
      <w:r>
        <w:t xml:space="preserve"> imamo izdanih malo izrednih dovoljen za uporabo FFS, zato je kazalnik 2 v preteklih letih zelo nihal. </w:t>
      </w:r>
      <w:r w:rsidR="00551508" w:rsidRPr="003150A7">
        <w:t xml:space="preserve">Od leta 2018 skupno število izdanih nujnih </w:t>
      </w:r>
      <w:r w:rsidR="009316E6">
        <w:t>odobritev</w:t>
      </w:r>
      <w:r w:rsidR="00551508" w:rsidRPr="003150A7">
        <w:t xml:space="preserve"> za FFS narašča in s tem tudi kazalnik tveganja 2. V letu 2021 se je glede na izhodiščno vrednost 100 </w:t>
      </w:r>
      <w:r w:rsidR="00A60B08" w:rsidRPr="003150A7">
        <w:t>iz let</w:t>
      </w:r>
      <w:r w:rsidR="00551508" w:rsidRPr="003150A7">
        <w:t xml:space="preserve"> 2011</w:t>
      </w:r>
      <w:r w:rsidR="00B758E4">
        <w:t xml:space="preserve"> – </w:t>
      </w:r>
      <w:r w:rsidR="00551508" w:rsidRPr="003150A7">
        <w:t>2013</w:t>
      </w:r>
      <w:r w:rsidR="00B758E4">
        <w:t xml:space="preserve"> </w:t>
      </w:r>
      <w:r w:rsidR="00551508" w:rsidRPr="003150A7">
        <w:rPr>
          <w:b/>
          <w:bCs/>
        </w:rPr>
        <w:t>povečal za 105 odstotkov</w:t>
      </w:r>
      <w:r w:rsidR="00551508" w:rsidRPr="003150A7">
        <w:t xml:space="preserve">. </w:t>
      </w:r>
      <w:r w:rsidR="009316E6">
        <w:t xml:space="preserve">Vendar </w:t>
      </w:r>
      <w:r w:rsidR="00DC2DFD">
        <w:t xml:space="preserve">je treba opozoriti, da </w:t>
      </w:r>
      <w:r w:rsidR="009316E6">
        <w:t xml:space="preserve">so količine FFS iz </w:t>
      </w:r>
      <w:r w:rsidR="00DC2DFD">
        <w:t>nujnih</w:t>
      </w:r>
      <w:r w:rsidR="009316E6">
        <w:t xml:space="preserve"> odobritev vključene v statistiko za izračun kazalnika tveganja 1 in število </w:t>
      </w:r>
      <w:r w:rsidR="00DC2DFD">
        <w:t xml:space="preserve">odobritev </w:t>
      </w:r>
      <w:r w:rsidR="009316E6">
        <w:t xml:space="preserve">samo </w:t>
      </w:r>
      <w:r w:rsidR="00DC2DFD">
        <w:t xml:space="preserve">po sebi </w:t>
      </w:r>
      <w:r w:rsidR="009316E6">
        <w:t xml:space="preserve">ne pomeni povečanega tveganja. </w:t>
      </w:r>
    </w:p>
    <w:p w14:paraId="6887175A" w14:textId="520BB2F9" w:rsidR="00551508" w:rsidRPr="003150A7" w:rsidRDefault="00551508" w:rsidP="004935E3">
      <w:r w:rsidRPr="003150A7">
        <w:t xml:space="preserve">Razlogov za povečanje </w:t>
      </w:r>
      <w:r w:rsidR="0091096C">
        <w:t xml:space="preserve">števila odobritev </w:t>
      </w:r>
      <w:r w:rsidRPr="003150A7">
        <w:t>je več</w:t>
      </w:r>
      <w:r w:rsidR="007A7FCB">
        <w:t>. D</w:t>
      </w:r>
      <w:r w:rsidRPr="003150A7">
        <w:t>ejstvo</w:t>
      </w:r>
      <w:r w:rsidR="007A7FCB">
        <w:t xml:space="preserve"> je</w:t>
      </w:r>
      <w:r w:rsidRPr="003150A7">
        <w:t>, da Slovenija predstavlja majhen trg, kar se kaže v vrzelih v rednih odobritvah FFS zaradi premajhnega zanimanja vlagateljev</w:t>
      </w:r>
      <w:r w:rsidR="0086661D">
        <w:t xml:space="preserve"> vlog za registracijo FFS</w:t>
      </w:r>
      <w:r w:rsidRPr="003150A7">
        <w:t xml:space="preserve">, majhno število novih snovi v FFS odobrenih na EU ravni, zaostreni pogoji ponovne presoje obstoječih FFS </w:t>
      </w:r>
      <w:r w:rsidR="007A7FCB">
        <w:t>v</w:t>
      </w:r>
      <w:r w:rsidRPr="003150A7">
        <w:t xml:space="preserve"> EU in zmanjšanje števila le</w:t>
      </w:r>
      <w:r w:rsidR="00070C21" w:rsidRPr="003150A7">
        <w:t>-</w:t>
      </w:r>
      <w:r w:rsidRPr="003150A7">
        <w:t xml:space="preserve">teh, </w:t>
      </w:r>
      <w:r w:rsidR="002D15FF" w:rsidRPr="003150A7">
        <w:t xml:space="preserve">pomanjkanje </w:t>
      </w:r>
      <w:r w:rsidR="007971FD" w:rsidRPr="003150A7">
        <w:t xml:space="preserve">učinkovitih </w:t>
      </w:r>
      <w:r w:rsidR="002D15FF" w:rsidRPr="003150A7">
        <w:t xml:space="preserve">alternativnih </w:t>
      </w:r>
      <w:proofErr w:type="spellStart"/>
      <w:r w:rsidR="002D15FF" w:rsidRPr="003150A7">
        <w:t>nekemičnih</w:t>
      </w:r>
      <w:proofErr w:type="spellEnd"/>
      <w:r w:rsidR="002D15FF" w:rsidRPr="003150A7">
        <w:t xml:space="preserve"> metod za varstvo rastlin, </w:t>
      </w:r>
      <w:r w:rsidRPr="003150A7">
        <w:t>pa tudi vedno večji pritisk škodljivih organizmov in pojav novih vrst škodljivih organizmov zaradi lege Slovenije (bližina morja in držav južne cone)</w:t>
      </w:r>
      <w:r w:rsidR="005D6A41" w:rsidRPr="003150A7">
        <w:t xml:space="preserve"> in segrevanja </w:t>
      </w:r>
      <w:r w:rsidR="00EB5EE7" w:rsidRPr="003150A7">
        <w:t>ozračja</w:t>
      </w:r>
      <w:r w:rsidR="00B758E4">
        <w:t>, ki se</w:t>
      </w:r>
      <w:r w:rsidR="00566B7D" w:rsidRPr="003150A7">
        <w:t xml:space="preserve"> Sloveniji segreva hitreje od svetovnega povprečja. Svetovna temperatura </w:t>
      </w:r>
      <w:r w:rsidR="007A7FCB">
        <w:t xml:space="preserve">zraka </w:t>
      </w:r>
      <w:r w:rsidR="00566B7D" w:rsidRPr="003150A7">
        <w:t>v obdobju 1980-2021 se je dvignila za približno 0,8 stopinje Celzija, v Sloveniji pa za 2,2 stopinje Celzija.</w:t>
      </w:r>
      <w:r w:rsidR="00566B7D" w:rsidRPr="003150A7">
        <w:rPr>
          <w:rStyle w:val="Sprotnaopomba-sklic"/>
          <w:rFonts w:eastAsia="Times New Roman" w:cs="Arial"/>
        </w:rPr>
        <w:footnoteReference w:id="9"/>
      </w:r>
    </w:p>
    <w:p w14:paraId="3895BAF4" w14:textId="0F3818D4" w:rsidR="001163B5" w:rsidRPr="004935E3" w:rsidRDefault="00551508" w:rsidP="004935E3">
      <w:r w:rsidRPr="003150A7">
        <w:t>Nujne odobritve</w:t>
      </w:r>
      <w:r w:rsidR="00EB5EE7" w:rsidRPr="003150A7">
        <w:t xml:space="preserve"> FFS </w:t>
      </w:r>
      <w:r w:rsidRPr="003150A7">
        <w:t>imajo pomembno vlogo tudi pri ekološk</w:t>
      </w:r>
      <w:r w:rsidR="00EB5EE7" w:rsidRPr="003150A7">
        <w:t>i</w:t>
      </w:r>
      <w:r w:rsidRPr="003150A7">
        <w:t xml:space="preserve"> </w:t>
      </w:r>
      <w:r w:rsidR="00EB5EE7" w:rsidRPr="003150A7">
        <w:t>pridelavi</w:t>
      </w:r>
      <w:r w:rsidRPr="003150A7">
        <w:t xml:space="preserve"> v Sloveniji. </w:t>
      </w:r>
      <w:r w:rsidR="007971FD" w:rsidRPr="003150A7">
        <w:t xml:space="preserve">Leta 2020 je bilo izdanih </w:t>
      </w:r>
      <w:r w:rsidRPr="003150A7">
        <w:t xml:space="preserve">38 % nujnih </w:t>
      </w:r>
      <w:r w:rsidR="001D62F4" w:rsidRPr="003150A7">
        <w:t xml:space="preserve">odobritev </w:t>
      </w:r>
      <w:r w:rsidR="00AA4671">
        <w:t xml:space="preserve">za </w:t>
      </w:r>
      <w:r w:rsidR="001D62F4" w:rsidRPr="003150A7">
        <w:t>FFS</w:t>
      </w:r>
      <w:r w:rsidR="00AA4671">
        <w:t>, ki se uporabljajo</w:t>
      </w:r>
      <w:r w:rsidRPr="003150A7">
        <w:t xml:space="preserve"> v ekološk</w:t>
      </w:r>
      <w:r w:rsidR="00EB5EE7" w:rsidRPr="003150A7">
        <w:t>i</w:t>
      </w:r>
      <w:r w:rsidRPr="003150A7">
        <w:t xml:space="preserve"> </w:t>
      </w:r>
      <w:r w:rsidR="00EB5EE7" w:rsidRPr="003150A7">
        <w:t>pridelavi</w:t>
      </w:r>
      <w:r w:rsidRPr="003150A7">
        <w:t xml:space="preserve">, v letu 2021 pa je takšnih 27 %. </w:t>
      </w:r>
    </w:p>
    <w:p w14:paraId="16DC3C77" w14:textId="046743E9" w:rsidR="00F30CA9" w:rsidRPr="007A7FCB" w:rsidRDefault="00F30CA9" w:rsidP="007A7FCB">
      <w:pPr>
        <w:pStyle w:val="Naslov3"/>
      </w:pPr>
      <w:bookmarkStart w:id="21" w:name="_Toc170816409"/>
      <w:r w:rsidRPr="007A7FCB">
        <w:t>Pro</w:t>
      </w:r>
      <w:r w:rsidR="000E576E" w:rsidRPr="007A7FCB">
        <w:t>met</w:t>
      </w:r>
      <w:r w:rsidRPr="007A7FCB">
        <w:t xml:space="preserve"> FFS</w:t>
      </w:r>
      <w:r w:rsidR="00300595" w:rsidRPr="007A7FCB">
        <w:t>, ki vsebujejo</w:t>
      </w:r>
      <w:r w:rsidRPr="007A7FCB">
        <w:t xml:space="preserve"> </w:t>
      </w:r>
      <w:r w:rsidR="000C2458" w:rsidRPr="007A7FCB">
        <w:t xml:space="preserve">aktivne </w:t>
      </w:r>
      <w:r w:rsidRPr="007A7FCB">
        <w:t>snovi, ki so kandidatke za zamenjavo</w:t>
      </w:r>
      <w:bookmarkEnd w:id="21"/>
    </w:p>
    <w:p w14:paraId="56B3B0DB" w14:textId="6EE68845" w:rsidR="00407D00" w:rsidRPr="007A7FCB" w:rsidRDefault="006723C8" w:rsidP="007A7FCB">
      <w:r w:rsidRPr="007A7FCB">
        <w:t>Promet snovi, ki so kandidatke za zamenjavo</w:t>
      </w:r>
      <w:r>
        <w:t xml:space="preserve"> </w:t>
      </w:r>
      <w:r w:rsidRPr="003150A7">
        <w:t>v skladu z Uredbo ES 1107/2009</w:t>
      </w:r>
      <w:r w:rsidRPr="007A7FCB">
        <w:t>, predstavlja okoli 8</w:t>
      </w:r>
      <w:r>
        <w:t xml:space="preserve"> </w:t>
      </w:r>
      <w:r w:rsidRPr="007A7FCB">
        <w:t>% celotnega prometa vseh aktivnih snovi, ki se uporabljajo v FFS.</w:t>
      </w:r>
      <w:r>
        <w:t xml:space="preserve"> </w:t>
      </w:r>
      <w:r w:rsidR="00F30CA9" w:rsidRPr="003150A7">
        <w:t>Pro</w:t>
      </w:r>
      <w:r w:rsidR="000E576E">
        <w:t>met</w:t>
      </w:r>
      <w:r w:rsidR="00F30CA9" w:rsidRPr="003150A7">
        <w:t xml:space="preserve"> FFS, ki vsebujejo aktivne snovi, ki so kandidatke za zamenjavo</w:t>
      </w:r>
      <w:r w:rsidR="004512D4" w:rsidRPr="003150A7">
        <w:t xml:space="preserve">, v zadnjih 5 letih </w:t>
      </w:r>
      <w:r w:rsidR="00861532" w:rsidRPr="003150A7">
        <w:t>niha in je v letu 2022 manjš</w:t>
      </w:r>
      <w:r w:rsidR="000E576E">
        <w:t>i</w:t>
      </w:r>
      <w:r w:rsidR="00861532" w:rsidRPr="003150A7">
        <w:t xml:space="preserve"> v primerjavi </w:t>
      </w:r>
      <w:r w:rsidR="00407D00" w:rsidRPr="003150A7">
        <w:t>s prejšnjimi leti.</w:t>
      </w:r>
      <w:r w:rsidR="00F30CA9" w:rsidRPr="003150A7">
        <w:t xml:space="preserve"> </w:t>
      </w:r>
      <w:r w:rsidR="00300595" w:rsidRPr="003150A7">
        <w:t xml:space="preserve">V letu 2022 je </w:t>
      </w:r>
      <w:r w:rsidR="00407D00" w:rsidRPr="003150A7">
        <w:t xml:space="preserve">bil </w:t>
      </w:r>
      <w:r w:rsidR="00300595" w:rsidRPr="003150A7">
        <w:t>pro</w:t>
      </w:r>
      <w:r w:rsidR="000E576E">
        <w:t>met</w:t>
      </w:r>
      <w:r w:rsidR="00300595" w:rsidRPr="003150A7">
        <w:t xml:space="preserve"> teh aktivnih snovi </w:t>
      </w:r>
      <w:r w:rsidR="00300595" w:rsidRPr="003150A7">
        <w:rPr>
          <w:b/>
          <w:bCs/>
        </w:rPr>
        <w:t>manjš</w:t>
      </w:r>
      <w:r w:rsidR="000E576E">
        <w:rPr>
          <w:b/>
          <w:bCs/>
        </w:rPr>
        <w:t>i</w:t>
      </w:r>
      <w:r w:rsidR="00300595" w:rsidRPr="003150A7">
        <w:rPr>
          <w:b/>
          <w:bCs/>
        </w:rPr>
        <w:t xml:space="preserve"> za dobrih </w:t>
      </w:r>
      <w:r w:rsidR="00407D00" w:rsidRPr="003150A7">
        <w:rPr>
          <w:b/>
          <w:bCs/>
        </w:rPr>
        <w:t>9</w:t>
      </w:r>
      <w:r w:rsidR="00300595" w:rsidRPr="003150A7">
        <w:rPr>
          <w:b/>
          <w:bCs/>
        </w:rPr>
        <w:t xml:space="preserve"> %</w:t>
      </w:r>
      <w:r w:rsidR="00300595" w:rsidRPr="003150A7">
        <w:t xml:space="preserve"> </w:t>
      </w:r>
      <w:r w:rsidR="00407D00" w:rsidRPr="003150A7">
        <w:t>od</w:t>
      </w:r>
      <w:r w:rsidR="000C2458" w:rsidRPr="003150A7">
        <w:t xml:space="preserve"> </w:t>
      </w:r>
      <w:r w:rsidR="00407D00" w:rsidRPr="003150A7">
        <w:t>povprečne</w:t>
      </w:r>
      <w:r w:rsidR="000E576E">
        <w:t>ga</w:t>
      </w:r>
      <w:r w:rsidR="00407D00" w:rsidRPr="003150A7">
        <w:t xml:space="preserve"> pro</w:t>
      </w:r>
      <w:r w:rsidR="000E576E">
        <w:t>meta</w:t>
      </w:r>
      <w:r w:rsidR="00407D00" w:rsidRPr="003150A7">
        <w:t xml:space="preserve"> iz let 2017 do 2021. </w:t>
      </w:r>
    </w:p>
    <w:p w14:paraId="33151BAF" w14:textId="032B03FA" w:rsidR="00300595" w:rsidRPr="007A7FCB" w:rsidRDefault="003F53BA" w:rsidP="003F53BA">
      <w:pPr>
        <w:pStyle w:val="Napis"/>
        <w:rPr>
          <w:rFonts w:eastAsia="Times New Roman" w:cs="Arial"/>
          <w:sz w:val="20"/>
          <w:szCs w:val="20"/>
        </w:rPr>
      </w:pPr>
      <w:bookmarkStart w:id="22" w:name="_Toc149824893"/>
      <w:bookmarkStart w:id="23" w:name="_Toc149825602"/>
      <w:bookmarkStart w:id="24" w:name="_Toc151116351"/>
      <w:bookmarkStart w:id="25" w:name="_Toc152153146"/>
      <w:r w:rsidRPr="007A7FCB">
        <w:rPr>
          <w:rFonts w:cs="Arial"/>
          <w:sz w:val="20"/>
          <w:szCs w:val="20"/>
        </w:rPr>
        <w:t xml:space="preserve">Preglednica </w:t>
      </w:r>
      <w:r w:rsidRPr="007A7FCB">
        <w:rPr>
          <w:rFonts w:cs="Arial"/>
          <w:sz w:val="20"/>
          <w:szCs w:val="20"/>
        </w:rPr>
        <w:fldChar w:fldCharType="begin"/>
      </w:r>
      <w:r w:rsidRPr="007A7FCB">
        <w:rPr>
          <w:rFonts w:cs="Arial"/>
          <w:sz w:val="20"/>
          <w:szCs w:val="20"/>
        </w:rPr>
        <w:instrText xml:space="preserve"> SEQ Preglednica \* ARABIC </w:instrText>
      </w:r>
      <w:r w:rsidRPr="007A7FCB">
        <w:rPr>
          <w:rFonts w:cs="Arial"/>
          <w:sz w:val="20"/>
          <w:szCs w:val="20"/>
        </w:rPr>
        <w:fldChar w:fldCharType="separate"/>
      </w:r>
      <w:r w:rsidR="00DB7441">
        <w:rPr>
          <w:rFonts w:cs="Arial"/>
          <w:noProof/>
          <w:sz w:val="20"/>
          <w:szCs w:val="20"/>
        </w:rPr>
        <w:t>3</w:t>
      </w:r>
      <w:r w:rsidRPr="007A7FCB">
        <w:rPr>
          <w:rFonts w:cs="Arial"/>
          <w:sz w:val="20"/>
          <w:szCs w:val="20"/>
        </w:rPr>
        <w:fldChar w:fldCharType="end"/>
      </w:r>
      <w:r w:rsidR="00300595" w:rsidRPr="007A7FCB">
        <w:rPr>
          <w:rFonts w:cs="Arial"/>
          <w:sz w:val="20"/>
          <w:szCs w:val="20"/>
        </w:rPr>
        <w:t>: Pro</w:t>
      </w:r>
      <w:r w:rsidR="000E576E" w:rsidRPr="007A7FCB">
        <w:rPr>
          <w:rFonts w:cs="Arial"/>
          <w:sz w:val="20"/>
          <w:szCs w:val="20"/>
        </w:rPr>
        <w:t>met</w:t>
      </w:r>
      <w:r w:rsidR="00300595" w:rsidRPr="007A7FCB">
        <w:rPr>
          <w:rFonts w:cs="Arial"/>
          <w:sz w:val="20"/>
          <w:szCs w:val="20"/>
        </w:rPr>
        <w:t xml:space="preserve"> snovi, ki so kandidatke za zamenjavo v kg</w:t>
      </w:r>
      <w:bookmarkEnd w:id="22"/>
      <w:bookmarkEnd w:id="23"/>
      <w:bookmarkEnd w:id="24"/>
      <w:bookmarkEnd w:id="25"/>
    </w:p>
    <w:tbl>
      <w:tblPr>
        <w:tblStyle w:val="Tabelamrea"/>
        <w:tblW w:w="9806" w:type="dxa"/>
        <w:tblBorders>
          <w:left w:val="none" w:sz="0" w:space="0" w:color="auto"/>
          <w:right w:val="none" w:sz="0" w:space="0" w:color="auto"/>
          <w:insideV w:val="none" w:sz="0" w:space="0" w:color="auto"/>
        </w:tblBorders>
        <w:tblLook w:val="04A0" w:firstRow="1" w:lastRow="0" w:firstColumn="1" w:lastColumn="0" w:noHBand="0" w:noVBand="1"/>
      </w:tblPr>
      <w:tblGrid>
        <w:gridCol w:w="2324"/>
        <w:gridCol w:w="1247"/>
        <w:gridCol w:w="1247"/>
        <w:gridCol w:w="1247"/>
        <w:gridCol w:w="1247"/>
        <w:gridCol w:w="1247"/>
        <w:gridCol w:w="1247"/>
      </w:tblGrid>
      <w:tr w:rsidR="0080729D" w:rsidRPr="007A7FCB" w14:paraId="21F5C6C3" w14:textId="77777777" w:rsidTr="007A7FCB">
        <w:trPr>
          <w:trHeight w:val="290"/>
        </w:trPr>
        <w:tc>
          <w:tcPr>
            <w:tcW w:w="2324" w:type="dxa"/>
            <w:noWrap/>
            <w:hideMark/>
          </w:tcPr>
          <w:p w14:paraId="2128263E" w14:textId="045B81CF" w:rsidR="0080729D" w:rsidRPr="007A7FCB" w:rsidRDefault="0080729D" w:rsidP="007A7FCB">
            <w:pPr>
              <w:pStyle w:val="Brezrazmikov"/>
              <w:rPr>
                <w:rFonts w:eastAsia="Times New Roman"/>
              </w:rPr>
            </w:pPr>
            <w:r w:rsidRPr="007A7FCB">
              <w:rPr>
                <w:rFonts w:eastAsia="Times New Roman"/>
              </w:rPr>
              <w:t>Leto</w:t>
            </w:r>
          </w:p>
        </w:tc>
        <w:tc>
          <w:tcPr>
            <w:tcW w:w="1247" w:type="dxa"/>
            <w:noWrap/>
            <w:vAlign w:val="center"/>
            <w:hideMark/>
          </w:tcPr>
          <w:p w14:paraId="1C4FDFB5" w14:textId="77777777" w:rsidR="0080729D" w:rsidRPr="007A7FCB" w:rsidRDefault="0080729D" w:rsidP="007A7FCB">
            <w:pPr>
              <w:pStyle w:val="Brezrazmikov"/>
              <w:jc w:val="center"/>
              <w:rPr>
                <w:rFonts w:eastAsia="Times New Roman"/>
              </w:rPr>
            </w:pPr>
            <w:r w:rsidRPr="007A7FCB">
              <w:rPr>
                <w:rFonts w:eastAsia="Times New Roman"/>
              </w:rPr>
              <w:t>2017</w:t>
            </w:r>
          </w:p>
        </w:tc>
        <w:tc>
          <w:tcPr>
            <w:tcW w:w="1247" w:type="dxa"/>
            <w:noWrap/>
            <w:vAlign w:val="center"/>
            <w:hideMark/>
          </w:tcPr>
          <w:p w14:paraId="3F45EBA9" w14:textId="77777777" w:rsidR="0080729D" w:rsidRPr="007A7FCB" w:rsidRDefault="0080729D" w:rsidP="007A7FCB">
            <w:pPr>
              <w:pStyle w:val="Brezrazmikov"/>
              <w:jc w:val="center"/>
              <w:rPr>
                <w:rFonts w:eastAsia="Times New Roman"/>
              </w:rPr>
            </w:pPr>
            <w:r w:rsidRPr="007A7FCB">
              <w:rPr>
                <w:rFonts w:eastAsia="Times New Roman"/>
              </w:rPr>
              <w:t>2018</w:t>
            </w:r>
          </w:p>
        </w:tc>
        <w:tc>
          <w:tcPr>
            <w:tcW w:w="1247" w:type="dxa"/>
            <w:noWrap/>
            <w:vAlign w:val="center"/>
            <w:hideMark/>
          </w:tcPr>
          <w:p w14:paraId="786E821D" w14:textId="77777777" w:rsidR="0080729D" w:rsidRPr="007A7FCB" w:rsidRDefault="0080729D" w:rsidP="007A7FCB">
            <w:pPr>
              <w:pStyle w:val="Brezrazmikov"/>
              <w:jc w:val="center"/>
              <w:rPr>
                <w:rFonts w:eastAsia="Times New Roman"/>
              </w:rPr>
            </w:pPr>
            <w:r w:rsidRPr="007A7FCB">
              <w:rPr>
                <w:rFonts w:eastAsia="Times New Roman"/>
              </w:rPr>
              <w:t>2019</w:t>
            </w:r>
          </w:p>
        </w:tc>
        <w:tc>
          <w:tcPr>
            <w:tcW w:w="1247" w:type="dxa"/>
            <w:noWrap/>
            <w:vAlign w:val="center"/>
            <w:hideMark/>
          </w:tcPr>
          <w:p w14:paraId="42829CEE" w14:textId="77777777" w:rsidR="0080729D" w:rsidRPr="007A7FCB" w:rsidRDefault="0080729D" w:rsidP="007A7FCB">
            <w:pPr>
              <w:pStyle w:val="Brezrazmikov"/>
              <w:jc w:val="center"/>
              <w:rPr>
                <w:rFonts w:eastAsia="Times New Roman"/>
              </w:rPr>
            </w:pPr>
            <w:r w:rsidRPr="007A7FCB">
              <w:rPr>
                <w:rFonts w:eastAsia="Times New Roman"/>
              </w:rPr>
              <w:t>2020</w:t>
            </w:r>
          </w:p>
        </w:tc>
        <w:tc>
          <w:tcPr>
            <w:tcW w:w="1247" w:type="dxa"/>
            <w:noWrap/>
            <w:vAlign w:val="center"/>
            <w:hideMark/>
          </w:tcPr>
          <w:p w14:paraId="27CB1CD2" w14:textId="77777777" w:rsidR="0080729D" w:rsidRPr="007A7FCB" w:rsidRDefault="0080729D" w:rsidP="007A7FCB">
            <w:pPr>
              <w:pStyle w:val="Brezrazmikov"/>
              <w:jc w:val="center"/>
              <w:rPr>
                <w:rFonts w:eastAsia="Times New Roman"/>
              </w:rPr>
            </w:pPr>
            <w:r w:rsidRPr="007A7FCB">
              <w:rPr>
                <w:rFonts w:eastAsia="Times New Roman"/>
              </w:rPr>
              <w:t>2021</w:t>
            </w:r>
          </w:p>
        </w:tc>
        <w:tc>
          <w:tcPr>
            <w:tcW w:w="1247" w:type="dxa"/>
            <w:noWrap/>
            <w:vAlign w:val="center"/>
            <w:hideMark/>
          </w:tcPr>
          <w:p w14:paraId="361D6D45" w14:textId="77777777" w:rsidR="0080729D" w:rsidRPr="007A7FCB" w:rsidRDefault="0080729D" w:rsidP="007A7FCB">
            <w:pPr>
              <w:pStyle w:val="Brezrazmikov"/>
              <w:jc w:val="center"/>
              <w:rPr>
                <w:rFonts w:eastAsia="Times New Roman"/>
              </w:rPr>
            </w:pPr>
            <w:r w:rsidRPr="007A7FCB">
              <w:rPr>
                <w:rFonts w:eastAsia="Times New Roman"/>
              </w:rPr>
              <w:t>2022</w:t>
            </w:r>
          </w:p>
        </w:tc>
      </w:tr>
      <w:tr w:rsidR="0080729D" w:rsidRPr="007A7FCB" w14:paraId="3ECB0EBB" w14:textId="77777777" w:rsidTr="007A7FCB">
        <w:trPr>
          <w:trHeight w:val="290"/>
        </w:trPr>
        <w:tc>
          <w:tcPr>
            <w:tcW w:w="2324" w:type="dxa"/>
            <w:noWrap/>
            <w:hideMark/>
          </w:tcPr>
          <w:p w14:paraId="6CD6E062" w14:textId="74382C4F" w:rsidR="0080729D" w:rsidRPr="007A7FCB" w:rsidRDefault="0080729D" w:rsidP="007A7FCB">
            <w:pPr>
              <w:pStyle w:val="Brezrazmikov"/>
              <w:rPr>
                <w:rFonts w:eastAsia="Times New Roman"/>
              </w:rPr>
            </w:pPr>
            <w:r w:rsidRPr="007A7FCB">
              <w:rPr>
                <w:rFonts w:eastAsia="Times New Roman"/>
              </w:rPr>
              <w:t>Vse snovi kandidatke za zamenjavo (vključno z bakrom)</w:t>
            </w:r>
          </w:p>
        </w:tc>
        <w:tc>
          <w:tcPr>
            <w:tcW w:w="1247" w:type="dxa"/>
            <w:noWrap/>
            <w:vAlign w:val="center"/>
            <w:hideMark/>
          </w:tcPr>
          <w:p w14:paraId="0A6AFCA0" w14:textId="77777777" w:rsidR="0080729D" w:rsidRPr="007A7FCB" w:rsidRDefault="0080729D" w:rsidP="007A7FCB">
            <w:pPr>
              <w:pStyle w:val="Brezrazmikov"/>
              <w:jc w:val="center"/>
              <w:rPr>
                <w:rFonts w:eastAsia="Times New Roman"/>
              </w:rPr>
            </w:pPr>
            <w:r w:rsidRPr="007A7FCB">
              <w:rPr>
                <w:rFonts w:eastAsia="Times New Roman"/>
              </w:rPr>
              <w:t>77764,99</w:t>
            </w:r>
          </w:p>
        </w:tc>
        <w:tc>
          <w:tcPr>
            <w:tcW w:w="1247" w:type="dxa"/>
            <w:noWrap/>
            <w:vAlign w:val="center"/>
            <w:hideMark/>
          </w:tcPr>
          <w:p w14:paraId="456A44B1" w14:textId="77777777" w:rsidR="0080729D" w:rsidRPr="007A7FCB" w:rsidRDefault="0080729D" w:rsidP="007A7FCB">
            <w:pPr>
              <w:pStyle w:val="Brezrazmikov"/>
              <w:jc w:val="center"/>
              <w:rPr>
                <w:rFonts w:eastAsia="Times New Roman"/>
              </w:rPr>
            </w:pPr>
            <w:r w:rsidRPr="007A7FCB">
              <w:rPr>
                <w:rFonts w:eastAsia="Times New Roman"/>
              </w:rPr>
              <w:t>80367,03</w:t>
            </w:r>
          </w:p>
        </w:tc>
        <w:tc>
          <w:tcPr>
            <w:tcW w:w="1247" w:type="dxa"/>
            <w:noWrap/>
            <w:vAlign w:val="center"/>
            <w:hideMark/>
          </w:tcPr>
          <w:p w14:paraId="18DA077B" w14:textId="77777777" w:rsidR="0080729D" w:rsidRPr="007A7FCB" w:rsidRDefault="0080729D" w:rsidP="007A7FCB">
            <w:pPr>
              <w:pStyle w:val="Brezrazmikov"/>
              <w:jc w:val="center"/>
              <w:rPr>
                <w:rFonts w:eastAsia="Times New Roman"/>
              </w:rPr>
            </w:pPr>
            <w:r w:rsidRPr="007A7FCB">
              <w:rPr>
                <w:rFonts w:eastAsia="Times New Roman"/>
              </w:rPr>
              <w:t>78876,26</w:t>
            </w:r>
          </w:p>
        </w:tc>
        <w:tc>
          <w:tcPr>
            <w:tcW w:w="1247" w:type="dxa"/>
            <w:noWrap/>
            <w:vAlign w:val="center"/>
            <w:hideMark/>
          </w:tcPr>
          <w:p w14:paraId="7F5DB09A" w14:textId="77777777" w:rsidR="0080729D" w:rsidRPr="007A7FCB" w:rsidRDefault="0080729D" w:rsidP="007A7FCB">
            <w:pPr>
              <w:pStyle w:val="Brezrazmikov"/>
              <w:jc w:val="center"/>
              <w:rPr>
                <w:rFonts w:eastAsia="Times New Roman"/>
              </w:rPr>
            </w:pPr>
            <w:r w:rsidRPr="007A7FCB">
              <w:rPr>
                <w:rFonts w:eastAsia="Times New Roman"/>
              </w:rPr>
              <w:t>84761,44</w:t>
            </w:r>
          </w:p>
        </w:tc>
        <w:tc>
          <w:tcPr>
            <w:tcW w:w="1247" w:type="dxa"/>
            <w:noWrap/>
            <w:vAlign w:val="center"/>
            <w:hideMark/>
          </w:tcPr>
          <w:p w14:paraId="484D099E" w14:textId="77777777" w:rsidR="0080729D" w:rsidRPr="007A7FCB" w:rsidRDefault="0080729D" w:rsidP="007A7FCB">
            <w:pPr>
              <w:pStyle w:val="Brezrazmikov"/>
              <w:jc w:val="center"/>
              <w:rPr>
                <w:rFonts w:eastAsia="Times New Roman"/>
              </w:rPr>
            </w:pPr>
            <w:r w:rsidRPr="007A7FCB">
              <w:rPr>
                <w:rFonts w:eastAsia="Times New Roman"/>
              </w:rPr>
              <w:t>81705,13</w:t>
            </w:r>
          </w:p>
        </w:tc>
        <w:tc>
          <w:tcPr>
            <w:tcW w:w="1247" w:type="dxa"/>
            <w:noWrap/>
            <w:vAlign w:val="center"/>
            <w:hideMark/>
          </w:tcPr>
          <w:p w14:paraId="4E76CE09" w14:textId="77777777" w:rsidR="0080729D" w:rsidRPr="007A7FCB" w:rsidRDefault="0080729D" w:rsidP="007A7FCB">
            <w:pPr>
              <w:pStyle w:val="Brezrazmikov"/>
              <w:jc w:val="center"/>
              <w:rPr>
                <w:rFonts w:eastAsia="Times New Roman"/>
              </w:rPr>
            </w:pPr>
            <w:r w:rsidRPr="007A7FCB">
              <w:rPr>
                <w:rFonts w:eastAsia="Times New Roman"/>
              </w:rPr>
              <w:t>73022,64</w:t>
            </w:r>
          </w:p>
        </w:tc>
      </w:tr>
      <w:tr w:rsidR="0080729D" w:rsidRPr="007A7FCB" w14:paraId="73F71246" w14:textId="77777777" w:rsidTr="007A7FCB">
        <w:trPr>
          <w:trHeight w:val="290"/>
        </w:trPr>
        <w:tc>
          <w:tcPr>
            <w:tcW w:w="2324" w:type="dxa"/>
            <w:noWrap/>
            <w:hideMark/>
          </w:tcPr>
          <w:p w14:paraId="1AE0B6A9" w14:textId="692ABF9C" w:rsidR="0080729D" w:rsidRPr="007A7FCB" w:rsidRDefault="0080729D" w:rsidP="007A7FCB">
            <w:pPr>
              <w:pStyle w:val="Brezrazmikov"/>
              <w:rPr>
                <w:rFonts w:eastAsia="Times New Roman"/>
              </w:rPr>
            </w:pPr>
            <w:r w:rsidRPr="007A7FCB">
              <w:rPr>
                <w:rFonts w:eastAsia="Times New Roman"/>
              </w:rPr>
              <w:t>Baker</w:t>
            </w:r>
          </w:p>
          <w:p w14:paraId="0F00DF26" w14:textId="2C8F91FF" w:rsidR="0080729D" w:rsidRPr="007A7FCB" w:rsidRDefault="0080729D" w:rsidP="007A7FCB">
            <w:pPr>
              <w:pStyle w:val="Brezrazmikov"/>
              <w:rPr>
                <w:rFonts w:eastAsia="Times New Roman"/>
              </w:rPr>
            </w:pPr>
          </w:p>
        </w:tc>
        <w:tc>
          <w:tcPr>
            <w:tcW w:w="1247" w:type="dxa"/>
            <w:noWrap/>
            <w:vAlign w:val="center"/>
            <w:hideMark/>
          </w:tcPr>
          <w:p w14:paraId="2F7D65A9" w14:textId="77777777" w:rsidR="0080729D" w:rsidRPr="007A7FCB" w:rsidRDefault="0080729D" w:rsidP="007A7FCB">
            <w:pPr>
              <w:pStyle w:val="Brezrazmikov"/>
              <w:jc w:val="center"/>
              <w:rPr>
                <w:rFonts w:eastAsia="Times New Roman"/>
              </w:rPr>
            </w:pPr>
            <w:r w:rsidRPr="007A7FCB">
              <w:rPr>
                <w:rFonts w:eastAsia="Times New Roman"/>
              </w:rPr>
              <w:t>41212,77</w:t>
            </w:r>
          </w:p>
        </w:tc>
        <w:tc>
          <w:tcPr>
            <w:tcW w:w="1247" w:type="dxa"/>
            <w:noWrap/>
            <w:vAlign w:val="center"/>
            <w:hideMark/>
          </w:tcPr>
          <w:p w14:paraId="78B1C85A" w14:textId="77777777" w:rsidR="0080729D" w:rsidRPr="007A7FCB" w:rsidRDefault="0080729D" w:rsidP="007A7FCB">
            <w:pPr>
              <w:pStyle w:val="Brezrazmikov"/>
              <w:jc w:val="center"/>
              <w:rPr>
                <w:rFonts w:eastAsia="Times New Roman"/>
              </w:rPr>
            </w:pPr>
            <w:r w:rsidRPr="007A7FCB">
              <w:rPr>
                <w:rFonts w:eastAsia="Times New Roman"/>
              </w:rPr>
              <w:t>38959,6</w:t>
            </w:r>
          </w:p>
        </w:tc>
        <w:tc>
          <w:tcPr>
            <w:tcW w:w="1247" w:type="dxa"/>
            <w:noWrap/>
            <w:vAlign w:val="center"/>
            <w:hideMark/>
          </w:tcPr>
          <w:p w14:paraId="57601B3B" w14:textId="77777777" w:rsidR="0080729D" w:rsidRPr="007A7FCB" w:rsidRDefault="0080729D" w:rsidP="007A7FCB">
            <w:pPr>
              <w:pStyle w:val="Brezrazmikov"/>
              <w:jc w:val="center"/>
              <w:rPr>
                <w:rFonts w:eastAsia="Times New Roman"/>
              </w:rPr>
            </w:pPr>
            <w:r w:rsidRPr="007A7FCB">
              <w:rPr>
                <w:rFonts w:eastAsia="Times New Roman"/>
              </w:rPr>
              <w:t>39875,67</w:t>
            </w:r>
          </w:p>
        </w:tc>
        <w:tc>
          <w:tcPr>
            <w:tcW w:w="1247" w:type="dxa"/>
            <w:noWrap/>
            <w:vAlign w:val="center"/>
            <w:hideMark/>
          </w:tcPr>
          <w:p w14:paraId="1D018E10" w14:textId="77777777" w:rsidR="0080729D" w:rsidRPr="007A7FCB" w:rsidRDefault="0080729D" w:rsidP="007A7FCB">
            <w:pPr>
              <w:pStyle w:val="Brezrazmikov"/>
              <w:jc w:val="center"/>
              <w:rPr>
                <w:rFonts w:eastAsia="Times New Roman"/>
              </w:rPr>
            </w:pPr>
            <w:r w:rsidRPr="007A7FCB">
              <w:rPr>
                <w:rFonts w:eastAsia="Times New Roman"/>
              </w:rPr>
              <w:t>38559,82</w:t>
            </w:r>
          </w:p>
        </w:tc>
        <w:tc>
          <w:tcPr>
            <w:tcW w:w="1247" w:type="dxa"/>
            <w:noWrap/>
            <w:vAlign w:val="center"/>
            <w:hideMark/>
          </w:tcPr>
          <w:p w14:paraId="5FB3B74E" w14:textId="77777777" w:rsidR="0080729D" w:rsidRPr="007A7FCB" w:rsidRDefault="0080729D" w:rsidP="007A7FCB">
            <w:pPr>
              <w:pStyle w:val="Brezrazmikov"/>
              <w:jc w:val="center"/>
              <w:rPr>
                <w:rFonts w:eastAsia="Times New Roman"/>
              </w:rPr>
            </w:pPr>
            <w:r w:rsidRPr="007A7FCB">
              <w:rPr>
                <w:rFonts w:eastAsia="Times New Roman"/>
              </w:rPr>
              <w:t>38793,66</w:t>
            </w:r>
          </w:p>
        </w:tc>
        <w:tc>
          <w:tcPr>
            <w:tcW w:w="1247" w:type="dxa"/>
            <w:noWrap/>
            <w:vAlign w:val="center"/>
            <w:hideMark/>
          </w:tcPr>
          <w:p w14:paraId="0C8C0DB8" w14:textId="77777777" w:rsidR="0080729D" w:rsidRPr="007A7FCB" w:rsidRDefault="0080729D" w:rsidP="007A7FCB">
            <w:pPr>
              <w:pStyle w:val="Brezrazmikov"/>
              <w:jc w:val="center"/>
              <w:rPr>
                <w:rFonts w:eastAsia="Times New Roman"/>
              </w:rPr>
            </w:pPr>
            <w:r w:rsidRPr="007A7FCB">
              <w:rPr>
                <w:rFonts w:eastAsia="Times New Roman"/>
              </w:rPr>
              <w:t>37449,4</w:t>
            </w:r>
          </w:p>
        </w:tc>
      </w:tr>
      <w:tr w:rsidR="0080729D" w:rsidRPr="007A7FCB" w14:paraId="0528C470" w14:textId="77777777" w:rsidTr="007A7FCB">
        <w:trPr>
          <w:trHeight w:val="290"/>
        </w:trPr>
        <w:tc>
          <w:tcPr>
            <w:tcW w:w="2324" w:type="dxa"/>
            <w:noWrap/>
            <w:hideMark/>
          </w:tcPr>
          <w:p w14:paraId="6DA69AA6" w14:textId="0B299491" w:rsidR="0080729D" w:rsidRPr="007A7FCB" w:rsidRDefault="001764E2" w:rsidP="007A7FCB">
            <w:pPr>
              <w:pStyle w:val="Brezrazmikov"/>
              <w:rPr>
                <w:rFonts w:eastAsia="Times New Roman"/>
                <w:color w:val="000000"/>
              </w:rPr>
            </w:pPr>
            <w:r>
              <w:rPr>
                <w:rFonts w:eastAsia="Times New Roman"/>
                <w:color w:val="000000"/>
              </w:rPr>
              <w:t>Delež</w:t>
            </w:r>
            <w:r w:rsidR="00240C60">
              <w:rPr>
                <w:rFonts w:eastAsia="Times New Roman"/>
                <w:color w:val="000000"/>
              </w:rPr>
              <w:t xml:space="preserve"> </w:t>
            </w:r>
            <w:r>
              <w:rPr>
                <w:rFonts w:eastAsia="Times New Roman"/>
                <w:color w:val="000000"/>
              </w:rPr>
              <w:t>FFS</w:t>
            </w:r>
            <w:r w:rsidR="0080729D" w:rsidRPr="007A7FCB">
              <w:rPr>
                <w:rFonts w:eastAsia="Times New Roman"/>
                <w:color w:val="000000"/>
              </w:rPr>
              <w:t xml:space="preserve"> bakra </w:t>
            </w:r>
          </w:p>
        </w:tc>
        <w:tc>
          <w:tcPr>
            <w:tcW w:w="1247" w:type="dxa"/>
            <w:noWrap/>
            <w:vAlign w:val="center"/>
            <w:hideMark/>
          </w:tcPr>
          <w:p w14:paraId="2B87BA02" w14:textId="17E97D3C" w:rsidR="0080729D" w:rsidRPr="007A7FCB" w:rsidRDefault="0080729D" w:rsidP="007A7FCB">
            <w:pPr>
              <w:pStyle w:val="Brezrazmikov"/>
              <w:jc w:val="center"/>
              <w:rPr>
                <w:rFonts w:eastAsia="Times New Roman"/>
                <w:color w:val="000000"/>
              </w:rPr>
            </w:pPr>
            <w:r w:rsidRPr="007A7FCB">
              <w:rPr>
                <w:rFonts w:eastAsia="Times New Roman"/>
                <w:color w:val="000000"/>
              </w:rPr>
              <w:t>53,00</w:t>
            </w:r>
            <w:r w:rsidR="00F96327">
              <w:rPr>
                <w:rFonts w:eastAsia="Times New Roman"/>
                <w:color w:val="000000"/>
              </w:rPr>
              <w:t xml:space="preserve"> %</w:t>
            </w:r>
          </w:p>
        </w:tc>
        <w:tc>
          <w:tcPr>
            <w:tcW w:w="1247" w:type="dxa"/>
            <w:noWrap/>
            <w:vAlign w:val="center"/>
            <w:hideMark/>
          </w:tcPr>
          <w:p w14:paraId="10F7A131" w14:textId="7B848DE6" w:rsidR="0080729D" w:rsidRPr="007A7FCB" w:rsidRDefault="0080729D" w:rsidP="007A7FCB">
            <w:pPr>
              <w:pStyle w:val="Brezrazmikov"/>
              <w:jc w:val="center"/>
              <w:rPr>
                <w:rFonts w:eastAsia="Times New Roman"/>
                <w:color w:val="000000"/>
              </w:rPr>
            </w:pPr>
            <w:r w:rsidRPr="007A7FCB">
              <w:rPr>
                <w:rFonts w:eastAsia="Times New Roman"/>
                <w:color w:val="000000"/>
              </w:rPr>
              <w:t>48,48</w:t>
            </w:r>
            <w:r w:rsidR="00F96327">
              <w:rPr>
                <w:rFonts w:eastAsia="Times New Roman"/>
                <w:color w:val="000000"/>
              </w:rPr>
              <w:t xml:space="preserve"> %</w:t>
            </w:r>
          </w:p>
        </w:tc>
        <w:tc>
          <w:tcPr>
            <w:tcW w:w="1247" w:type="dxa"/>
            <w:noWrap/>
            <w:vAlign w:val="center"/>
            <w:hideMark/>
          </w:tcPr>
          <w:p w14:paraId="06EF8CB3" w14:textId="0F524A44" w:rsidR="0080729D" w:rsidRPr="007A7FCB" w:rsidRDefault="0080729D" w:rsidP="007A7FCB">
            <w:pPr>
              <w:pStyle w:val="Brezrazmikov"/>
              <w:jc w:val="center"/>
              <w:rPr>
                <w:rFonts w:eastAsia="Times New Roman"/>
                <w:color w:val="000000"/>
              </w:rPr>
            </w:pPr>
            <w:r w:rsidRPr="007A7FCB">
              <w:rPr>
                <w:rFonts w:eastAsia="Times New Roman"/>
                <w:color w:val="000000"/>
              </w:rPr>
              <w:t>50,55</w:t>
            </w:r>
            <w:r w:rsidR="00F96327">
              <w:rPr>
                <w:rFonts w:eastAsia="Times New Roman"/>
                <w:color w:val="000000"/>
              </w:rPr>
              <w:t xml:space="preserve"> %</w:t>
            </w:r>
          </w:p>
        </w:tc>
        <w:tc>
          <w:tcPr>
            <w:tcW w:w="1247" w:type="dxa"/>
            <w:noWrap/>
            <w:vAlign w:val="center"/>
            <w:hideMark/>
          </w:tcPr>
          <w:p w14:paraId="2EF575D6" w14:textId="5888ACB7" w:rsidR="0080729D" w:rsidRPr="007A7FCB" w:rsidRDefault="0080729D" w:rsidP="007A7FCB">
            <w:pPr>
              <w:pStyle w:val="Brezrazmikov"/>
              <w:jc w:val="center"/>
              <w:rPr>
                <w:rFonts w:eastAsia="Times New Roman"/>
                <w:color w:val="000000"/>
              </w:rPr>
            </w:pPr>
            <w:r w:rsidRPr="007A7FCB">
              <w:rPr>
                <w:rFonts w:eastAsia="Times New Roman"/>
                <w:color w:val="000000"/>
              </w:rPr>
              <w:t>45,49</w:t>
            </w:r>
            <w:r w:rsidR="00F96327">
              <w:rPr>
                <w:rFonts w:eastAsia="Times New Roman"/>
                <w:color w:val="000000"/>
              </w:rPr>
              <w:t xml:space="preserve"> %</w:t>
            </w:r>
          </w:p>
        </w:tc>
        <w:tc>
          <w:tcPr>
            <w:tcW w:w="1247" w:type="dxa"/>
            <w:noWrap/>
            <w:vAlign w:val="center"/>
            <w:hideMark/>
          </w:tcPr>
          <w:p w14:paraId="19B65F2C" w14:textId="334F5F9B" w:rsidR="0080729D" w:rsidRPr="007A7FCB" w:rsidRDefault="0080729D" w:rsidP="007A7FCB">
            <w:pPr>
              <w:pStyle w:val="Brezrazmikov"/>
              <w:jc w:val="center"/>
              <w:rPr>
                <w:rFonts w:eastAsia="Times New Roman"/>
                <w:color w:val="000000"/>
              </w:rPr>
            </w:pPr>
            <w:r w:rsidRPr="007A7FCB">
              <w:rPr>
                <w:rFonts w:eastAsia="Times New Roman"/>
                <w:color w:val="000000"/>
              </w:rPr>
              <w:t>47,48</w:t>
            </w:r>
            <w:r w:rsidR="00F96327">
              <w:rPr>
                <w:rFonts w:eastAsia="Times New Roman"/>
                <w:color w:val="000000"/>
              </w:rPr>
              <w:t xml:space="preserve"> %</w:t>
            </w:r>
          </w:p>
        </w:tc>
        <w:tc>
          <w:tcPr>
            <w:tcW w:w="1247" w:type="dxa"/>
            <w:noWrap/>
            <w:vAlign w:val="center"/>
            <w:hideMark/>
          </w:tcPr>
          <w:p w14:paraId="046DD8F4" w14:textId="14A60979" w:rsidR="0080729D" w:rsidRPr="007A7FCB" w:rsidRDefault="0080729D" w:rsidP="007A7FCB">
            <w:pPr>
              <w:pStyle w:val="Brezrazmikov"/>
              <w:jc w:val="center"/>
              <w:rPr>
                <w:rFonts w:eastAsia="Times New Roman"/>
                <w:color w:val="000000"/>
              </w:rPr>
            </w:pPr>
            <w:r w:rsidRPr="007A7FCB">
              <w:rPr>
                <w:rFonts w:eastAsia="Times New Roman"/>
                <w:color w:val="000000"/>
              </w:rPr>
              <w:t>51,28</w:t>
            </w:r>
            <w:r w:rsidR="00F96327">
              <w:rPr>
                <w:rFonts w:eastAsia="Times New Roman"/>
                <w:color w:val="000000"/>
              </w:rPr>
              <w:t xml:space="preserve"> %</w:t>
            </w:r>
          </w:p>
        </w:tc>
      </w:tr>
    </w:tbl>
    <w:p w14:paraId="7E5E62F7" w14:textId="479EFA71" w:rsidR="00F30CA9" w:rsidRPr="003150A7" w:rsidRDefault="00F30CA9" w:rsidP="00F31C93">
      <w:pPr>
        <w:spacing w:before="80" w:after="80" w:line="220" w:lineRule="atLeast"/>
        <w:rPr>
          <w:rFonts w:eastAsia="Times New Roman" w:cs="Arial"/>
        </w:rPr>
      </w:pPr>
    </w:p>
    <w:p w14:paraId="4BCBFF41" w14:textId="26137CAB" w:rsidR="00F30CA9" w:rsidRPr="003150A7" w:rsidRDefault="00861532" w:rsidP="00A802CF">
      <w:pPr>
        <w:spacing w:before="80" w:after="80" w:line="220" w:lineRule="atLeast"/>
        <w:jc w:val="center"/>
        <w:rPr>
          <w:rFonts w:eastAsia="Times New Roman" w:cs="Arial"/>
        </w:rPr>
      </w:pPr>
      <w:r w:rsidRPr="003150A7">
        <w:rPr>
          <w:rFonts w:cs="Arial"/>
          <w:noProof/>
        </w:rPr>
        <w:lastRenderedPageBreak/>
        <w:drawing>
          <wp:inline distT="0" distB="0" distL="0" distR="0" wp14:anchorId="643E6553" wp14:editId="5BA3505B">
            <wp:extent cx="4572000" cy="2743200"/>
            <wp:effectExtent l="0" t="0" r="0" b="0"/>
            <wp:docPr id="16" name="Grafikon 16">
              <a:extLst xmlns:a="http://schemas.openxmlformats.org/drawingml/2006/main">
                <a:ext uri="{FF2B5EF4-FFF2-40B4-BE49-F238E27FC236}">
                  <a16:creationId xmlns:a16="http://schemas.microsoft.com/office/drawing/2014/main" id="{8A3FF1BE-4917-2D2A-F8E8-D7C9361E9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FB3E6A" w14:textId="6514B17A" w:rsidR="00EC5867" w:rsidRPr="007A7FCB" w:rsidRDefault="00C2407F" w:rsidP="00C2407F">
      <w:pPr>
        <w:pStyle w:val="Napis"/>
        <w:jc w:val="center"/>
        <w:rPr>
          <w:rFonts w:eastAsia="Times New Roman" w:cs="Arial"/>
          <w:sz w:val="20"/>
          <w:szCs w:val="20"/>
        </w:rPr>
      </w:pPr>
      <w:bookmarkStart w:id="26" w:name="_Toc151554961"/>
      <w:r w:rsidRPr="007A7FCB">
        <w:rPr>
          <w:rFonts w:cs="Arial"/>
          <w:sz w:val="20"/>
          <w:szCs w:val="20"/>
        </w:rPr>
        <w:t xml:space="preserve">Slika </w:t>
      </w:r>
      <w:r w:rsidRPr="007A7FCB">
        <w:rPr>
          <w:rFonts w:cs="Arial"/>
          <w:sz w:val="20"/>
          <w:szCs w:val="20"/>
        </w:rPr>
        <w:fldChar w:fldCharType="begin"/>
      </w:r>
      <w:r w:rsidRPr="007A7FCB">
        <w:rPr>
          <w:rFonts w:cs="Arial"/>
          <w:sz w:val="20"/>
          <w:szCs w:val="20"/>
        </w:rPr>
        <w:instrText xml:space="preserve"> SEQ Slika \* ARABIC </w:instrText>
      </w:r>
      <w:r w:rsidRPr="007A7FCB">
        <w:rPr>
          <w:rFonts w:cs="Arial"/>
          <w:sz w:val="20"/>
          <w:szCs w:val="20"/>
        </w:rPr>
        <w:fldChar w:fldCharType="separate"/>
      </w:r>
      <w:r w:rsidR="00D24AE7">
        <w:rPr>
          <w:rFonts w:cs="Arial"/>
          <w:noProof/>
          <w:sz w:val="20"/>
          <w:szCs w:val="20"/>
        </w:rPr>
        <w:t>3</w:t>
      </w:r>
      <w:r w:rsidRPr="007A7FCB">
        <w:rPr>
          <w:rFonts w:cs="Arial"/>
          <w:sz w:val="20"/>
          <w:szCs w:val="20"/>
        </w:rPr>
        <w:fldChar w:fldCharType="end"/>
      </w:r>
      <w:r w:rsidR="00152F66" w:rsidRPr="007A7FCB">
        <w:rPr>
          <w:rFonts w:cs="Arial"/>
          <w:sz w:val="20"/>
          <w:szCs w:val="20"/>
        </w:rPr>
        <w:t>: Pro</w:t>
      </w:r>
      <w:r w:rsidR="00885DB2" w:rsidRPr="007A7FCB">
        <w:rPr>
          <w:rFonts w:cs="Arial"/>
          <w:sz w:val="20"/>
          <w:szCs w:val="20"/>
        </w:rPr>
        <w:t>met</w:t>
      </w:r>
      <w:r w:rsidR="00152F66" w:rsidRPr="007A7FCB">
        <w:rPr>
          <w:rFonts w:cs="Arial"/>
          <w:sz w:val="20"/>
          <w:szCs w:val="20"/>
        </w:rPr>
        <w:t xml:space="preserve"> snovi, ki so kandidatke za zamenjavo, v kg po letih</w:t>
      </w:r>
      <w:bookmarkEnd w:id="26"/>
    </w:p>
    <w:p w14:paraId="3B52C0AB" w14:textId="1D0E8353" w:rsidR="004512D4" w:rsidRPr="007A7FCB" w:rsidRDefault="00407D00" w:rsidP="007A7FCB">
      <w:pPr>
        <w:rPr>
          <w:b/>
          <w:bCs/>
        </w:rPr>
      </w:pPr>
      <w:r w:rsidRPr="007A7FCB">
        <w:t>Razlog za nihanje porabe je pritisk škodljivih organizmov. Večji ko</w:t>
      </w:r>
      <w:r w:rsidR="00FD404E">
        <w:t>t</w:t>
      </w:r>
      <w:r w:rsidRPr="007A7FCB">
        <w:t xml:space="preserve"> je pojav škodljivih organizmov, več teh FFS se porabi. Približno polovico </w:t>
      </w:r>
      <w:r w:rsidR="00885DB2" w:rsidRPr="007A7FCB">
        <w:t>prometa</w:t>
      </w:r>
      <w:r w:rsidRPr="007A7FCB">
        <w:t xml:space="preserve"> teh snovi predstavljajo bakreni pripravki, ki se veliko uporabljajo v ekološki pridelavi.</w:t>
      </w:r>
      <w:r w:rsidR="0031648E" w:rsidRPr="007A7FCB">
        <w:t xml:space="preserve"> </w:t>
      </w:r>
      <w:bookmarkStart w:id="27" w:name="_Hlk148349659"/>
    </w:p>
    <w:p w14:paraId="234082C6" w14:textId="251616E7" w:rsidR="00EC5867" w:rsidRPr="007A7FCB" w:rsidRDefault="00AA4AAF" w:rsidP="007A7FCB">
      <w:pPr>
        <w:pStyle w:val="Naslov3"/>
      </w:pPr>
      <w:bookmarkStart w:id="28" w:name="_Toc170816410"/>
      <w:r w:rsidRPr="007A7FCB">
        <w:t>Pro</w:t>
      </w:r>
      <w:r w:rsidR="000E576E" w:rsidRPr="007A7FCB">
        <w:t>met</w:t>
      </w:r>
      <w:r w:rsidR="00EC5867" w:rsidRPr="007A7FCB">
        <w:t xml:space="preserve"> FFS </w:t>
      </w:r>
      <w:r w:rsidR="00AC5859" w:rsidRPr="007A7FCB">
        <w:t>na podlagi mikroorganizmov</w:t>
      </w:r>
      <w:bookmarkEnd w:id="28"/>
      <w:r w:rsidR="00B665E7" w:rsidRPr="007A7FCB">
        <w:t xml:space="preserve"> </w:t>
      </w:r>
    </w:p>
    <w:p w14:paraId="2B2A9517" w14:textId="77215ED0" w:rsidR="006E1F2E" w:rsidRPr="007A7FCB" w:rsidRDefault="006E1F2E" w:rsidP="007A7FCB">
      <w:bookmarkStart w:id="29" w:name="_Hlk148443786"/>
      <w:r w:rsidRPr="007A7FCB">
        <w:t>Pro</w:t>
      </w:r>
      <w:r w:rsidR="000E576E" w:rsidRPr="007A7FCB">
        <w:t>met</w:t>
      </w:r>
      <w:r w:rsidRPr="007A7FCB">
        <w:t xml:space="preserve"> </w:t>
      </w:r>
      <w:r w:rsidR="000B6183" w:rsidRPr="007A7FCB">
        <w:t xml:space="preserve">snovi v </w:t>
      </w:r>
      <w:r w:rsidRPr="007A7FCB">
        <w:t>FFS na podlagi mikroorganizmov (</w:t>
      </w:r>
      <w:r w:rsidR="0031042F">
        <w:t xml:space="preserve">v nadaljnjem besedilu: </w:t>
      </w:r>
      <w:r w:rsidRPr="007A7FCB">
        <w:t xml:space="preserve">MO) </w:t>
      </w:r>
      <w:r w:rsidR="001F11FE" w:rsidRPr="007A7FCB">
        <w:t xml:space="preserve">stalno </w:t>
      </w:r>
      <w:r w:rsidR="000D2DEB" w:rsidRPr="007A7FCB">
        <w:t xml:space="preserve">počasi </w:t>
      </w:r>
      <w:r w:rsidRPr="007A7FCB">
        <w:t>raste</w:t>
      </w:r>
      <w:r w:rsidR="00602CBE">
        <w:t>. K</w:t>
      </w:r>
      <w:r w:rsidRPr="007A7FCB">
        <w:t xml:space="preserve">ljub temu predstavlja le manjši </w:t>
      </w:r>
      <w:r w:rsidR="009718C6" w:rsidRPr="007A7FCB">
        <w:t>delež</w:t>
      </w:r>
      <w:r w:rsidRPr="007A7FCB">
        <w:t xml:space="preserve"> celotne</w:t>
      </w:r>
      <w:r w:rsidR="000E576E" w:rsidRPr="007A7FCB">
        <w:t>ga</w:t>
      </w:r>
      <w:r w:rsidRPr="007A7FCB">
        <w:t xml:space="preserve"> pro</w:t>
      </w:r>
      <w:r w:rsidR="000E576E" w:rsidRPr="007A7FCB">
        <w:t xml:space="preserve">meta </w:t>
      </w:r>
      <w:r w:rsidRPr="007A7FCB">
        <w:t xml:space="preserve">FFS. </w:t>
      </w:r>
      <w:r w:rsidR="000D2DEB" w:rsidRPr="007A7FCB">
        <w:t>V letu 2022 je ta znašal 0,11</w:t>
      </w:r>
      <w:r w:rsidR="007A7FCB" w:rsidRPr="007A7FCB">
        <w:t xml:space="preserve"> %</w:t>
      </w:r>
      <w:r w:rsidR="000D2DEB" w:rsidRPr="007A7FCB">
        <w:t>.</w:t>
      </w:r>
    </w:p>
    <w:p w14:paraId="66BC2CA3" w14:textId="7DBC1413" w:rsidR="00BD1F2F" w:rsidRPr="007A7FCB" w:rsidRDefault="00BD1F2F" w:rsidP="007A7FCB">
      <w:r w:rsidRPr="007A7FCB">
        <w:t xml:space="preserve">Razlogi za počasno rast rabe FFS na podlagi MO so med drugim lahko visoke cene pripravkov, slabša učinkovitost od kemičnih FFS in slabe izkušnje iz preteklosti. Način delovanja teh FFS je namreč drugačen od kemičnih FFS, zato mora uporabnik FFS imeti več znanja in natančno slediti navodilom za uporabo. Vse to so razlogi za nezaupanje uporabnikov v delovanje tovrstnih FFS. </w:t>
      </w:r>
    </w:p>
    <w:p w14:paraId="584B04C5" w14:textId="43C3F6F6" w:rsidR="006E1F2E" w:rsidRPr="007A7FCB" w:rsidRDefault="00602CBE" w:rsidP="007A7FCB">
      <w:r>
        <w:t>Imetniki registracij</w:t>
      </w:r>
      <w:r w:rsidR="006C256A" w:rsidRPr="007A7FCB">
        <w:t xml:space="preserve"> oziroma distributerji FFS v Sloveniji ne širijo ponudbe FFS na podlagi MO</w:t>
      </w:r>
      <w:r>
        <w:t>,</w:t>
      </w:r>
      <w:r w:rsidR="006C256A" w:rsidRPr="007A7FCB">
        <w:t xml:space="preserve"> večinoma zaradi majhnosti trga. Uprava </w:t>
      </w:r>
      <w:r w:rsidR="009861FF" w:rsidRPr="007A7FCB">
        <w:t xml:space="preserve">jih </w:t>
      </w:r>
      <w:r w:rsidR="006C256A" w:rsidRPr="007A7FCB">
        <w:t>želi že nekaj let stimulirati za širjenje ponudbe</w:t>
      </w:r>
      <w:r w:rsidR="00FD02BF" w:rsidRPr="007A7FCB">
        <w:t>,</w:t>
      </w:r>
      <w:r w:rsidR="006C256A" w:rsidRPr="007A7FCB">
        <w:t xml:space="preserve"> tudi z oprostitvijo plačila pristojbine za </w:t>
      </w:r>
      <w:r w:rsidR="003B5374" w:rsidRPr="007A7FCB">
        <w:t>odobritev</w:t>
      </w:r>
      <w:r w:rsidR="006C256A" w:rsidRPr="007A7FCB">
        <w:t xml:space="preserve"> FFS na osnovi MO, kadar Slovenija ni država poročevalka za srednjo cono (B cona), vendar z omejenim uspehom. Zaradi majhne</w:t>
      </w:r>
      <w:r w:rsidR="00885DB2" w:rsidRPr="007A7FCB">
        <w:t>ga</w:t>
      </w:r>
      <w:r w:rsidR="006C256A" w:rsidRPr="007A7FCB">
        <w:t xml:space="preserve"> pro</w:t>
      </w:r>
      <w:r w:rsidR="00885DB2" w:rsidRPr="007A7FCB">
        <w:t>meta</w:t>
      </w:r>
      <w:r w:rsidR="006C256A" w:rsidRPr="007A7FCB">
        <w:t xml:space="preserve"> se namreč proizvajalcem ne </w:t>
      </w:r>
      <w:r w:rsidR="00FD02BF" w:rsidRPr="007A7FCB">
        <w:t>povrne</w:t>
      </w:r>
      <w:r w:rsidR="006C256A" w:rsidRPr="007A7FCB">
        <w:t xml:space="preserve"> vlaga</w:t>
      </w:r>
      <w:r w:rsidR="00FD02BF" w:rsidRPr="007A7FCB">
        <w:t xml:space="preserve">nje </w:t>
      </w:r>
      <w:r w:rsidR="006C256A" w:rsidRPr="007A7FCB">
        <w:t xml:space="preserve">v trg. </w:t>
      </w:r>
      <w:bookmarkEnd w:id="29"/>
    </w:p>
    <w:p w14:paraId="3F4EAC21" w14:textId="0EAE2ED0" w:rsidR="00BC4B30" w:rsidRPr="007A7FCB" w:rsidRDefault="003F53BA" w:rsidP="003F53BA">
      <w:pPr>
        <w:pStyle w:val="Napis"/>
        <w:rPr>
          <w:rFonts w:eastAsia="Times New Roman" w:cs="Arial"/>
          <w:sz w:val="20"/>
          <w:szCs w:val="20"/>
        </w:rPr>
      </w:pPr>
      <w:bookmarkStart w:id="30" w:name="_Toc149824894"/>
      <w:bookmarkStart w:id="31" w:name="_Toc149825603"/>
      <w:bookmarkStart w:id="32" w:name="_Toc151116352"/>
      <w:bookmarkStart w:id="33" w:name="_Toc152153147"/>
      <w:r w:rsidRPr="007A7FCB">
        <w:rPr>
          <w:rFonts w:cs="Arial"/>
          <w:sz w:val="20"/>
          <w:szCs w:val="20"/>
        </w:rPr>
        <w:t xml:space="preserve">Preglednica </w:t>
      </w:r>
      <w:r w:rsidRPr="007A7FCB">
        <w:rPr>
          <w:rFonts w:cs="Arial"/>
          <w:sz w:val="20"/>
          <w:szCs w:val="20"/>
        </w:rPr>
        <w:fldChar w:fldCharType="begin"/>
      </w:r>
      <w:r w:rsidRPr="007A7FCB">
        <w:rPr>
          <w:rFonts w:cs="Arial"/>
          <w:sz w:val="20"/>
          <w:szCs w:val="20"/>
        </w:rPr>
        <w:instrText xml:space="preserve"> SEQ Preglednica \* ARABIC </w:instrText>
      </w:r>
      <w:r w:rsidRPr="007A7FCB">
        <w:rPr>
          <w:rFonts w:cs="Arial"/>
          <w:sz w:val="20"/>
          <w:szCs w:val="20"/>
        </w:rPr>
        <w:fldChar w:fldCharType="separate"/>
      </w:r>
      <w:r w:rsidR="00DB7441">
        <w:rPr>
          <w:rFonts w:cs="Arial"/>
          <w:noProof/>
          <w:sz w:val="20"/>
          <w:szCs w:val="20"/>
        </w:rPr>
        <w:t>4</w:t>
      </w:r>
      <w:r w:rsidRPr="007A7FCB">
        <w:rPr>
          <w:rFonts w:cs="Arial"/>
          <w:sz w:val="20"/>
          <w:szCs w:val="20"/>
        </w:rPr>
        <w:fldChar w:fldCharType="end"/>
      </w:r>
      <w:r w:rsidR="006E1F2E" w:rsidRPr="007A7FCB">
        <w:rPr>
          <w:rFonts w:cs="Arial"/>
          <w:sz w:val="20"/>
          <w:szCs w:val="20"/>
        </w:rPr>
        <w:t xml:space="preserve">: </w:t>
      </w:r>
      <w:r w:rsidR="00CD5A14" w:rsidRPr="007A7FCB">
        <w:rPr>
          <w:rFonts w:cs="Arial"/>
          <w:sz w:val="20"/>
          <w:szCs w:val="20"/>
        </w:rPr>
        <w:t>P</w:t>
      </w:r>
      <w:r w:rsidR="006E1F2E" w:rsidRPr="007A7FCB">
        <w:rPr>
          <w:rFonts w:cs="Arial"/>
          <w:sz w:val="20"/>
          <w:szCs w:val="20"/>
        </w:rPr>
        <w:t>ro</w:t>
      </w:r>
      <w:r w:rsidR="000E576E" w:rsidRPr="007A7FCB">
        <w:rPr>
          <w:rFonts w:cs="Arial"/>
          <w:sz w:val="20"/>
          <w:szCs w:val="20"/>
        </w:rPr>
        <w:t>met</w:t>
      </w:r>
      <w:r w:rsidR="006E1F2E" w:rsidRPr="007A7FCB">
        <w:rPr>
          <w:rFonts w:cs="Arial"/>
          <w:sz w:val="20"/>
          <w:szCs w:val="20"/>
        </w:rPr>
        <w:t xml:space="preserve"> </w:t>
      </w:r>
      <w:r w:rsidR="000D2DEB" w:rsidRPr="007A7FCB">
        <w:rPr>
          <w:rFonts w:cs="Arial"/>
          <w:sz w:val="20"/>
          <w:szCs w:val="20"/>
        </w:rPr>
        <w:t xml:space="preserve">snovi v </w:t>
      </w:r>
      <w:r w:rsidR="006E1F2E" w:rsidRPr="007A7FCB">
        <w:rPr>
          <w:rFonts w:cs="Arial"/>
          <w:sz w:val="20"/>
          <w:szCs w:val="20"/>
        </w:rPr>
        <w:t xml:space="preserve">FFS na podlagi MO v </w:t>
      </w:r>
      <w:r w:rsidR="00A802CF" w:rsidRPr="007A7FCB">
        <w:rPr>
          <w:rFonts w:cs="Arial"/>
          <w:sz w:val="20"/>
          <w:szCs w:val="20"/>
        </w:rPr>
        <w:t>kg</w:t>
      </w:r>
      <w:r w:rsidR="006E1F2E" w:rsidRPr="007A7FCB">
        <w:rPr>
          <w:rFonts w:cs="Arial"/>
          <w:sz w:val="20"/>
          <w:szCs w:val="20"/>
        </w:rPr>
        <w:t xml:space="preserve"> aktivnih snovi</w:t>
      </w:r>
      <w:bookmarkEnd w:id="30"/>
      <w:bookmarkEnd w:id="31"/>
      <w:bookmarkEnd w:id="32"/>
      <w:bookmarkEnd w:id="33"/>
      <w:r w:rsidR="00B11E33">
        <w:rPr>
          <w:rFonts w:cs="Arial"/>
          <w:sz w:val="20"/>
          <w:szCs w:val="20"/>
        </w:rPr>
        <w:t xml:space="preserve"> (Vir: Uprava</w:t>
      </w:r>
      <w:r w:rsidR="00B11E33">
        <w:rPr>
          <w:rStyle w:val="Sprotnaopomba-sklic"/>
          <w:rFonts w:cs="Arial"/>
          <w:sz w:val="20"/>
          <w:szCs w:val="20"/>
        </w:rPr>
        <w:footnoteReference w:id="10"/>
      </w:r>
      <w:r w:rsidR="00B11E33">
        <w:rPr>
          <w:rFonts w:cs="Arial"/>
          <w:sz w:val="20"/>
          <w:szCs w:val="20"/>
        </w:rPr>
        <w:t>)</w:t>
      </w:r>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970"/>
        <w:gridCol w:w="958"/>
        <w:gridCol w:w="960"/>
        <w:gridCol w:w="960"/>
        <w:gridCol w:w="1073"/>
        <w:gridCol w:w="901"/>
        <w:gridCol w:w="924"/>
      </w:tblGrid>
      <w:tr w:rsidR="00A802CF" w:rsidRPr="007A7FCB" w14:paraId="3331EC8A" w14:textId="77777777" w:rsidTr="003B3002">
        <w:trPr>
          <w:trHeight w:val="290"/>
        </w:trPr>
        <w:tc>
          <w:tcPr>
            <w:tcW w:w="2037" w:type="pct"/>
            <w:noWrap/>
            <w:hideMark/>
          </w:tcPr>
          <w:p w14:paraId="0E51FBE9" w14:textId="77777777" w:rsidR="00A802CF" w:rsidRPr="007A7FCB" w:rsidRDefault="00A802CF" w:rsidP="007A7FCB">
            <w:pPr>
              <w:pStyle w:val="Brezrazmikov"/>
              <w:rPr>
                <w:rFonts w:eastAsia="Times New Roman"/>
              </w:rPr>
            </w:pPr>
            <w:r w:rsidRPr="007A7FCB">
              <w:rPr>
                <w:rFonts w:eastAsia="Times New Roman"/>
              </w:rPr>
              <w:t>Leto</w:t>
            </w:r>
          </w:p>
        </w:tc>
        <w:tc>
          <w:tcPr>
            <w:tcW w:w="494" w:type="pct"/>
            <w:noWrap/>
            <w:hideMark/>
          </w:tcPr>
          <w:p w14:paraId="7A39CBEB" w14:textId="77777777" w:rsidR="00A802CF" w:rsidRPr="007A7FCB" w:rsidRDefault="00A802CF" w:rsidP="007A7FCB">
            <w:pPr>
              <w:pStyle w:val="Brezrazmikov"/>
              <w:jc w:val="center"/>
              <w:rPr>
                <w:rFonts w:eastAsia="Times New Roman"/>
              </w:rPr>
            </w:pPr>
            <w:r w:rsidRPr="007A7FCB">
              <w:rPr>
                <w:rFonts w:eastAsia="Times New Roman"/>
              </w:rPr>
              <w:t>2017</w:t>
            </w:r>
          </w:p>
        </w:tc>
        <w:tc>
          <w:tcPr>
            <w:tcW w:w="494" w:type="pct"/>
            <w:noWrap/>
            <w:hideMark/>
          </w:tcPr>
          <w:p w14:paraId="1650F201" w14:textId="77777777" w:rsidR="00A802CF" w:rsidRPr="007A7FCB" w:rsidRDefault="00A802CF" w:rsidP="007A7FCB">
            <w:pPr>
              <w:pStyle w:val="Brezrazmikov"/>
              <w:jc w:val="center"/>
              <w:rPr>
                <w:rFonts w:eastAsia="Times New Roman"/>
              </w:rPr>
            </w:pPr>
            <w:r w:rsidRPr="007A7FCB">
              <w:rPr>
                <w:rFonts w:eastAsia="Times New Roman"/>
              </w:rPr>
              <w:t>2018</w:t>
            </w:r>
          </w:p>
        </w:tc>
        <w:tc>
          <w:tcPr>
            <w:tcW w:w="494" w:type="pct"/>
            <w:noWrap/>
            <w:hideMark/>
          </w:tcPr>
          <w:p w14:paraId="3A60DF1D" w14:textId="77777777" w:rsidR="00A802CF" w:rsidRPr="007A7FCB" w:rsidRDefault="00A802CF" w:rsidP="007A7FCB">
            <w:pPr>
              <w:pStyle w:val="Brezrazmikov"/>
              <w:jc w:val="center"/>
              <w:rPr>
                <w:rFonts w:eastAsia="Times New Roman"/>
              </w:rPr>
            </w:pPr>
            <w:r w:rsidRPr="007A7FCB">
              <w:rPr>
                <w:rFonts w:eastAsia="Times New Roman"/>
              </w:rPr>
              <w:t>2019</w:t>
            </w:r>
          </w:p>
        </w:tc>
        <w:tc>
          <w:tcPr>
            <w:tcW w:w="550" w:type="pct"/>
            <w:noWrap/>
            <w:hideMark/>
          </w:tcPr>
          <w:p w14:paraId="315C31B4" w14:textId="77777777" w:rsidR="00A802CF" w:rsidRPr="007A7FCB" w:rsidRDefault="00A802CF" w:rsidP="007A7FCB">
            <w:pPr>
              <w:pStyle w:val="Brezrazmikov"/>
              <w:jc w:val="center"/>
              <w:rPr>
                <w:rFonts w:eastAsia="Times New Roman"/>
              </w:rPr>
            </w:pPr>
            <w:r w:rsidRPr="007A7FCB">
              <w:rPr>
                <w:rFonts w:eastAsia="Times New Roman"/>
              </w:rPr>
              <w:t>2020</w:t>
            </w:r>
          </w:p>
        </w:tc>
        <w:tc>
          <w:tcPr>
            <w:tcW w:w="456" w:type="pct"/>
            <w:noWrap/>
            <w:hideMark/>
          </w:tcPr>
          <w:p w14:paraId="38EB9BE2" w14:textId="77777777" w:rsidR="00A802CF" w:rsidRPr="007A7FCB" w:rsidRDefault="00A802CF" w:rsidP="007A7FCB">
            <w:pPr>
              <w:pStyle w:val="Brezrazmikov"/>
              <w:jc w:val="center"/>
              <w:rPr>
                <w:rFonts w:eastAsia="Times New Roman"/>
              </w:rPr>
            </w:pPr>
            <w:r w:rsidRPr="007A7FCB">
              <w:rPr>
                <w:rFonts w:eastAsia="Times New Roman"/>
              </w:rPr>
              <w:t>2021</w:t>
            </w:r>
          </w:p>
        </w:tc>
        <w:tc>
          <w:tcPr>
            <w:tcW w:w="476" w:type="pct"/>
            <w:noWrap/>
            <w:hideMark/>
          </w:tcPr>
          <w:p w14:paraId="41C8109B" w14:textId="77777777" w:rsidR="00A802CF" w:rsidRPr="007A7FCB" w:rsidRDefault="00A802CF" w:rsidP="007A7FCB">
            <w:pPr>
              <w:pStyle w:val="Brezrazmikov"/>
              <w:jc w:val="center"/>
              <w:rPr>
                <w:rFonts w:eastAsia="Times New Roman"/>
              </w:rPr>
            </w:pPr>
            <w:r w:rsidRPr="007A7FCB">
              <w:rPr>
                <w:rFonts w:eastAsia="Times New Roman"/>
              </w:rPr>
              <w:t>2022</w:t>
            </w:r>
          </w:p>
        </w:tc>
      </w:tr>
      <w:tr w:rsidR="00A802CF" w:rsidRPr="007A7FCB" w14:paraId="4CC5D9AE" w14:textId="77777777" w:rsidTr="003B3002">
        <w:trPr>
          <w:trHeight w:val="290"/>
        </w:trPr>
        <w:tc>
          <w:tcPr>
            <w:tcW w:w="2037" w:type="pct"/>
            <w:noWrap/>
            <w:hideMark/>
          </w:tcPr>
          <w:p w14:paraId="1D4C48FF" w14:textId="67C7DCE1" w:rsidR="00A802CF" w:rsidRPr="007A7FCB" w:rsidRDefault="00A802CF" w:rsidP="007A7FCB">
            <w:pPr>
              <w:pStyle w:val="Brezrazmikov"/>
              <w:rPr>
                <w:rFonts w:eastAsia="Times New Roman"/>
              </w:rPr>
            </w:pPr>
            <w:r w:rsidRPr="007A7FCB">
              <w:rPr>
                <w:rFonts w:eastAsia="Times New Roman"/>
              </w:rPr>
              <w:t>FFS na podlagi MO</w:t>
            </w:r>
            <w:r w:rsidR="00602CBE">
              <w:rPr>
                <w:rFonts w:eastAsia="Times New Roman"/>
              </w:rPr>
              <w:t xml:space="preserve"> v kg aktivnih snovi</w:t>
            </w:r>
          </w:p>
        </w:tc>
        <w:tc>
          <w:tcPr>
            <w:tcW w:w="494" w:type="pct"/>
            <w:noWrap/>
            <w:vAlign w:val="center"/>
            <w:hideMark/>
          </w:tcPr>
          <w:p w14:paraId="12991078" w14:textId="77777777" w:rsidR="00A802CF" w:rsidRPr="007A7FCB" w:rsidRDefault="00A802CF" w:rsidP="00602CBE">
            <w:pPr>
              <w:pStyle w:val="Brezrazmikov"/>
              <w:jc w:val="center"/>
              <w:rPr>
                <w:rFonts w:eastAsia="Times New Roman"/>
              </w:rPr>
            </w:pPr>
            <w:r w:rsidRPr="007A7FCB">
              <w:rPr>
                <w:rFonts w:eastAsia="Times New Roman"/>
              </w:rPr>
              <w:t>219,93</w:t>
            </w:r>
          </w:p>
        </w:tc>
        <w:tc>
          <w:tcPr>
            <w:tcW w:w="494" w:type="pct"/>
            <w:noWrap/>
            <w:vAlign w:val="center"/>
            <w:hideMark/>
          </w:tcPr>
          <w:p w14:paraId="1519770E" w14:textId="77777777" w:rsidR="00A802CF" w:rsidRPr="007A7FCB" w:rsidRDefault="00A802CF" w:rsidP="00602CBE">
            <w:pPr>
              <w:pStyle w:val="Brezrazmikov"/>
              <w:jc w:val="center"/>
              <w:rPr>
                <w:rFonts w:eastAsia="Times New Roman"/>
              </w:rPr>
            </w:pPr>
            <w:r w:rsidRPr="007A7FCB">
              <w:rPr>
                <w:rFonts w:eastAsia="Times New Roman"/>
              </w:rPr>
              <w:t>438,48</w:t>
            </w:r>
          </w:p>
        </w:tc>
        <w:tc>
          <w:tcPr>
            <w:tcW w:w="494" w:type="pct"/>
            <w:noWrap/>
            <w:vAlign w:val="center"/>
            <w:hideMark/>
          </w:tcPr>
          <w:p w14:paraId="0CF9150D" w14:textId="77777777" w:rsidR="00A802CF" w:rsidRPr="007A7FCB" w:rsidRDefault="00A802CF" w:rsidP="00602CBE">
            <w:pPr>
              <w:pStyle w:val="Brezrazmikov"/>
              <w:jc w:val="center"/>
              <w:rPr>
                <w:rFonts w:eastAsia="Times New Roman"/>
              </w:rPr>
            </w:pPr>
            <w:r w:rsidRPr="007A7FCB">
              <w:rPr>
                <w:rFonts w:eastAsia="Times New Roman"/>
              </w:rPr>
              <w:t>586,39</w:t>
            </w:r>
          </w:p>
        </w:tc>
        <w:tc>
          <w:tcPr>
            <w:tcW w:w="550" w:type="pct"/>
            <w:noWrap/>
            <w:vAlign w:val="center"/>
            <w:hideMark/>
          </w:tcPr>
          <w:p w14:paraId="4AA959B5" w14:textId="77777777" w:rsidR="00A802CF" w:rsidRPr="007A7FCB" w:rsidRDefault="00A802CF" w:rsidP="00602CBE">
            <w:pPr>
              <w:pStyle w:val="Brezrazmikov"/>
              <w:jc w:val="center"/>
              <w:rPr>
                <w:rFonts w:eastAsia="Times New Roman"/>
              </w:rPr>
            </w:pPr>
            <w:r w:rsidRPr="007A7FCB">
              <w:rPr>
                <w:rFonts w:eastAsia="Times New Roman"/>
              </w:rPr>
              <w:t>1.028,40</w:t>
            </w:r>
          </w:p>
        </w:tc>
        <w:tc>
          <w:tcPr>
            <w:tcW w:w="456" w:type="pct"/>
            <w:noWrap/>
            <w:vAlign w:val="center"/>
            <w:hideMark/>
          </w:tcPr>
          <w:p w14:paraId="5DE34141" w14:textId="77777777" w:rsidR="00A802CF" w:rsidRPr="007A7FCB" w:rsidRDefault="00A802CF" w:rsidP="00602CBE">
            <w:pPr>
              <w:pStyle w:val="Brezrazmikov"/>
              <w:jc w:val="center"/>
              <w:rPr>
                <w:rFonts w:eastAsia="Times New Roman"/>
              </w:rPr>
            </w:pPr>
            <w:r w:rsidRPr="007A7FCB">
              <w:rPr>
                <w:rFonts w:eastAsia="Times New Roman"/>
              </w:rPr>
              <w:t>940,83</w:t>
            </w:r>
          </w:p>
        </w:tc>
        <w:tc>
          <w:tcPr>
            <w:tcW w:w="476" w:type="pct"/>
            <w:noWrap/>
            <w:vAlign w:val="center"/>
            <w:hideMark/>
          </w:tcPr>
          <w:p w14:paraId="724B45E8" w14:textId="77777777" w:rsidR="00A802CF" w:rsidRPr="007A7FCB" w:rsidRDefault="00A802CF" w:rsidP="00602CBE">
            <w:pPr>
              <w:pStyle w:val="Brezrazmikov"/>
              <w:jc w:val="center"/>
              <w:rPr>
                <w:rFonts w:eastAsia="Times New Roman"/>
              </w:rPr>
            </w:pPr>
            <w:r w:rsidRPr="007A7FCB">
              <w:rPr>
                <w:rFonts w:eastAsia="Times New Roman"/>
              </w:rPr>
              <w:t>971,58</w:t>
            </w:r>
          </w:p>
        </w:tc>
      </w:tr>
      <w:tr w:rsidR="003B3002" w:rsidRPr="007A7FCB" w14:paraId="55F7F8C2" w14:textId="77777777" w:rsidTr="003B3002">
        <w:trPr>
          <w:trHeight w:val="290"/>
        </w:trPr>
        <w:tc>
          <w:tcPr>
            <w:tcW w:w="2037" w:type="pct"/>
            <w:noWrap/>
          </w:tcPr>
          <w:p w14:paraId="1F84EC61" w14:textId="3CCD18F6" w:rsidR="003B3002" w:rsidRPr="007A7FCB" w:rsidRDefault="003B3002" w:rsidP="003B3002">
            <w:pPr>
              <w:pStyle w:val="Brezrazmikov"/>
              <w:rPr>
                <w:rFonts w:eastAsia="Times New Roman"/>
              </w:rPr>
            </w:pPr>
            <w:r>
              <w:rPr>
                <w:rFonts w:eastAsia="Times New Roman"/>
              </w:rPr>
              <w:t>Delež FFS na podlagi MO</w:t>
            </w:r>
          </w:p>
        </w:tc>
        <w:tc>
          <w:tcPr>
            <w:tcW w:w="494" w:type="pct"/>
            <w:noWrap/>
            <w:vAlign w:val="bottom"/>
          </w:tcPr>
          <w:p w14:paraId="496D1616" w14:textId="48BDDB6F" w:rsidR="003B3002" w:rsidRPr="003B3002" w:rsidRDefault="003B3002" w:rsidP="003B3002">
            <w:pPr>
              <w:pStyle w:val="Brezrazmikov"/>
              <w:jc w:val="center"/>
              <w:rPr>
                <w:rFonts w:eastAsia="Times New Roman" w:cs="Arial"/>
              </w:rPr>
            </w:pPr>
            <w:r w:rsidRPr="003B3002">
              <w:rPr>
                <w:rFonts w:cs="Arial"/>
                <w:color w:val="000000"/>
              </w:rPr>
              <w:t>0,02</w:t>
            </w:r>
            <w:r w:rsidR="001B1167">
              <w:rPr>
                <w:rFonts w:cs="Arial"/>
                <w:color w:val="000000"/>
              </w:rPr>
              <w:t xml:space="preserve"> </w:t>
            </w:r>
            <w:r w:rsidRPr="003B3002">
              <w:rPr>
                <w:rFonts w:cs="Arial"/>
                <w:color w:val="000000"/>
              </w:rPr>
              <w:t>%</w:t>
            </w:r>
          </w:p>
        </w:tc>
        <w:tc>
          <w:tcPr>
            <w:tcW w:w="494" w:type="pct"/>
            <w:noWrap/>
            <w:vAlign w:val="bottom"/>
          </w:tcPr>
          <w:p w14:paraId="78F52374" w14:textId="36980219" w:rsidR="003B3002" w:rsidRPr="003B3002" w:rsidRDefault="003B3002" w:rsidP="003B3002">
            <w:pPr>
              <w:pStyle w:val="Brezrazmikov"/>
              <w:jc w:val="center"/>
              <w:rPr>
                <w:rFonts w:eastAsia="Times New Roman" w:cs="Arial"/>
              </w:rPr>
            </w:pPr>
            <w:r w:rsidRPr="003B3002">
              <w:rPr>
                <w:rFonts w:cs="Arial"/>
                <w:color w:val="000000"/>
              </w:rPr>
              <w:t>0,04</w:t>
            </w:r>
            <w:r w:rsidR="001B1167">
              <w:rPr>
                <w:rFonts w:cs="Arial"/>
                <w:color w:val="000000"/>
              </w:rPr>
              <w:t xml:space="preserve"> </w:t>
            </w:r>
            <w:r w:rsidRPr="003B3002">
              <w:rPr>
                <w:rFonts w:cs="Arial"/>
                <w:color w:val="000000"/>
              </w:rPr>
              <w:t>%</w:t>
            </w:r>
          </w:p>
        </w:tc>
        <w:tc>
          <w:tcPr>
            <w:tcW w:w="494" w:type="pct"/>
            <w:noWrap/>
            <w:vAlign w:val="bottom"/>
          </w:tcPr>
          <w:p w14:paraId="6F5E14B2" w14:textId="00954B95" w:rsidR="003B3002" w:rsidRPr="003B3002" w:rsidRDefault="003B3002" w:rsidP="003B3002">
            <w:pPr>
              <w:pStyle w:val="Brezrazmikov"/>
              <w:jc w:val="center"/>
              <w:rPr>
                <w:rFonts w:eastAsia="Times New Roman" w:cs="Arial"/>
              </w:rPr>
            </w:pPr>
            <w:r w:rsidRPr="003B3002">
              <w:rPr>
                <w:rFonts w:cs="Arial"/>
                <w:color w:val="000000"/>
              </w:rPr>
              <w:t>0,06</w:t>
            </w:r>
            <w:r w:rsidR="001B1167">
              <w:rPr>
                <w:rFonts w:cs="Arial"/>
                <w:color w:val="000000"/>
              </w:rPr>
              <w:t xml:space="preserve"> </w:t>
            </w:r>
            <w:r w:rsidRPr="003B3002">
              <w:rPr>
                <w:rFonts w:cs="Arial"/>
                <w:color w:val="000000"/>
              </w:rPr>
              <w:t>%</w:t>
            </w:r>
          </w:p>
        </w:tc>
        <w:tc>
          <w:tcPr>
            <w:tcW w:w="550" w:type="pct"/>
            <w:noWrap/>
            <w:vAlign w:val="bottom"/>
          </w:tcPr>
          <w:p w14:paraId="074CDEBD" w14:textId="7A814614" w:rsidR="003B3002" w:rsidRPr="003B3002" w:rsidRDefault="003B3002" w:rsidP="003B3002">
            <w:pPr>
              <w:pStyle w:val="Brezrazmikov"/>
              <w:jc w:val="center"/>
              <w:rPr>
                <w:rFonts w:eastAsia="Times New Roman" w:cs="Arial"/>
              </w:rPr>
            </w:pPr>
            <w:r w:rsidRPr="003B3002">
              <w:rPr>
                <w:rFonts w:cs="Arial"/>
                <w:color w:val="000000"/>
              </w:rPr>
              <w:t>0,10</w:t>
            </w:r>
            <w:r w:rsidR="001B1167">
              <w:rPr>
                <w:rFonts w:cs="Arial"/>
                <w:color w:val="000000"/>
              </w:rPr>
              <w:t xml:space="preserve"> </w:t>
            </w:r>
            <w:r w:rsidRPr="003B3002">
              <w:rPr>
                <w:rFonts w:cs="Arial"/>
                <w:color w:val="000000"/>
              </w:rPr>
              <w:t>%</w:t>
            </w:r>
          </w:p>
        </w:tc>
        <w:tc>
          <w:tcPr>
            <w:tcW w:w="456" w:type="pct"/>
            <w:noWrap/>
            <w:vAlign w:val="bottom"/>
          </w:tcPr>
          <w:p w14:paraId="2B09A5B2" w14:textId="4C6A5AE3" w:rsidR="003B3002" w:rsidRPr="003B3002" w:rsidRDefault="003B3002" w:rsidP="003B3002">
            <w:pPr>
              <w:pStyle w:val="Brezrazmikov"/>
              <w:jc w:val="center"/>
              <w:rPr>
                <w:rFonts w:eastAsia="Times New Roman" w:cs="Arial"/>
              </w:rPr>
            </w:pPr>
            <w:r w:rsidRPr="003B3002">
              <w:rPr>
                <w:rFonts w:cs="Arial"/>
                <w:color w:val="000000"/>
              </w:rPr>
              <w:t>0,10</w:t>
            </w:r>
            <w:r w:rsidR="001B1167">
              <w:rPr>
                <w:rFonts w:cs="Arial"/>
                <w:color w:val="000000"/>
              </w:rPr>
              <w:t xml:space="preserve"> </w:t>
            </w:r>
            <w:r w:rsidRPr="003B3002">
              <w:rPr>
                <w:rFonts w:cs="Arial"/>
                <w:color w:val="000000"/>
              </w:rPr>
              <w:t>%</w:t>
            </w:r>
          </w:p>
        </w:tc>
        <w:tc>
          <w:tcPr>
            <w:tcW w:w="476" w:type="pct"/>
            <w:noWrap/>
            <w:vAlign w:val="bottom"/>
          </w:tcPr>
          <w:p w14:paraId="2C265783" w14:textId="272D91F4" w:rsidR="003B3002" w:rsidRPr="003B3002" w:rsidRDefault="003B3002" w:rsidP="003B3002">
            <w:pPr>
              <w:pStyle w:val="Brezrazmikov"/>
              <w:jc w:val="center"/>
              <w:rPr>
                <w:rFonts w:eastAsia="Times New Roman" w:cs="Arial"/>
              </w:rPr>
            </w:pPr>
            <w:r w:rsidRPr="003B3002">
              <w:rPr>
                <w:rFonts w:cs="Arial"/>
                <w:color w:val="000000"/>
              </w:rPr>
              <w:t>0,11</w:t>
            </w:r>
            <w:r w:rsidR="001B1167">
              <w:rPr>
                <w:rFonts w:cs="Arial"/>
                <w:color w:val="000000"/>
              </w:rPr>
              <w:t xml:space="preserve"> </w:t>
            </w:r>
            <w:r w:rsidRPr="003B3002">
              <w:rPr>
                <w:rFonts w:cs="Arial"/>
                <w:color w:val="000000"/>
              </w:rPr>
              <w:t>%</w:t>
            </w:r>
          </w:p>
        </w:tc>
      </w:tr>
    </w:tbl>
    <w:p w14:paraId="2FFCBEEB" w14:textId="77777777" w:rsidR="00BC4B30" w:rsidRPr="007A7FCB" w:rsidRDefault="00BC4B30" w:rsidP="00B7219E">
      <w:pPr>
        <w:spacing w:before="80" w:after="80" w:line="220" w:lineRule="atLeast"/>
        <w:rPr>
          <w:rFonts w:eastAsia="Times New Roman" w:cs="Arial"/>
        </w:rPr>
      </w:pPr>
    </w:p>
    <w:p w14:paraId="043DD5FF" w14:textId="53079D20" w:rsidR="006D681A" w:rsidRPr="007A7FCB" w:rsidRDefault="00881A90" w:rsidP="00881A90">
      <w:pPr>
        <w:spacing w:before="80" w:after="80" w:line="220" w:lineRule="atLeast"/>
        <w:jc w:val="center"/>
        <w:rPr>
          <w:rFonts w:eastAsia="Times New Roman" w:cs="Arial"/>
        </w:rPr>
      </w:pPr>
      <w:r w:rsidRPr="007A7FCB">
        <w:rPr>
          <w:rFonts w:cs="Arial"/>
          <w:noProof/>
        </w:rPr>
        <w:lastRenderedPageBreak/>
        <w:drawing>
          <wp:inline distT="0" distB="0" distL="0" distR="0" wp14:anchorId="6623A5C5" wp14:editId="49942D70">
            <wp:extent cx="4680000" cy="2520000"/>
            <wp:effectExtent l="0" t="0" r="6350" b="13970"/>
            <wp:docPr id="20" name="Grafikon 20">
              <a:extLst xmlns:a="http://schemas.openxmlformats.org/drawingml/2006/main">
                <a:ext uri="{FF2B5EF4-FFF2-40B4-BE49-F238E27FC236}">
                  <a16:creationId xmlns:a16="http://schemas.microsoft.com/office/drawing/2014/main" id="{E9D08C86-DEF0-AEF9-1892-005623057F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5FD328" w14:textId="36C6CEFF" w:rsidR="002D6BF5" w:rsidRPr="007A7FCB" w:rsidRDefault="005F009C" w:rsidP="007A7FCB">
      <w:pPr>
        <w:pStyle w:val="Napis"/>
        <w:jc w:val="center"/>
        <w:rPr>
          <w:rFonts w:eastAsia="Times New Roman" w:cs="Arial"/>
          <w:sz w:val="20"/>
          <w:szCs w:val="20"/>
        </w:rPr>
      </w:pPr>
      <w:bookmarkStart w:id="34" w:name="_Toc151554962"/>
      <w:r w:rsidRPr="007A7FCB">
        <w:rPr>
          <w:rFonts w:cs="Arial"/>
          <w:sz w:val="20"/>
          <w:szCs w:val="20"/>
        </w:rPr>
        <w:t xml:space="preserve">Slika </w:t>
      </w:r>
      <w:r w:rsidRPr="007A7FCB">
        <w:rPr>
          <w:rFonts w:cs="Arial"/>
          <w:sz w:val="20"/>
          <w:szCs w:val="20"/>
        </w:rPr>
        <w:fldChar w:fldCharType="begin"/>
      </w:r>
      <w:r w:rsidRPr="007A7FCB">
        <w:rPr>
          <w:rFonts w:cs="Arial"/>
          <w:sz w:val="20"/>
          <w:szCs w:val="20"/>
        </w:rPr>
        <w:instrText xml:space="preserve"> SEQ Slika \* ARABIC </w:instrText>
      </w:r>
      <w:r w:rsidRPr="007A7FCB">
        <w:rPr>
          <w:rFonts w:cs="Arial"/>
          <w:sz w:val="20"/>
          <w:szCs w:val="20"/>
        </w:rPr>
        <w:fldChar w:fldCharType="separate"/>
      </w:r>
      <w:r w:rsidR="00D24AE7">
        <w:rPr>
          <w:rFonts w:cs="Arial"/>
          <w:noProof/>
          <w:sz w:val="20"/>
          <w:szCs w:val="20"/>
        </w:rPr>
        <w:t>4</w:t>
      </w:r>
      <w:r w:rsidRPr="007A7FCB">
        <w:rPr>
          <w:rFonts w:cs="Arial"/>
          <w:sz w:val="20"/>
          <w:szCs w:val="20"/>
        </w:rPr>
        <w:fldChar w:fldCharType="end"/>
      </w:r>
      <w:r w:rsidR="000D2DEB" w:rsidRPr="007A7FCB">
        <w:rPr>
          <w:rFonts w:cs="Arial"/>
          <w:sz w:val="20"/>
          <w:szCs w:val="20"/>
        </w:rPr>
        <w:t>: Pro</w:t>
      </w:r>
      <w:r w:rsidR="00885DB2" w:rsidRPr="007A7FCB">
        <w:rPr>
          <w:rFonts w:cs="Arial"/>
          <w:sz w:val="20"/>
          <w:szCs w:val="20"/>
        </w:rPr>
        <w:t>met</w:t>
      </w:r>
      <w:r w:rsidR="000D2DEB" w:rsidRPr="007A7FCB">
        <w:rPr>
          <w:rFonts w:cs="Arial"/>
          <w:sz w:val="20"/>
          <w:szCs w:val="20"/>
        </w:rPr>
        <w:t xml:space="preserve"> snovi v FFS na podlagi </w:t>
      </w:r>
      <w:r w:rsidR="001B1AEF" w:rsidRPr="007A7FCB">
        <w:rPr>
          <w:rFonts w:cs="Arial"/>
          <w:sz w:val="20"/>
          <w:szCs w:val="20"/>
        </w:rPr>
        <w:t>m</w:t>
      </w:r>
      <w:r w:rsidR="000D2DEB" w:rsidRPr="007A7FCB">
        <w:rPr>
          <w:rFonts w:cs="Arial"/>
          <w:sz w:val="20"/>
          <w:szCs w:val="20"/>
        </w:rPr>
        <w:t>ikroorganizmov (MO)</w:t>
      </w:r>
      <w:bookmarkEnd w:id="34"/>
    </w:p>
    <w:p w14:paraId="60006EF8" w14:textId="1A3249C1" w:rsidR="00A607DB" w:rsidRPr="00602CBE" w:rsidRDefault="003833C2" w:rsidP="00602CBE">
      <w:pPr>
        <w:pStyle w:val="Naslov3"/>
      </w:pPr>
      <w:bookmarkStart w:id="35" w:name="_Toc170816411"/>
      <w:r w:rsidRPr="00602CBE">
        <w:t>Omejitev dostopnosti FFS za poklicno uporabo nep</w:t>
      </w:r>
      <w:r w:rsidR="000E576E" w:rsidRPr="00602CBE">
        <w:t>oklicnim</w:t>
      </w:r>
      <w:r w:rsidRPr="00602CBE">
        <w:t xml:space="preserve"> uporabnikom</w:t>
      </w:r>
      <w:bookmarkEnd w:id="35"/>
    </w:p>
    <w:p w14:paraId="1FEFFB78" w14:textId="2E34DC6A" w:rsidR="00211C05" w:rsidRDefault="003833C2" w:rsidP="00602CBE">
      <w:r>
        <w:t xml:space="preserve">Dostopnost FFS nepoklicnim uporabnikom se omejuje </w:t>
      </w:r>
      <w:r w:rsidR="00885DB2">
        <w:t>s predpisom</w:t>
      </w:r>
      <w:r w:rsidR="00211C05">
        <w:t xml:space="preserve">, ki določa kriterije za opredelitev FFS kot FFS za nepoklicno rabo. </w:t>
      </w:r>
    </w:p>
    <w:p w14:paraId="0823A7A1" w14:textId="0556AFD0" w:rsidR="00211C05" w:rsidRDefault="00211C05" w:rsidP="00602CBE">
      <w:r>
        <w:t xml:space="preserve">Ob registraciji FFS se z odločbo v upravnem postopku </w:t>
      </w:r>
      <w:r w:rsidR="00A61D70">
        <w:t xml:space="preserve">na podlagi </w:t>
      </w:r>
      <w:r w:rsidR="00885DB2">
        <w:t>predpisanih</w:t>
      </w:r>
      <w:r w:rsidR="00416BA1">
        <w:t xml:space="preserve"> </w:t>
      </w:r>
      <w:r w:rsidR="00A61D70">
        <w:t>kriterijev</w:t>
      </w:r>
      <w:r w:rsidR="00416BA1">
        <w:t xml:space="preserve"> </w:t>
      </w:r>
      <w:r>
        <w:t>določi, ali se FFS prodaja za poklicno ali nepoklicno rabo in na podlagi te odločitve Uprava izdela seznam FFS za nepoklicno rabo</w:t>
      </w:r>
      <w:r w:rsidR="006C582D">
        <w:t>, ki ga objavi na spletu.</w:t>
      </w:r>
    </w:p>
    <w:p w14:paraId="7E294561" w14:textId="74653CD6" w:rsidR="005567BB" w:rsidRDefault="002233FA" w:rsidP="00602CBE">
      <w:r>
        <w:t>Promet</w:t>
      </w:r>
      <w:r w:rsidR="003833C2">
        <w:t xml:space="preserve"> FFS </w:t>
      </w:r>
      <w:r w:rsidR="00211C05">
        <w:t xml:space="preserve">za poklicno rabo </w:t>
      </w:r>
      <w:r w:rsidR="003833C2">
        <w:t>se vrši le</w:t>
      </w:r>
      <w:r w:rsidR="000E576E">
        <w:t xml:space="preserve"> v specializiranih prodajalnah s FFS in jih lahko kupijo le</w:t>
      </w:r>
      <w:r w:rsidR="003833C2">
        <w:t xml:space="preserve"> kupc</w:t>
      </w:r>
      <w:r w:rsidR="000E576E">
        <w:t>i</w:t>
      </w:r>
      <w:r w:rsidR="003833C2">
        <w:t xml:space="preserve">, ki ob nakupu predložijo veljavno izkaznico o usposabljanju </w:t>
      </w:r>
      <w:r w:rsidR="00211C05">
        <w:t xml:space="preserve">za ravnanje s FFS, medtem </w:t>
      </w:r>
      <w:r w:rsidR="000E576E" w:rsidRPr="000E576E">
        <w:t>se promet s FFS za nepoklicno rabo lahko opravlja tudi v drugih prodajalnah z neživilskim blagom in za nakup teh sredstev kupcu ni treba predložiti veljavne izkaznice</w:t>
      </w:r>
      <w:r>
        <w:t>.</w:t>
      </w:r>
    </w:p>
    <w:p w14:paraId="7B0B2BC1" w14:textId="1C90D607" w:rsidR="005567BB" w:rsidRPr="00123E94" w:rsidRDefault="005567BB" w:rsidP="00123E94">
      <w:pPr>
        <w:pStyle w:val="Naslov3"/>
      </w:pPr>
      <w:bookmarkStart w:id="36" w:name="_Toc170816412"/>
      <w:bookmarkStart w:id="37" w:name="_Hlk148691616"/>
      <w:r w:rsidRPr="00602CBE">
        <w:t xml:space="preserve">Ocena količine </w:t>
      </w:r>
      <w:r w:rsidR="002233FA" w:rsidRPr="00602CBE">
        <w:t>nedovoljenih</w:t>
      </w:r>
      <w:r w:rsidRPr="00602CBE">
        <w:t xml:space="preserve"> FFS v prometu</w:t>
      </w:r>
      <w:bookmarkEnd w:id="36"/>
    </w:p>
    <w:p w14:paraId="769A77C2" w14:textId="0B55B536" w:rsidR="005567BB" w:rsidRDefault="005567BB" w:rsidP="00602CBE">
      <w:r>
        <w:t>Žal se v prometu pojavljajo tudi ponarejena</w:t>
      </w:r>
      <w:r w:rsidR="007757F0">
        <w:t xml:space="preserve"> in </w:t>
      </w:r>
      <w:r w:rsidR="002233FA">
        <w:t>nedovoljena</w:t>
      </w:r>
      <w:r>
        <w:t xml:space="preserve"> FFS</w:t>
      </w:r>
      <w:r w:rsidR="003E7211">
        <w:t xml:space="preserve">, ki se prodajajo po precej nižji ceni kot uradno </w:t>
      </w:r>
      <w:r w:rsidR="002233FA">
        <w:t>registrirana</w:t>
      </w:r>
      <w:r w:rsidR="003E7211">
        <w:t xml:space="preserve"> FFS.</w:t>
      </w:r>
      <w:r>
        <w:t xml:space="preserve"> To so ponaredki, ki jih </w:t>
      </w:r>
      <w:r w:rsidR="00602CBE">
        <w:t>EK</w:t>
      </w:r>
      <w:r>
        <w:t xml:space="preserve"> in države članice obravnavajo kot kriminal. Dani so na trg zgolj zaradi visokih zaslužkov, njihova sestava, učinkovitost ter vpliv na zdravje in okolje pa ne ustrezajo zakonsko zahtevanim standardom. So večinoma škodljiv</w:t>
      </w:r>
      <w:r w:rsidR="003E7211">
        <w:t>i</w:t>
      </w:r>
      <w:r>
        <w:t xml:space="preserve"> ali pa povsem neučinkovit</w:t>
      </w:r>
      <w:r w:rsidR="003E7211">
        <w:t>i</w:t>
      </w:r>
      <w:r>
        <w:t xml:space="preserve">. </w:t>
      </w:r>
    </w:p>
    <w:p w14:paraId="1EF13601" w14:textId="5CF93FED" w:rsidR="005567BB" w:rsidRDefault="005567BB" w:rsidP="00602CBE">
      <w:r>
        <w:t xml:space="preserve">V nadzoru nad prometom FFS v notranjosti države je inšpekcija Uprave zasegla manjše količine </w:t>
      </w:r>
      <w:r w:rsidR="002233FA">
        <w:t>nedovoljenih</w:t>
      </w:r>
      <w:r>
        <w:t xml:space="preserve"> FFS. Količine so ocenjene, saj so bile nekatere embalaže odprte in ne polne do vrha. </w:t>
      </w:r>
    </w:p>
    <w:p w14:paraId="08F57398" w14:textId="3CF887C1" w:rsidR="005567BB" w:rsidRDefault="005567BB" w:rsidP="00602CBE">
      <w:r w:rsidRPr="00C76E3B">
        <w:t xml:space="preserve">V letu 2020 </w:t>
      </w:r>
      <w:r>
        <w:t xml:space="preserve">je bilo zaseženih </w:t>
      </w:r>
      <w:r w:rsidRPr="00C76E3B">
        <w:t>2 kg</w:t>
      </w:r>
      <w:r>
        <w:t xml:space="preserve"> </w:t>
      </w:r>
      <w:r w:rsidR="002233FA">
        <w:t>nedovoljenih</w:t>
      </w:r>
      <w:r>
        <w:t xml:space="preserve"> FFS</w:t>
      </w:r>
      <w:r w:rsidR="003B5374">
        <w:t xml:space="preserve"> v prometu</w:t>
      </w:r>
      <w:r>
        <w:t xml:space="preserve">, </w:t>
      </w:r>
      <w:r w:rsidRPr="00C76E3B">
        <w:t>15 kg</w:t>
      </w:r>
      <w:r>
        <w:t xml:space="preserve"> v</w:t>
      </w:r>
      <w:r w:rsidRPr="00C76E3B">
        <w:t xml:space="preserve"> letu 2021</w:t>
      </w:r>
      <w:r w:rsidR="003B5374">
        <w:t xml:space="preserve"> pri uporabniku FFS </w:t>
      </w:r>
      <w:r>
        <w:t xml:space="preserve">in </w:t>
      </w:r>
      <w:r w:rsidRPr="00C76E3B">
        <w:t>32 kg</w:t>
      </w:r>
      <w:r>
        <w:t xml:space="preserve"> v</w:t>
      </w:r>
      <w:r w:rsidRPr="000352E1">
        <w:t xml:space="preserve"> </w:t>
      </w:r>
      <w:r w:rsidRPr="00C76E3B">
        <w:t>letu 2022</w:t>
      </w:r>
      <w:r w:rsidR="003B5374">
        <w:t xml:space="preserve"> </w:t>
      </w:r>
      <w:r w:rsidR="007757F0">
        <w:t>pri zasebniku (</w:t>
      </w:r>
      <w:r w:rsidR="003B5374">
        <w:t>trgovin</w:t>
      </w:r>
      <w:r w:rsidR="007757F0">
        <w:t>a</w:t>
      </w:r>
      <w:r w:rsidR="003B5374">
        <w:t xml:space="preserve"> na črno</w:t>
      </w:r>
      <w:r w:rsidR="007757F0">
        <w:t>)</w:t>
      </w:r>
      <w:r w:rsidR="003B5374">
        <w:t xml:space="preserve">. Vsa zasežena FFS so bila dana na uničenje. </w:t>
      </w:r>
      <w:bookmarkEnd w:id="37"/>
    </w:p>
    <w:p w14:paraId="191BCFA6" w14:textId="0C88E1F0" w:rsidR="00043B49" w:rsidRPr="00602CBE" w:rsidRDefault="0036307E" w:rsidP="00602CBE">
      <w:pPr>
        <w:pStyle w:val="Naslov3"/>
      </w:pPr>
      <w:bookmarkStart w:id="38" w:name="_Toc170816413"/>
      <w:bookmarkStart w:id="39" w:name="_Ref530650001"/>
      <w:bookmarkStart w:id="40" w:name="_Toc146287368"/>
      <w:r w:rsidRPr="00602CBE">
        <w:t xml:space="preserve">Delež vzorcev </w:t>
      </w:r>
      <w:r w:rsidR="00602CBE" w:rsidRPr="00602CBE">
        <w:t>kmetijskih pridelkov in živil</w:t>
      </w:r>
      <w:r w:rsidRPr="00602CBE">
        <w:t xml:space="preserve"> s preseženimi ostanki pesticidov</w:t>
      </w:r>
      <w:bookmarkEnd w:id="38"/>
      <w:r w:rsidRPr="00602CBE">
        <w:t xml:space="preserve"> </w:t>
      </w:r>
      <w:bookmarkEnd w:id="39"/>
      <w:bookmarkEnd w:id="40"/>
    </w:p>
    <w:p w14:paraId="5AF9D9BC" w14:textId="420F209C" w:rsidR="00043B49" w:rsidRPr="00043B49" w:rsidRDefault="00043B49" w:rsidP="00602CBE">
      <w:r w:rsidRPr="00043B49">
        <w:t xml:space="preserve">Ostanki pesticidov so v EU urejeni z Uredbo (ES) 396/2005 o mejnih vrednostih ostankov pesticidov v ali na </w:t>
      </w:r>
      <w:r w:rsidR="0095573F">
        <w:t>kmetijskih pridelkih, živilih</w:t>
      </w:r>
      <w:r w:rsidRPr="00043B49">
        <w:t xml:space="preserve"> in krmi rastlinskega in živalskega izvora. </w:t>
      </w:r>
    </w:p>
    <w:p w14:paraId="3E22F79C" w14:textId="3EAF72DD" w:rsidR="00043B49" w:rsidRPr="00043B49" w:rsidRDefault="00043B49" w:rsidP="00602CBE">
      <w:r w:rsidRPr="00043B49">
        <w:t xml:space="preserve">Slovenija izvaja nadzor nad ostanki pesticidov na podlagi večletnega nacionalnega nadzornega programa, ki je usklajen z večletnim nadzornim programom </w:t>
      </w:r>
      <w:r w:rsidR="0095573F">
        <w:t>EU</w:t>
      </w:r>
      <w:r w:rsidRPr="00043B49">
        <w:t xml:space="preserve">. Vzorčijo se </w:t>
      </w:r>
      <w:r w:rsidR="0095573F">
        <w:t>kmetijski pridelki in živila</w:t>
      </w:r>
      <w:r w:rsidRPr="00043B49">
        <w:t xml:space="preserve"> rastlinskega in živalskega izvora. </w:t>
      </w:r>
    </w:p>
    <w:p w14:paraId="27CD4375" w14:textId="50A50E29" w:rsidR="00043B49" w:rsidRPr="00043B49" w:rsidRDefault="00043B49" w:rsidP="00602CBE">
      <w:r w:rsidRPr="00043B49">
        <w:lastRenderedPageBreak/>
        <w:t xml:space="preserve">V </w:t>
      </w:r>
      <w:r w:rsidR="00B227C3">
        <w:t>P</w:t>
      </w:r>
      <w:r w:rsidRPr="00043B49">
        <w:t xml:space="preserve">reglednici </w:t>
      </w:r>
      <w:r w:rsidR="00B227C3">
        <w:t xml:space="preserve">5 </w:t>
      </w:r>
      <w:r w:rsidRPr="00043B49">
        <w:t xml:space="preserve">je navedeno število odvzetih vzorcev in </w:t>
      </w:r>
      <w:r w:rsidR="00B227C3">
        <w:t>delež</w:t>
      </w:r>
      <w:r w:rsidRPr="00043B49">
        <w:t xml:space="preserve"> neskladnih vzorcev</w:t>
      </w:r>
      <w:r w:rsidR="004C2AA4" w:rsidRPr="004C2AA4">
        <w:t xml:space="preserve"> </w:t>
      </w:r>
      <w:r w:rsidR="004C2AA4" w:rsidRPr="00043B49">
        <w:t>po letih</w:t>
      </w:r>
      <w:r w:rsidRPr="00043B49">
        <w:t xml:space="preserve">. Odvzeti vzorci so bili slovenskega izvora, EU izvora in izvora </w:t>
      </w:r>
      <w:r w:rsidR="008C21BD">
        <w:t xml:space="preserve">iz </w:t>
      </w:r>
      <w:r w:rsidRPr="00043B49">
        <w:t>držav izven EU.</w:t>
      </w:r>
    </w:p>
    <w:p w14:paraId="399DA0CF" w14:textId="319B20A0" w:rsidR="00043B49" w:rsidRPr="00602CBE" w:rsidRDefault="00DC3204" w:rsidP="00DC3204">
      <w:pPr>
        <w:pStyle w:val="Napis"/>
        <w:rPr>
          <w:rFonts w:cs="Arial"/>
          <w:i w:val="0"/>
          <w:iCs w:val="0"/>
          <w:sz w:val="20"/>
          <w:szCs w:val="20"/>
        </w:rPr>
      </w:pPr>
      <w:bookmarkStart w:id="41" w:name="_Toc149824895"/>
      <w:bookmarkStart w:id="42" w:name="_Toc149825604"/>
      <w:bookmarkStart w:id="43" w:name="_Toc151116353"/>
      <w:bookmarkStart w:id="44" w:name="_Toc152153148"/>
      <w:r w:rsidRPr="00602CBE">
        <w:rPr>
          <w:rFonts w:cs="Arial"/>
          <w:sz w:val="20"/>
          <w:szCs w:val="20"/>
        </w:rPr>
        <w:t xml:space="preserve">Preglednica </w:t>
      </w:r>
      <w:r w:rsidRPr="00602CBE">
        <w:rPr>
          <w:rFonts w:cs="Arial"/>
          <w:sz w:val="20"/>
          <w:szCs w:val="20"/>
        </w:rPr>
        <w:fldChar w:fldCharType="begin"/>
      </w:r>
      <w:r w:rsidRPr="00602CBE">
        <w:rPr>
          <w:rFonts w:cs="Arial"/>
          <w:sz w:val="20"/>
          <w:szCs w:val="20"/>
        </w:rPr>
        <w:instrText xml:space="preserve"> SEQ Preglednica \* ARABIC </w:instrText>
      </w:r>
      <w:r w:rsidRPr="00602CBE">
        <w:rPr>
          <w:rFonts w:cs="Arial"/>
          <w:sz w:val="20"/>
          <w:szCs w:val="20"/>
        </w:rPr>
        <w:fldChar w:fldCharType="separate"/>
      </w:r>
      <w:r w:rsidR="00DB7441">
        <w:rPr>
          <w:rFonts w:cs="Arial"/>
          <w:noProof/>
          <w:sz w:val="20"/>
          <w:szCs w:val="20"/>
        </w:rPr>
        <w:t>5</w:t>
      </w:r>
      <w:r w:rsidRPr="00602CBE">
        <w:rPr>
          <w:rFonts w:cs="Arial"/>
          <w:sz w:val="20"/>
          <w:szCs w:val="20"/>
        </w:rPr>
        <w:fldChar w:fldCharType="end"/>
      </w:r>
      <w:r w:rsidR="00043B49" w:rsidRPr="00602CBE">
        <w:rPr>
          <w:rFonts w:cs="Arial"/>
          <w:sz w:val="20"/>
          <w:szCs w:val="20"/>
        </w:rPr>
        <w:t xml:space="preserve">: Število vzetih vzorcev v nacionalnem programu in </w:t>
      </w:r>
      <w:r w:rsidR="00B227C3">
        <w:rPr>
          <w:rFonts w:cs="Arial"/>
          <w:sz w:val="20"/>
          <w:szCs w:val="20"/>
        </w:rPr>
        <w:t>delež</w:t>
      </w:r>
      <w:r w:rsidR="00043B49" w:rsidRPr="00602CBE">
        <w:rPr>
          <w:rFonts w:cs="Arial"/>
          <w:sz w:val="20"/>
          <w:szCs w:val="20"/>
        </w:rPr>
        <w:t xml:space="preserve"> neskladnih vzorcev</w:t>
      </w:r>
      <w:bookmarkEnd w:id="41"/>
      <w:bookmarkEnd w:id="42"/>
      <w:bookmarkEnd w:id="43"/>
      <w:bookmarkEnd w:id="44"/>
      <w:r w:rsidR="00B11E33">
        <w:rPr>
          <w:rFonts w:cs="Arial"/>
          <w:sz w:val="20"/>
          <w:szCs w:val="20"/>
        </w:rPr>
        <w:t xml:space="preserve"> (Vir: Uprava</w:t>
      </w:r>
      <w:r w:rsidR="00B11E33">
        <w:rPr>
          <w:rStyle w:val="Sprotnaopomba-sklic"/>
          <w:rFonts w:cs="Arial"/>
          <w:sz w:val="20"/>
          <w:szCs w:val="20"/>
        </w:rPr>
        <w:footnoteReference w:id="11"/>
      </w:r>
      <w:r w:rsidR="00B11E33">
        <w:rPr>
          <w:rFonts w:cs="Arial"/>
          <w:sz w:val="20"/>
          <w:szCs w:val="20"/>
        </w:rPr>
        <w:t>)</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751"/>
        <w:gridCol w:w="1199"/>
        <w:gridCol w:w="1199"/>
        <w:gridCol w:w="1199"/>
        <w:gridCol w:w="1199"/>
        <w:gridCol w:w="1199"/>
      </w:tblGrid>
      <w:tr w:rsidR="00043B49" w:rsidRPr="00043B49" w14:paraId="0B3788BD" w14:textId="77777777" w:rsidTr="00436CD8">
        <w:trPr>
          <w:trHeight w:val="305"/>
        </w:trPr>
        <w:tc>
          <w:tcPr>
            <w:tcW w:w="1923" w:type="pct"/>
            <w:shd w:val="clear" w:color="auto" w:fill="auto"/>
            <w:noWrap/>
            <w:vAlign w:val="bottom"/>
            <w:hideMark/>
          </w:tcPr>
          <w:p w14:paraId="6F2EE855" w14:textId="77777777" w:rsidR="00043B49" w:rsidRPr="00043B49" w:rsidRDefault="00043B49" w:rsidP="00043B49">
            <w:pPr>
              <w:spacing w:after="0" w:line="240" w:lineRule="auto"/>
              <w:rPr>
                <w:rFonts w:eastAsia="Times New Roman" w:cs="Arial"/>
                <w:color w:val="000000"/>
              </w:rPr>
            </w:pPr>
            <w:r w:rsidRPr="00043B49">
              <w:rPr>
                <w:rFonts w:eastAsia="Times New Roman" w:cs="Arial"/>
                <w:color w:val="000000"/>
              </w:rPr>
              <w:t>Leto</w:t>
            </w:r>
          </w:p>
        </w:tc>
        <w:tc>
          <w:tcPr>
            <w:tcW w:w="615" w:type="pct"/>
            <w:shd w:val="clear" w:color="auto" w:fill="auto"/>
            <w:noWrap/>
            <w:vAlign w:val="bottom"/>
            <w:hideMark/>
          </w:tcPr>
          <w:p w14:paraId="7593FB7D"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2018</w:t>
            </w:r>
          </w:p>
        </w:tc>
        <w:tc>
          <w:tcPr>
            <w:tcW w:w="615" w:type="pct"/>
            <w:shd w:val="clear" w:color="auto" w:fill="auto"/>
            <w:noWrap/>
            <w:vAlign w:val="bottom"/>
            <w:hideMark/>
          </w:tcPr>
          <w:p w14:paraId="4923D8EE"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2019</w:t>
            </w:r>
          </w:p>
        </w:tc>
        <w:tc>
          <w:tcPr>
            <w:tcW w:w="615" w:type="pct"/>
            <w:shd w:val="clear" w:color="auto" w:fill="auto"/>
            <w:noWrap/>
            <w:vAlign w:val="bottom"/>
            <w:hideMark/>
          </w:tcPr>
          <w:p w14:paraId="7F45F94D"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2020</w:t>
            </w:r>
          </w:p>
        </w:tc>
        <w:tc>
          <w:tcPr>
            <w:tcW w:w="615" w:type="pct"/>
            <w:shd w:val="clear" w:color="auto" w:fill="auto"/>
            <w:noWrap/>
            <w:vAlign w:val="bottom"/>
            <w:hideMark/>
          </w:tcPr>
          <w:p w14:paraId="3A79ECD1"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2021</w:t>
            </w:r>
          </w:p>
        </w:tc>
        <w:tc>
          <w:tcPr>
            <w:tcW w:w="615" w:type="pct"/>
            <w:shd w:val="clear" w:color="auto" w:fill="auto"/>
            <w:noWrap/>
            <w:vAlign w:val="bottom"/>
            <w:hideMark/>
          </w:tcPr>
          <w:p w14:paraId="727EF2DA" w14:textId="1564DA02"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2022</w:t>
            </w:r>
            <w:r>
              <w:rPr>
                <w:rFonts w:eastAsia="Times New Roman" w:cs="Arial"/>
                <w:color w:val="000000"/>
              </w:rPr>
              <w:t>*</w:t>
            </w:r>
          </w:p>
        </w:tc>
      </w:tr>
      <w:tr w:rsidR="00043B49" w:rsidRPr="00043B49" w14:paraId="6BABEFD0" w14:textId="77777777" w:rsidTr="00436CD8">
        <w:trPr>
          <w:trHeight w:val="305"/>
        </w:trPr>
        <w:tc>
          <w:tcPr>
            <w:tcW w:w="1923" w:type="pct"/>
            <w:shd w:val="clear" w:color="auto" w:fill="auto"/>
            <w:noWrap/>
            <w:vAlign w:val="bottom"/>
            <w:hideMark/>
          </w:tcPr>
          <w:p w14:paraId="6C8571BB" w14:textId="28E4A106" w:rsidR="00043B49" w:rsidRPr="00043B49" w:rsidRDefault="00043B49" w:rsidP="00043B49">
            <w:pPr>
              <w:spacing w:after="0" w:line="240" w:lineRule="auto"/>
              <w:rPr>
                <w:rFonts w:eastAsia="Times New Roman" w:cs="Arial"/>
                <w:color w:val="000000"/>
              </w:rPr>
            </w:pPr>
            <w:r w:rsidRPr="00043B49">
              <w:rPr>
                <w:rFonts w:eastAsia="Times New Roman" w:cs="Arial"/>
                <w:color w:val="000000"/>
              </w:rPr>
              <w:t xml:space="preserve">Število odvzetih vzorcev </w:t>
            </w:r>
          </w:p>
        </w:tc>
        <w:tc>
          <w:tcPr>
            <w:tcW w:w="615" w:type="pct"/>
            <w:shd w:val="clear" w:color="auto" w:fill="auto"/>
            <w:noWrap/>
            <w:vAlign w:val="bottom"/>
            <w:hideMark/>
          </w:tcPr>
          <w:p w14:paraId="5669002E"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835</w:t>
            </w:r>
          </w:p>
        </w:tc>
        <w:tc>
          <w:tcPr>
            <w:tcW w:w="615" w:type="pct"/>
            <w:shd w:val="clear" w:color="auto" w:fill="auto"/>
            <w:noWrap/>
            <w:vAlign w:val="bottom"/>
            <w:hideMark/>
          </w:tcPr>
          <w:p w14:paraId="1538B842"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865</w:t>
            </w:r>
          </w:p>
        </w:tc>
        <w:tc>
          <w:tcPr>
            <w:tcW w:w="615" w:type="pct"/>
            <w:shd w:val="clear" w:color="auto" w:fill="auto"/>
            <w:noWrap/>
            <w:vAlign w:val="bottom"/>
            <w:hideMark/>
          </w:tcPr>
          <w:p w14:paraId="3C0183C2"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862</w:t>
            </w:r>
          </w:p>
        </w:tc>
        <w:tc>
          <w:tcPr>
            <w:tcW w:w="615" w:type="pct"/>
            <w:shd w:val="clear" w:color="auto" w:fill="auto"/>
            <w:noWrap/>
            <w:vAlign w:val="bottom"/>
            <w:hideMark/>
          </w:tcPr>
          <w:p w14:paraId="212883C4"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944</w:t>
            </w:r>
          </w:p>
        </w:tc>
        <w:tc>
          <w:tcPr>
            <w:tcW w:w="615" w:type="pct"/>
            <w:shd w:val="clear" w:color="auto" w:fill="auto"/>
            <w:noWrap/>
            <w:vAlign w:val="bottom"/>
            <w:hideMark/>
          </w:tcPr>
          <w:p w14:paraId="2A53CB53" w14:textId="7777777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716</w:t>
            </w:r>
          </w:p>
        </w:tc>
      </w:tr>
      <w:tr w:rsidR="00043B49" w:rsidRPr="00043B49" w14:paraId="7F0CDBF7" w14:textId="77777777" w:rsidTr="00436CD8">
        <w:trPr>
          <w:trHeight w:val="305"/>
        </w:trPr>
        <w:tc>
          <w:tcPr>
            <w:tcW w:w="1923" w:type="pct"/>
            <w:shd w:val="clear" w:color="auto" w:fill="auto"/>
            <w:noWrap/>
            <w:vAlign w:val="bottom"/>
            <w:hideMark/>
          </w:tcPr>
          <w:p w14:paraId="3E1BF566" w14:textId="78A68FB9" w:rsidR="00043B49" w:rsidRPr="00043B49" w:rsidRDefault="0095573F" w:rsidP="00043B49">
            <w:pPr>
              <w:spacing w:after="0" w:line="240" w:lineRule="auto"/>
              <w:rPr>
                <w:rFonts w:eastAsia="Times New Roman" w:cs="Arial"/>
                <w:color w:val="000000"/>
              </w:rPr>
            </w:pPr>
            <w:r>
              <w:rPr>
                <w:rFonts w:eastAsia="Times New Roman" w:cs="Arial"/>
                <w:color w:val="000000"/>
              </w:rPr>
              <w:t>Delež</w:t>
            </w:r>
            <w:r w:rsidR="00043B49" w:rsidRPr="00043B49">
              <w:rPr>
                <w:rFonts w:eastAsia="Times New Roman" w:cs="Arial"/>
                <w:color w:val="000000"/>
              </w:rPr>
              <w:t xml:space="preserve"> neskladnih vzorcev</w:t>
            </w:r>
          </w:p>
        </w:tc>
        <w:tc>
          <w:tcPr>
            <w:tcW w:w="615" w:type="pct"/>
            <w:shd w:val="clear" w:color="auto" w:fill="auto"/>
            <w:noWrap/>
            <w:vAlign w:val="bottom"/>
            <w:hideMark/>
          </w:tcPr>
          <w:p w14:paraId="51A22731" w14:textId="644BA5F2"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2,5</w:t>
            </w:r>
            <w:r w:rsidR="004D1525">
              <w:rPr>
                <w:rFonts w:eastAsia="Times New Roman" w:cs="Arial"/>
                <w:color w:val="000000"/>
              </w:rPr>
              <w:t xml:space="preserve"> </w:t>
            </w:r>
            <w:r w:rsidRPr="00043B49">
              <w:rPr>
                <w:rFonts w:eastAsia="Times New Roman" w:cs="Arial"/>
                <w:color w:val="000000"/>
              </w:rPr>
              <w:t>%</w:t>
            </w:r>
          </w:p>
        </w:tc>
        <w:tc>
          <w:tcPr>
            <w:tcW w:w="615" w:type="pct"/>
            <w:shd w:val="clear" w:color="auto" w:fill="auto"/>
            <w:noWrap/>
            <w:vAlign w:val="bottom"/>
            <w:hideMark/>
          </w:tcPr>
          <w:p w14:paraId="54C6542C" w14:textId="452A1AF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2,7</w:t>
            </w:r>
            <w:r w:rsidR="004D1525">
              <w:rPr>
                <w:rFonts w:eastAsia="Times New Roman" w:cs="Arial"/>
                <w:color w:val="000000"/>
              </w:rPr>
              <w:t xml:space="preserve"> </w:t>
            </w:r>
            <w:r w:rsidRPr="00043B49">
              <w:rPr>
                <w:rFonts w:eastAsia="Times New Roman" w:cs="Arial"/>
                <w:color w:val="000000"/>
              </w:rPr>
              <w:t>%</w:t>
            </w:r>
          </w:p>
        </w:tc>
        <w:tc>
          <w:tcPr>
            <w:tcW w:w="615" w:type="pct"/>
            <w:shd w:val="clear" w:color="auto" w:fill="auto"/>
            <w:noWrap/>
            <w:vAlign w:val="bottom"/>
            <w:hideMark/>
          </w:tcPr>
          <w:p w14:paraId="5797FFDD" w14:textId="7B595EB4"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3,9</w:t>
            </w:r>
            <w:r w:rsidR="004D1525">
              <w:rPr>
                <w:rFonts w:eastAsia="Times New Roman" w:cs="Arial"/>
                <w:color w:val="000000"/>
              </w:rPr>
              <w:t xml:space="preserve"> </w:t>
            </w:r>
            <w:r w:rsidRPr="00043B49">
              <w:rPr>
                <w:rFonts w:eastAsia="Times New Roman" w:cs="Arial"/>
                <w:color w:val="000000"/>
              </w:rPr>
              <w:t>%</w:t>
            </w:r>
          </w:p>
        </w:tc>
        <w:tc>
          <w:tcPr>
            <w:tcW w:w="615" w:type="pct"/>
            <w:shd w:val="clear" w:color="auto" w:fill="auto"/>
            <w:noWrap/>
            <w:vAlign w:val="bottom"/>
            <w:hideMark/>
          </w:tcPr>
          <w:p w14:paraId="7D3F9FFE" w14:textId="2E930B97"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5,3</w:t>
            </w:r>
            <w:r w:rsidR="004D1525">
              <w:rPr>
                <w:rFonts w:eastAsia="Times New Roman" w:cs="Arial"/>
                <w:color w:val="000000"/>
              </w:rPr>
              <w:t xml:space="preserve"> </w:t>
            </w:r>
            <w:r w:rsidRPr="00043B49">
              <w:rPr>
                <w:rFonts w:eastAsia="Times New Roman" w:cs="Arial"/>
                <w:color w:val="000000"/>
              </w:rPr>
              <w:t>%</w:t>
            </w:r>
          </w:p>
        </w:tc>
        <w:tc>
          <w:tcPr>
            <w:tcW w:w="615" w:type="pct"/>
            <w:shd w:val="clear" w:color="auto" w:fill="auto"/>
            <w:noWrap/>
            <w:vAlign w:val="bottom"/>
            <w:hideMark/>
          </w:tcPr>
          <w:p w14:paraId="0CE9C3E5" w14:textId="5A305E6B" w:rsidR="00043B49" w:rsidRPr="00043B49" w:rsidRDefault="00043B49" w:rsidP="00602CBE">
            <w:pPr>
              <w:spacing w:after="0" w:line="240" w:lineRule="auto"/>
              <w:jc w:val="center"/>
              <w:rPr>
                <w:rFonts w:eastAsia="Times New Roman" w:cs="Arial"/>
                <w:color w:val="000000"/>
              </w:rPr>
            </w:pPr>
            <w:r w:rsidRPr="00043B49">
              <w:rPr>
                <w:rFonts w:eastAsia="Times New Roman" w:cs="Arial"/>
                <w:color w:val="000000"/>
              </w:rPr>
              <w:t>2,1</w:t>
            </w:r>
            <w:r w:rsidR="004D1525">
              <w:rPr>
                <w:rFonts w:eastAsia="Times New Roman" w:cs="Arial"/>
                <w:color w:val="000000"/>
              </w:rPr>
              <w:t xml:space="preserve"> </w:t>
            </w:r>
            <w:r w:rsidRPr="00043B49">
              <w:rPr>
                <w:rFonts w:eastAsia="Times New Roman" w:cs="Arial"/>
                <w:color w:val="000000"/>
              </w:rPr>
              <w:t>%</w:t>
            </w:r>
          </w:p>
        </w:tc>
      </w:tr>
    </w:tbl>
    <w:p w14:paraId="68E2A617" w14:textId="64F4DD8B" w:rsidR="00043B49" w:rsidRPr="00602CBE" w:rsidRDefault="00043B49" w:rsidP="00043B49">
      <w:pPr>
        <w:spacing w:beforeLines="60" w:before="144" w:afterLines="60" w:after="144" w:line="240" w:lineRule="auto"/>
        <w:contextualSpacing/>
        <w:rPr>
          <w:rFonts w:cs="Arial"/>
          <w:sz w:val="16"/>
          <w:szCs w:val="16"/>
        </w:rPr>
      </w:pPr>
      <w:r w:rsidRPr="00602CBE">
        <w:rPr>
          <w:rFonts w:cs="Arial"/>
          <w:sz w:val="16"/>
          <w:szCs w:val="16"/>
        </w:rPr>
        <w:t>* delno poročilo Uprave</w:t>
      </w:r>
    </w:p>
    <w:p w14:paraId="2FB46475" w14:textId="77777777" w:rsidR="00043B49" w:rsidRDefault="00043B49" w:rsidP="00043B49">
      <w:pPr>
        <w:spacing w:beforeLines="60" w:before="144" w:afterLines="60" w:after="144" w:line="240" w:lineRule="auto"/>
        <w:contextualSpacing/>
        <w:rPr>
          <w:rFonts w:cs="Arial"/>
        </w:rPr>
      </w:pPr>
    </w:p>
    <w:p w14:paraId="0A7DC114" w14:textId="257CC843" w:rsidR="00043B49" w:rsidRPr="00043B49" w:rsidRDefault="00043B49" w:rsidP="00602CBE">
      <w:r w:rsidRPr="00043B49">
        <w:t xml:space="preserve">Podatki za leta 2018 – 2021 so povzeti iz nacionalnih poročil za EU, podatki za leto 2022 pa iz poročila Uprave, </w:t>
      </w:r>
      <w:r>
        <w:t>ki ne vsebuje vseh nacionalnih podatkov, saj</w:t>
      </w:r>
      <w:r w:rsidRPr="00043B49">
        <w:t xml:space="preserve"> poročilo za EU še ni bilo zaključeno, zato je število vzorcev manjše.</w:t>
      </w:r>
    </w:p>
    <w:p w14:paraId="34227CB9" w14:textId="2583A414" w:rsidR="00420C8B" w:rsidRDefault="00043B49" w:rsidP="00602CBE">
      <w:pPr>
        <w:rPr>
          <w:rFonts w:eastAsia="Times New Roman"/>
        </w:rPr>
      </w:pPr>
      <w:r w:rsidRPr="00043B49">
        <w:t>Več podrobnosti in obrazložitev je navedenih v letnih poročilih o nadzoru nad ostanki pesticidov na spletnih straneh Uprave</w:t>
      </w:r>
      <w:r w:rsidRPr="00043B49">
        <w:rPr>
          <w:vertAlign w:val="superscript"/>
        </w:rPr>
        <w:footnoteReference w:id="12"/>
      </w:r>
      <w:r w:rsidR="00561DC0">
        <w:t>.</w:t>
      </w:r>
      <w:r w:rsidRPr="00043B49">
        <w:t xml:space="preserve"> </w:t>
      </w:r>
      <w:bookmarkStart w:id="45" w:name="_Toc530382205"/>
      <w:bookmarkEnd w:id="45"/>
    </w:p>
    <w:p w14:paraId="7FB3F09C" w14:textId="56D4D59A" w:rsidR="00FE30D5" w:rsidRPr="00436CD8" w:rsidRDefault="0036307E" w:rsidP="00436CD8">
      <w:pPr>
        <w:pStyle w:val="Naslov3"/>
      </w:pPr>
      <w:bookmarkStart w:id="46" w:name="_Toc170816414"/>
      <w:r w:rsidRPr="00436CD8">
        <w:t>Vzorčenje pitne vode in podzemne vode</w:t>
      </w:r>
      <w:bookmarkEnd w:id="46"/>
    </w:p>
    <w:p w14:paraId="58BAD823" w14:textId="6359C717" w:rsidR="00FE30D5" w:rsidRPr="002214F0" w:rsidRDefault="00FE30D5" w:rsidP="00436CD8">
      <w:pPr>
        <w:rPr>
          <w:b/>
          <w:bCs/>
        </w:rPr>
      </w:pPr>
      <w:r w:rsidRPr="002214F0">
        <w:rPr>
          <w:b/>
          <w:bCs/>
        </w:rPr>
        <w:t>Monitoring pitne vode</w:t>
      </w:r>
      <w:r w:rsidR="00FE0678" w:rsidRPr="002214F0">
        <w:rPr>
          <w:b/>
          <w:bCs/>
        </w:rPr>
        <w:t xml:space="preserve"> (MPV)</w:t>
      </w:r>
    </w:p>
    <w:p w14:paraId="1302968D" w14:textId="77777777" w:rsidR="00FE30D5" w:rsidRDefault="00FE30D5" w:rsidP="00436CD8">
      <w:r w:rsidRPr="003150A7">
        <w:t>Skladnost pitne vode z zahtevami, katerih namen je varovanje zdravja ljudi pred škodljivimi učinki zaradi kakršnegakoli onesnaženja pitne vode</w:t>
      </w:r>
      <w:r>
        <w:t>,</w:t>
      </w:r>
      <w:r w:rsidRPr="003150A7">
        <w:t xml:space="preserve"> preverja Ministrstvo za zdravje z monitoringom pitne vode od leta 2004 dalje.</w:t>
      </w:r>
    </w:p>
    <w:p w14:paraId="3D83F99F" w14:textId="67E50A3B" w:rsidR="00FE30D5" w:rsidRDefault="00FE30D5" w:rsidP="00436CD8">
      <w:r w:rsidRPr="003150A7">
        <w:t>Monitoring pitne vode je predpisan s Pravilnikom o pitni vodi (Uradni list RS, št. 19/04, 35/04, 26/06, 92/06, 25/09, 74/15</w:t>
      </w:r>
      <w:r>
        <w:t xml:space="preserve">, </w:t>
      </w:r>
      <w:r w:rsidRPr="003150A7">
        <w:t>51/17) (v nadaljnjem besedilu: Pravilnik o pitni vodi). Namen monitoringa je preverjanje skladnosti pitne vode z zahtevami Pravilnika o pitni vodi</w:t>
      </w:r>
      <w:r>
        <w:t xml:space="preserve">. Izpolnjevati mora zahteve za mejne vrednosti </w:t>
      </w:r>
      <w:r w:rsidRPr="003150A7">
        <w:t>parametrov, določenih v Prilogi I</w:t>
      </w:r>
      <w:r>
        <w:t>, z namenom varovanja zdravja ljudi pred škodljivimi učinki kakršnega koli onesnaženja. Monitoring pitne vode</w:t>
      </w:r>
      <w:r w:rsidR="00FD404E">
        <w:t xml:space="preserve"> (MPV)</w:t>
      </w:r>
      <w:r>
        <w:t xml:space="preserve"> se izvaja v skladu s programom, ki </w:t>
      </w:r>
      <w:r w:rsidRPr="003150A7">
        <w:t xml:space="preserve">opredeljuje pogostost vzorčenja, metodologijo vzorčenja, fizikalno – kemijska in mikrobiološka preizkušanja. </w:t>
      </w:r>
      <w:r>
        <w:t>Vzorčenje</w:t>
      </w:r>
      <w:r w:rsidRPr="003150A7">
        <w:t xml:space="preserve"> pitne vode se izvaja na pipah uporabnikov oziroma mestih, kjer se voda uporablja kot pitna</w:t>
      </w:r>
      <w:r>
        <w:t xml:space="preserve">. </w:t>
      </w:r>
    </w:p>
    <w:p w14:paraId="6898C225" w14:textId="25D7EC9D" w:rsidR="00FE30D5" w:rsidRPr="001037C8" w:rsidRDefault="00FE30D5" w:rsidP="00436CD8">
      <w:r w:rsidRPr="001037C8">
        <w:t>Pesticidi so se določali samo</w:t>
      </w:r>
      <w:r w:rsidR="00FE0678">
        <w:t xml:space="preserve"> v vzorcih iz</w:t>
      </w:r>
      <w:r w:rsidRPr="001037C8">
        <w:t xml:space="preserve"> oskrbovalnih območjih (</w:t>
      </w:r>
      <w:r w:rsidR="0062688B">
        <w:t xml:space="preserve">v nadaljnjem besedilu: </w:t>
      </w:r>
      <w:r w:rsidRPr="001037C8">
        <w:t xml:space="preserve">OO), kjer se njihova prisotnost lahko pričakuje na podlagi rezultatov preteklih let in ocene tveganja. V Preglednici </w:t>
      </w:r>
      <w:r w:rsidR="0062688B">
        <w:t>6</w:t>
      </w:r>
      <w:r w:rsidRPr="001037C8">
        <w:t xml:space="preserve"> so navedeni podatki o številu OO, število preizkušenih OO na pesticide ter njihov delež za obdobje med letom 2017 in 202</w:t>
      </w:r>
      <w:r w:rsidR="002214F0">
        <w:t>2</w:t>
      </w:r>
      <w:r w:rsidRPr="001037C8">
        <w:t>.</w:t>
      </w:r>
      <w:r w:rsidR="001037C8">
        <w:t xml:space="preserve"> </w:t>
      </w:r>
    </w:p>
    <w:p w14:paraId="475CF8FB" w14:textId="01C5F9AA" w:rsidR="00FE30D5" w:rsidRPr="00436CD8" w:rsidRDefault="00DC3204" w:rsidP="00DC3204">
      <w:pPr>
        <w:pStyle w:val="Napis"/>
        <w:rPr>
          <w:rFonts w:cs="Arial"/>
          <w:sz w:val="20"/>
          <w:szCs w:val="20"/>
        </w:rPr>
      </w:pPr>
      <w:bookmarkStart w:id="47" w:name="_Toc149825605"/>
      <w:bookmarkStart w:id="48" w:name="_Toc151116354"/>
      <w:bookmarkStart w:id="49" w:name="_Toc152153149"/>
      <w:r w:rsidRPr="00436CD8">
        <w:rPr>
          <w:rFonts w:cs="Arial"/>
          <w:sz w:val="20"/>
          <w:szCs w:val="20"/>
        </w:rPr>
        <w:t xml:space="preserve">Preglednica </w:t>
      </w:r>
      <w:r w:rsidRPr="00436CD8">
        <w:rPr>
          <w:rFonts w:cs="Arial"/>
          <w:sz w:val="20"/>
          <w:szCs w:val="20"/>
        </w:rPr>
        <w:fldChar w:fldCharType="begin"/>
      </w:r>
      <w:r w:rsidRPr="00436CD8">
        <w:rPr>
          <w:rFonts w:cs="Arial"/>
          <w:sz w:val="20"/>
          <w:szCs w:val="20"/>
        </w:rPr>
        <w:instrText xml:space="preserve"> SEQ Preglednica \* ARABIC </w:instrText>
      </w:r>
      <w:r w:rsidRPr="00436CD8">
        <w:rPr>
          <w:rFonts w:cs="Arial"/>
          <w:sz w:val="20"/>
          <w:szCs w:val="20"/>
        </w:rPr>
        <w:fldChar w:fldCharType="separate"/>
      </w:r>
      <w:r w:rsidR="00DB7441">
        <w:rPr>
          <w:rFonts w:cs="Arial"/>
          <w:noProof/>
          <w:sz w:val="20"/>
          <w:szCs w:val="20"/>
        </w:rPr>
        <w:t>6</w:t>
      </w:r>
      <w:r w:rsidRPr="00436CD8">
        <w:rPr>
          <w:rFonts w:cs="Arial"/>
          <w:sz w:val="20"/>
          <w:szCs w:val="20"/>
        </w:rPr>
        <w:fldChar w:fldCharType="end"/>
      </w:r>
      <w:r w:rsidR="00FE30D5" w:rsidRPr="00436CD8">
        <w:rPr>
          <w:rFonts w:cs="Arial"/>
          <w:color w:val="auto"/>
          <w:sz w:val="20"/>
          <w:szCs w:val="20"/>
        </w:rPr>
        <w:t xml:space="preserve">: </w:t>
      </w:r>
      <w:r w:rsidR="00FE30D5" w:rsidRPr="00436CD8">
        <w:rPr>
          <w:rFonts w:cs="Arial"/>
          <w:sz w:val="20"/>
          <w:szCs w:val="20"/>
        </w:rPr>
        <w:t xml:space="preserve">Število in delež preizkušenih OO glede na vsebnost pesticidov v odnosu na celotno število OO (Vir: </w:t>
      </w:r>
      <w:hyperlink r:id="rId13" w:history="1">
        <w:r w:rsidR="00FE30D5" w:rsidRPr="00436CD8">
          <w:rPr>
            <w:rStyle w:val="Hiperpovezava"/>
            <w:rFonts w:cs="Arial"/>
            <w:sz w:val="20"/>
            <w:szCs w:val="20"/>
          </w:rPr>
          <w:t>mpv.si</w:t>
        </w:r>
      </w:hyperlink>
      <w:r w:rsidR="00FE30D5" w:rsidRPr="00436CD8">
        <w:rPr>
          <w:rFonts w:cs="Arial"/>
          <w:sz w:val="20"/>
          <w:szCs w:val="20"/>
        </w:rPr>
        <w:t>)</w:t>
      </w:r>
      <w:bookmarkEnd w:id="47"/>
      <w:bookmarkEnd w:id="48"/>
      <w:bookmarkEnd w:id="49"/>
    </w:p>
    <w:tbl>
      <w:tblPr>
        <w:tblStyle w:val="Tabelamre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963"/>
        <w:gridCol w:w="961"/>
        <w:gridCol w:w="961"/>
        <w:gridCol w:w="961"/>
        <w:gridCol w:w="961"/>
        <w:gridCol w:w="961"/>
      </w:tblGrid>
      <w:tr w:rsidR="002214F0" w:rsidRPr="001037C8" w14:paraId="1B7946CF" w14:textId="6B4246A2" w:rsidTr="002214F0">
        <w:trPr>
          <w:trHeight w:val="300"/>
        </w:trPr>
        <w:tc>
          <w:tcPr>
            <w:tcW w:w="2041" w:type="pct"/>
            <w:tcBorders>
              <w:bottom w:val="single" w:sz="4" w:space="0" w:color="auto"/>
            </w:tcBorders>
            <w:noWrap/>
            <w:hideMark/>
          </w:tcPr>
          <w:p w14:paraId="54C89278" w14:textId="77777777" w:rsidR="002214F0" w:rsidRPr="001037C8" w:rsidRDefault="002214F0" w:rsidP="00436CD8">
            <w:pPr>
              <w:pStyle w:val="Brezrazmikov"/>
              <w:rPr>
                <w:rFonts w:eastAsia="Times New Roman"/>
              </w:rPr>
            </w:pPr>
          </w:p>
        </w:tc>
        <w:tc>
          <w:tcPr>
            <w:tcW w:w="494" w:type="pct"/>
            <w:tcBorders>
              <w:bottom w:val="single" w:sz="4" w:space="0" w:color="auto"/>
            </w:tcBorders>
            <w:noWrap/>
          </w:tcPr>
          <w:p w14:paraId="2DA7E4E7"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2017</w:t>
            </w:r>
          </w:p>
        </w:tc>
        <w:tc>
          <w:tcPr>
            <w:tcW w:w="493" w:type="pct"/>
            <w:tcBorders>
              <w:bottom w:val="single" w:sz="4" w:space="0" w:color="auto"/>
            </w:tcBorders>
            <w:noWrap/>
          </w:tcPr>
          <w:p w14:paraId="1D054D8F"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2018</w:t>
            </w:r>
          </w:p>
        </w:tc>
        <w:tc>
          <w:tcPr>
            <w:tcW w:w="493" w:type="pct"/>
            <w:tcBorders>
              <w:bottom w:val="single" w:sz="4" w:space="0" w:color="auto"/>
            </w:tcBorders>
            <w:noWrap/>
          </w:tcPr>
          <w:p w14:paraId="6F7D200B"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2019</w:t>
            </w:r>
          </w:p>
        </w:tc>
        <w:tc>
          <w:tcPr>
            <w:tcW w:w="493" w:type="pct"/>
            <w:tcBorders>
              <w:bottom w:val="single" w:sz="4" w:space="0" w:color="auto"/>
            </w:tcBorders>
            <w:noWrap/>
          </w:tcPr>
          <w:p w14:paraId="2E432F92"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2020</w:t>
            </w:r>
          </w:p>
        </w:tc>
        <w:tc>
          <w:tcPr>
            <w:tcW w:w="493" w:type="pct"/>
            <w:tcBorders>
              <w:bottom w:val="single" w:sz="4" w:space="0" w:color="auto"/>
            </w:tcBorders>
            <w:noWrap/>
          </w:tcPr>
          <w:p w14:paraId="6284CB54"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2021</w:t>
            </w:r>
          </w:p>
        </w:tc>
        <w:tc>
          <w:tcPr>
            <w:tcW w:w="493" w:type="pct"/>
            <w:tcBorders>
              <w:bottom w:val="single" w:sz="4" w:space="0" w:color="auto"/>
            </w:tcBorders>
          </w:tcPr>
          <w:p w14:paraId="689CA564" w14:textId="25835A2F" w:rsidR="002214F0" w:rsidRPr="001037C8" w:rsidRDefault="002214F0" w:rsidP="00436CD8">
            <w:pPr>
              <w:pStyle w:val="Brezrazmikov"/>
              <w:jc w:val="center"/>
              <w:rPr>
                <w:rFonts w:eastAsia="Times New Roman"/>
                <w:color w:val="000000"/>
              </w:rPr>
            </w:pPr>
            <w:r>
              <w:rPr>
                <w:rFonts w:eastAsia="Times New Roman"/>
                <w:color w:val="000000"/>
              </w:rPr>
              <w:t>2022</w:t>
            </w:r>
          </w:p>
        </w:tc>
      </w:tr>
      <w:tr w:rsidR="002214F0" w:rsidRPr="001037C8" w14:paraId="072891CE" w14:textId="5C81E6EF" w:rsidTr="002214F0">
        <w:trPr>
          <w:trHeight w:val="300"/>
        </w:trPr>
        <w:tc>
          <w:tcPr>
            <w:tcW w:w="2041" w:type="pct"/>
            <w:tcBorders>
              <w:top w:val="single" w:sz="4" w:space="0" w:color="auto"/>
              <w:bottom w:val="single" w:sz="4" w:space="0" w:color="auto"/>
            </w:tcBorders>
            <w:noWrap/>
            <w:hideMark/>
          </w:tcPr>
          <w:p w14:paraId="169E3F41" w14:textId="65ABBC33" w:rsidR="002214F0" w:rsidRPr="001037C8" w:rsidRDefault="004D1525" w:rsidP="00436CD8">
            <w:pPr>
              <w:pStyle w:val="Brezrazmikov"/>
              <w:rPr>
                <w:rFonts w:eastAsia="Times New Roman"/>
                <w:color w:val="000000"/>
              </w:rPr>
            </w:pPr>
            <w:r w:rsidRPr="001037C8">
              <w:rPr>
                <w:rFonts w:eastAsia="Times New Roman"/>
                <w:color w:val="000000"/>
              </w:rPr>
              <w:t xml:space="preserve">Število </w:t>
            </w:r>
            <w:r w:rsidR="002214F0">
              <w:rPr>
                <w:rFonts w:eastAsia="Times New Roman"/>
                <w:color w:val="000000"/>
              </w:rPr>
              <w:t>OO</w:t>
            </w:r>
          </w:p>
        </w:tc>
        <w:tc>
          <w:tcPr>
            <w:tcW w:w="494" w:type="pct"/>
            <w:tcBorders>
              <w:top w:val="single" w:sz="4" w:space="0" w:color="auto"/>
              <w:bottom w:val="single" w:sz="4" w:space="0" w:color="auto"/>
            </w:tcBorders>
            <w:noWrap/>
          </w:tcPr>
          <w:p w14:paraId="4FED621A"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866</w:t>
            </w:r>
          </w:p>
        </w:tc>
        <w:tc>
          <w:tcPr>
            <w:tcW w:w="493" w:type="pct"/>
            <w:tcBorders>
              <w:top w:val="single" w:sz="4" w:space="0" w:color="auto"/>
              <w:bottom w:val="single" w:sz="4" w:space="0" w:color="auto"/>
            </w:tcBorders>
            <w:noWrap/>
          </w:tcPr>
          <w:p w14:paraId="60D94FD7"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858</w:t>
            </w:r>
          </w:p>
        </w:tc>
        <w:tc>
          <w:tcPr>
            <w:tcW w:w="493" w:type="pct"/>
            <w:tcBorders>
              <w:top w:val="single" w:sz="4" w:space="0" w:color="auto"/>
              <w:bottom w:val="single" w:sz="4" w:space="0" w:color="auto"/>
            </w:tcBorders>
            <w:noWrap/>
          </w:tcPr>
          <w:p w14:paraId="0BD8E77D"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858</w:t>
            </w:r>
          </w:p>
        </w:tc>
        <w:tc>
          <w:tcPr>
            <w:tcW w:w="493" w:type="pct"/>
            <w:tcBorders>
              <w:top w:val="single" w:sz="4" w:space="0" w:color="auto"/>
              <w:bottom w:val="single" w:sz="4" w:space="0" w:color="auto"/>
            </w:tcBorders>
            <w:noWrap/>
          </w:tcPr>
          <w:p w14:paraId="1B356DF8"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873</w:t>
            </w:r>
          </w:p>
        </w:tc>
        <w:tc>
          <w:tcPr>
            <w:tcW w:w="493" w:type="pct"/>
            <w:tcBorders>
              <w:top w:val="single" w:sz="4" w:space="0" w:color="auto"/>
              <w:bottom w:val="single" w:sz="4" w:space="0" w:color="auto"/>
            </w:tcBorders>
            <w:noWrap/>
          </w:tcPr>
          <w:p w14:paraId="6BC8887A"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870</w:t>
            </w:r>
          </w:p>
        </w:tc>
        <w:tc>
          <w:tcPr>
            <w:tcW w:w="493" w:type="pct"/>
            <w:tcBorders>
              <w:top w:val="single" w:sz="4" w:space="0" w:color="auto"/>
              <w:bottom w:val="single" w:sz="4" w:space="0" w:color="auto"/>
            </w:tcBorders>
          </w:tcPr>
          <w:p w14:paraId="7E855775" w14:textId="65CAEB56" w:rsidR="002214F0" w:rsidRPr="001037C8" w:rsidRDefault="002214F0" w:rsidP="00436CD8">
            <w:pPr>
              <w:pStyle w:val="Brezrazmikov"/>
              <w:jc w:val="center"/>
              <w:rPr>
                <w:rFonts w:eastAsia="Times New Roman"/>
                <w:color w:val="000000"/>
              </w:rPr>
            </w:pPr>
            <w:r>
              <w:t>868</w:t>
            </w:r>
          </w:p>
        </w:tc>
      </w:tr>
      <w:tr w:rsidR="002214F0" w:rsidRPr="001037C8" w14:paraId="7BB9D014" w14:textId="5C790E46" w:rsidTr="002214F0">
        <w:trPr>
          <w:trHeight w:val="300"/>
        </w:trPr>
        <w:tc>
          <w:tcPr>
            <w:tcW w:w="2041" w:type="pct"/>
            <w:tcBorders>
              <w:top w:val="single" w:sz="4" w:space="0" w:color="auto"/>
              <w:bottom w:val="single" w:sz="4" w:space="0" w:color="auto"/>
            </w:tcBorders>
            <w:noWrap/>
            <w:hideMark/>
          </w:tcPr>
          <w:p w14:paraId="3A6E4B73" w14:textId="619D9EE2" w:rsidR="002214F0" w:rsidRPr="001037C8" w:rsidRDefault="004D1525" w:rsidP="00436CD8">
            <w:pPr>
              <w:pStyle w:val="Brezrazmikov"/>
              <w:rPr>
                <w:rFonts w:eastAsia="Times New Roman"/>
                <w:color w:val="000000"/>
              </w:rPr>
            </w:pPr>
            <w:r w:rsidRPr="001037C8">
              <w:rPr>
                <w:rFonts w:eastAsia="Times New Roman"/>
                <w:color w:val="000000"/>
              </w:rPr>
              <w:t xml:space="preserve">Število </w:t>
            </w:r>
            <w:r w:rsidR="002214F0" w:rsidRPr="001037C8">
              <w:rPr>
                <w:rFonts w:eastAsia="Times New Roman"/>
                <w:color w:val="000000"/>
              </w:rPr>
              <w:t>preizkušenih OO na pesticide</w:t>
            </w:r>
          </w:p>
        </w:tc>
        <w:tc>
          <w:tcPr>
            <w:tcW w:w="494" w:type="pct"/>
            <w:tcBorders>
              <w:top w:val="single" w:sz="4" w:space="0" w:color="auto"/>
              <w:bottom w:val="single" w:sz="4" w:space="0" w:color="auto"/>
            </w:tcBorders>
            <w:noWrap/>
          </w:tcPr>
          <w:p w14:paraId="34515CC9"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81</w:t>
            </w:r>
          </w:p>
        </w:tc>
        <w:tc>
          <w:tcPr>
            <w:tcW w:w="493" w:type="pct"/>
            <w:tcBorders>
              <w:top w:val="single" w:sz="4" w:space="0" w:color="auto"/>
              <w:bottom w:val="single" w:sz="4" w:space="0" w:color="auto"/>
            </w:tcBorders>
            <w:noWrap/>
          </w:tcPr>
          <w:p w14:paraId="306154FA"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218</w:t>
            </w:r>
          </w:p>
        </w:tc>
        <w:tc>
          <w:tcPr>
            <w:tcW w:w="493" w:type="pct"/>
            <w:tcBorders>
              <w:top w:val="single" w:sz="4" w:space="0" w:color="auto"/>
              <w:bottom w:val="single" w:sz="4" w:space="0" w:color="auto"/>
            </w:tcBorders>
            <w:noWrap/>
          </w:tcPr>
          <w:p w14:paraId="2105B903"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90</w:t>
            </w:r>
          </w:p>
        </w:tc>
        <w:tc>
          <w:tcPr>
            <w:tcW w:w="493" w:type="pct"/>
            <w:tcBorders>
              <w:top w:val="single" w:sz="4" w:space="0" w:color="auto"/>
              <w:bottom w:val="single" w:sz="4" w:space="0" w:color="auto"/>
            </w:tcBorders>
            <w:noWrap/>
          </w:tcPr>
          <w:p w14:paraId="739778C9"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33</w:t>
            </w:r>
          </w:p>
        </w:tc>
        <w:tc>
          <w:tcPr>
            <w:tcW w:w="493" w:type="pct"/>
            <w:tcBorders>
              <w:top w:val="single" w:sz="4" w:space="0" w:color="auto"/>
              <w:bottom w:val="single" w:sz="4" w:space="0" w:color="auto"/>
            </w:tcBorders>
            <w:noWrap/>
          </w:tcPr>
          <w:p w14:paraId="1501A8EA" w14:textId="77777777" w:rsidR="002214F0" w:rsidRPr="001037C8" w:rsidRDefault="002214F0" w:rsidP="00436CD8">
            <w:pPr>
              <w:pStyle w:val="Brezrazmikov"/>
              <w:jc w:val="center"/>
              <w:rPr>
                <w:rFonts w:eastAsia="Times New Roman"/>
                <w:color w:val="000000"/>
              </w:rPr>
            </w:pPr>
            <w:r w:rsidRPr="001037C8">
              <w:rPr>
                <w:rFonts w:eastAsia="Times New Roman"/>
                <w:color w:val="000000"/>
              </w:rPr>
              <w:t>41</w:t>
            </w:r>
          </w:p>
        </w:tc>
        <w:tc>
          <w:tcPr>
            <w:tcW w:w="493" w:type="pct"/>
            <w:tcBorders>
              <w:top w:val="single" w:sz="4" w:space="0" w:color="auto"/>
              <w:bottom w:val="single" w:sz="4" w:space="0" w:color="auto"/>
            </w:tcBorders>
          </w:tcPr>
          <w:p w14:paraId="2B258D7D" w14:textId="760F609F" w:rsidR="002214F0" w:rsidRPr="001037C8" w:rsidRDefault="002214F0" w:rsidP="00436CD8">
            <w:pPr>
              <w:pStyle w:val="Brezrazmikov"/>
              <w:jc w:val="center"/>
              <w:rPr>
                <w:rFonts w:eastAsia="Times New Roman"/>
                <w:color w:val="000000"/>
              </w:rPr>
            </w:pPr>
            <w:r>
              <w:rPr>
                <w:rFonts w:eastAsia="Times New Roman"/>
                <w:color w:val="000000"/>
              </w:rPr>
              <w:t>25</w:t>
            </w:r>
          </w:p>
        </w:tc>
      </w:tr>
      <w:tr w:rsidR="002214F0" w:rsidRPr="001037C8" w14:paraId="140529C7" w14:textId="5AB1CA20" w:rsidTr="002214F0">
        <w:trPr>
          <w:trHeight w:val="300"/>
        </w:trPr>
        <w:tc>
          <w:tcPr>
            <w:tcW w:w="2041" w:type="pct"/>
            <w:tcBorders>
              <w:top w:val="single" w:sz="4" w:space="0" w:color="auto"/>
            </w:tcBorders>
            <w:noWrap/>
            <w:hideMark/>
          </w:tcPr>
          <w:p w14:paraId="22707C83" w14:textId="5097A2C1" w:rsidR="002214F0" w:rsidRPr="001037C8" w:rsidRDefault="004D1525" w:rsidP="00436CD8">
            <w:pPr>
              <w:pStyle w:val="Brezrazmikov"/>
              <w:rPr>
                <w:rFonts w:eastAsia="Times New Roman"/>
                <w:color w:val="000000"/>
              </w:rPr>
            </w:pPr>
            <w:r w:rsidRPr="001037C8">
              <w:rPr>
                <w:rFonts w:eastAsia="Times New Roman"/>
                <w:color w:val="000000"/>
              </w:rPr>
              <w:t>Delež preizkušenih na pesticide</w:t>
            </w:r>
          </w:p>
        </w:tc>
        <w:tc>
          <w:tcPr>
            <w:tcW w:w="494" w:type="pct"/>
            <w:tcBorders>
              <w:top w:val="single" w:sz="4" w:space="0" w:color="auto"/>
            </w:tcBorders>
            <w:noWrap/>
          </w:tcPr>
          <w:p w14:paraId="50658122" w14:textId="0BA03E1C" w:rsidR="002214F0" w:rsidRPr="001037C8" w:rsidRDefault="002214F0" w:rsidP="00436CD8">
            <w:pPr>
              <w:pStyle w:val="Brezrazmikov"/>
              <w:jc w:val="center"/>
              <w:rPr>
                <w:rFonts w:eastAsia="Times New Roman"/>
                <w:color w:val="000000"/>
              </w:rPr>
            </w:pPr>
            <w:r w:rsidRPr="001037C8">
              <w:rPr>
                <w:rFonts w:eastAsia="Times New Roman"/>
                <w:color w:val="000000"/>
              </w:rPr>
              <w:t>9,4</w:t>
            </w:r>
            <w:r w:rsidR="00F96327">
              <w:rPr>
                <w:rFonts w:eastAsia="Times New Roman"/>
                <w:color w:val="000000"/>
              </w:rPr>
              <w:t xml:space="preserve"> %</w:t>
            </w:r>
          </w:p>
        </w:tc>
        <w:tc>
          <w:tcPr>
            <w:tcW w:w="493" w:type="pct"/>
            <w:tcBorders>
              <w:top w:val="single" w:sz="4" w:space="0" w:color="auto"/>
            </w:tcBorders>
            <w:noWrap/>
          </w:tcPr>
          <w:p w14:paraId="6117E37F" w14:textId="255E9424" w:rsidR="002214F0" w:rsidRPr="001037C8" w:rsidRDefault="002214F0" w:rsidP="00436CD8">
            <w:pPr>
              <w:pStyle w:val="Brezrazmikov"/>
              <w:jc w:val="center"/>
              <w:rPr>
                <w:rFonts w:eastAsia="Times New Roman"/>
                <w:color w:val="000000"/>
              </w:rPr>
            </w:pPr>
            <w:r w:rsidRPr="001037C8">
              <w:rPr>
                <w:rFonts w:eastAsia="Times New Roman"/>
                <w:color w:val="000000"/>
              </w:rPr>
              <w:t>25,4</w:t>
            </w:r>
            <w:r w:rsidR="00F96327">
              <w:rPr>
                <w:rFonts w:eastAsia="Times New Roman"/>
                <w:color w:val="000000"/>
              </w:rPr>
              <w:t xml:space="preserve"> %</w:t>
            </w:r>
          </w:p>
        </w:tc>
        <w:tc>
          <w:tcPr>
            <w:tcW w:w="493" w:type="pct"/>
            <w:tcBorders>
              <w:top w:val="single" w:sz="4" w:space="0" w:color="auto"/>
            </w:tcBorders>
            <w:noWrap/>
          </w:tcPr>
          <w:p w14:paraId="6C7F596C" w14:textId="36FBE30F" w:rsidR="002214F0" w:rsidRPr="001037C8" w:rsidRDefault="002214F0" w:rsidP="00436CD8">
            <w:pPr>
              <w:pStyle w:val="Brezrazmikov"/>
              <w:jc w:val="center"/>
              <w:rPr>
                <w:rFonts w:eastAsia="Times New Roman"/>
                <w:color w:val="000000"/>
              </w:rPr>
            </w:pPr>
            <w:r w:rsidRPr="001037C8">
              <w:rPr>
                <w:rFonts w:eastAsia="Times New Roman"/>
                <w:color w:val="000000"/>
              </w:rPr>
              <w:t>10,5</w:t>
            </w:r>
            <w:r w:rsidR="00F96327">
              <w:rPr>
                <w:rFonts w:eastAsia="Times New Roman"/>
                <w:color w:val="000000"/>
              </w:rPr>
              <w:t xml:space="preserve"> %</w:t>
            </w:r>
          </w:p>
        </w:tc>
        <w:tc>
          <w:tcPr>
            <w:tcW w:w="493" w:type="pct"/>
            <w:tcBorders>
              <w:top w:val="single" w:sz="4" w:space="0" w:color="auto"/>
            </w:tcBorders>
            <w:noWrap/>
          </w:tcPr>
          <w:p w14:paraId="6C967FB7" w14:textId="2D94CDD2" w:rsidR="002214F0" w:rsidRPr="001037C8" w:rsidRDefault="002214F0" w:rsidP="00436CD8">
            <w:pPr>
              <w:pStyle w:val="Brezrazmikov"/>
              <w:jc w:val="center"/>
              <w:rPr>
                <w:rFonts w:eastAsia="Times New Roman"/>
                <w:color w:val="000000"/>
              </w:rPr>
            </w:pPr>
            <w:r w:rsidRPr="001037C8">
              <w:rPr>
                <w:rFonts w:eastAsia="Times New Roman"/>
                <w:color w:val="000000"/>
              </w:rPr>
              <w:t>3,8</w:t>
            </w:r>
            <w:r w:rsidR="00F96327">
              <w:rPr>
                <w:rFonts w:eastAsia="Times New Roman"/>
                <w:color w:val="000000"/>
              </w:rPr>
              <w:t xml:space="preserve"> %</w:t>
            </w:r>
          </w:p>
        </w:tc>
        <w:tc>
          <w:tcPr>
            <w:tcW w:w="493" w:type="pct"/>
            <w:tcBorders>
              <w:top w:val="single" w:sz="4" w:space="0" w:color="auto"/>
            </w:tcBorders>
            <w:noWrap/>
          </w:tcPr>
          <w:p w14:paraId="64AE7681" w14:textId="26F2BDBF" w:rsidR="002214F0" w:rsidRPr="001037C8" w:rsidRDefault="002214F0" w:rsidP="00436CD8">
            <w:pPr>
              <w:pStyle w:val="Brezrazmikov"/>
              <w:jc w:val="center"/>
              <w:rPr>
                <w:rFonts w:eastAsia="Times New Roman"/>
                <w:color w:val="000000"/>
              </w:rPr>
            </w:pPr>
            <w:r w:rsidRPr="001037C8">
              <w:rPr>
                <w:rFonts w:eastAsia="Times New Roman"/>
                <w:color w:val="000000"/>
              </w:rPr>
              <w:t>4,7</w:t>
            </w:r>
            <w:r w:rsidR="00F96327">
              <w:rPr>
                <w:rFonts w:eastAsia="Times New Roman"/>
                <w:color w:val="000000"/>
              </w:rPr>
              <w:t xml:space="preserve"> %</w:t>
            </w:r>
          </w:p>
        </w:tc>
        <w:tc>
          <w:tcPr>
            <w:tcW w:w="493" w:type="pct"/>
            <w:tcBorders>
              <w:top w:val="single" w:sz="4" w:space="0" w:color="auto"/>
            </w:tcBorders>
          </w:tcPr>
          <w:p w14:paraId="71A42608" w14:textId="6DB1E2F3" w:rsidR="002214F0" w:rsidRPr="001037C8" w:rsidRDefault="002214F0" w:rsidP="00436CD8">
            <w:pPr>
              <w:pStyle w:val="Brezrazmikov"/>
              <w:jc w:val="center"/>
              <w:rPr>
                <w:rFonts w:eastAsia="Times New Roman"/>
                <w:color w:val="000000"/>
              </w:rPr>
            </w:pPr>
            <w:r>
              <w:rPr>
                <w:rFonts w:eastAsia="Times New Roman"/>
                <w:color w:val="000000"/>
              </w:rPr>
              <w:t>2,9</w:t>
            </w:r>
            <w:r w:rsidR="00F96327">
              <w:rPr>
                <w:rFonts w:eastAsia="Times New Roman"/>
                <w:color w:val="000000"/>
              </w:rPr>
              <w:t xml:space="preserve"> %</w:t>
            </w:r>
          </w:p>
        </w:tc>
      </w:tr>
    </w:tbl>
    <w:p w14:paraId="4853BBD4" w14:textId="77777777" w:rsidR="00436CD8" w:rsidRDefault="00436CD8" w:rsidP="00436CD8">
      <w:pPr>
        <w:pStyle w:val="Brezrazmikov"/>
      </w:pPr>
    </w:p>
    <w:p w14:paraId="6478F6CC" w14:textId="5B705AC1" w:rsidR="005E7E49" w:rsidRPr="001037C8" w:rsidRDefault="00A61D70" w:rsidP="00436CD8">
      <w:r w:rsidRPr="00A61D70">
        <w:t xml:space="preserve">Od pesticidov </w:t>
      </w:r>
      <w:r>
        <w:t>sta</w:t>
      </w:r>
      <w:r w:rsidRPr="00A61D70">
        <w:t xml:space="preserve"> bil</w:t>
      </w:r>
      <w:r>
        <w:t>a</w:t>
      </w:r>
      <w:r w:rsidRPr="00A61D70">
        <w:t xml:space="preserve"> presežen</w:t>
      </w:r>
      <w:r>
        <w:t>a</w:t>
      </w:r>
      <w:r w:rsidRPr="00A61D70">
        <w:t xml:space="preserve"> samo </w:t>
      </w:r>
      <w:proofErr w:type="spellStart"/>
      <w:r w:rsidRPr="00A61D70">
        <w:t>desetilatrazin</w:t>
      </w:r>
      <w:proofErr w:type="spellEnd"/>
      <w:r>
        <w:t xml:space="preserve"> in </w:t>
      </w:r>
      <w:proofErr w:type="spellStart"/>
      <w:r>
        <w:t>bentazon</w:t>
      </w:r>
      <w:proofErr w:type="spellEnd"/>
      <w:r>
        <w:t xml:space="preserve"> po posameznih letih v </w:t>
      </w:r>
      <w:r w:rsidRPr="00A61D70">
        <w:t>Pomurski regiji, Jugovzhodni regiji, Savinjski regiji in Podravski regiji</w:t>
      </w:r>
      <w:r>
        <w:t xml:space="preserve"> </w:t>
      </w:r>
      <w:r w:rsidRPr="0062688B">
        <w:rPr>
          <w:szCs w:val="22"/>
        </w:rPr>
        <w:t>(</w:t>
      </w:r>
      <w:r w:rsidR="0062688B" w:rsidRPr="0062688B">
        <w:rPr>
          <w:szCs w:val="22"/>
        </w:rPr>
        <w:fldChar w:fldCharType="begin"/>
      </w:r>
      <w:r w:rsidR="0062688B" w:rsidRPr="0062688B">
        <w:rPr>
          <w:szCs w:val="22"/>
        </w:rPr>
        <w:instrText xml:space="preserve"> REF _Ref151556442 \h </w:instrText>
      </w:r>
      <w:r w:rsidR="0062688B">
        <w:rPr>
          <w:szCs w:val="22"/>
        </w:rPr>
        <w:instrText xml:space="preserve"> \* MERGEFORMAT </w:instrText>
      </w:r>
      <w:r w:rsidR="0062688B" w:rsidRPr="0062688B">
        <w:rPr>
          <w:szCs w:val="22"/>
        </w:rPr>
      </w:r>
      <w:r w:rsidR="0062688B" w:rsidRPr="0062688B">
        <w:rPr>
          <w:szCs w:val="22"/>
        </w:rPr>
        <w:fldChar w:fldCharType="separate"/>
      </w:r>
      <w:r w:rsidR="00DB7441" w:rsidRPr="00DB7441">
        <w:rPr>
          <w:rFonts w:cs="Arial"/>
          <w:szCs w:val="22"/>
        </w:rPr>
        <w:t xml:space="preserve">Preglednica </w:t>
      </w:r>
      <w:r w:rsidR="00DB7441" w:rsidRPr="00DB7441">
        <w:rPr>
          <w:rFonts w:cs="Arial"/>
          <w:noProof/>
          <w:szCs w:val="22"/>
        </w:rPr>
        <w:t>7</w:t>
      </w:r>
      <w:r w:rsidR="0062688B" w:rsidRPr="0062688B">
        <w:rPr>
          <w:szCs w:val="22"/>
        </w:rPr>
        <w:fldChar w:fldCharType="end"/>
      </w:r>
      <w:r w:rsidRPr="0062688B">
        <w:rPr>
          <w:szCs w:val="22"/>
        </w:rPr>
        <w:t>).</w:t>
      </w:r>
      <w:r w:rsidRPr="00A61D70">
        <w:t xml:space="preserve"> Še naprej je opaziti </w:t>
      </w:r>
      <w:r w:rsidRPr="00A61D70">
        <w:lastRenderedPageBreak/>
        <w:t xml:space="preserve">zniževanje koncentracije </w:t>
      </w:r>
      <w:proofErr w:type="spellStart"/>
      <w:r w:rsidRPr="00A61D70">
        <w:t>desetilatrazina</w:t>
      </w:r>
      <w:proofErr w:type="spellEnd"/>
      <w:r w:rsidRPr="00A61D70">
        <w:t xml:space="preserve"> v podzemni vodi in posledično v pitni vodi. Izmerjene koncentracije </w:t>
      </w:r>
      <w:proofErr w:type="spellStart"/>
      <w:r w:rsidRPr="00A61D70">
        <w:t>desetilatrazina</w:t>
      </w:r>
      <w:proofErr w:type="spellEnd"/>
      <w:r w:rsidRPr="00A61D70">
        <w:t xml:space="preserve"> so v povprečju (vrednost mediane) pod 0,05 µg/l, v </w:t>
      </w:r>
      <w:r>
        <w:t xml:space="preserve">nekaj </w:t>
      </w:r>
      <w:r w:rsidRPr="00A61D70">
        <w:t>posameznih vzorcih pa presegajo tudi mejno vrednost 0,10 µg/l, kar je posledica vplivov številnih dejavnikov, med drugim predvsem hidroloških in vremenskih razmer ter lastnosti tal</w:t>
      </w:r>
      <w:r>
        <w:t>.</w:t>
      </w:r>
    </w:p>
    <w:p w14:paraId="1438A9CB" w14:textId="181687FE" w:rsidR="00FE30D5" w:rsidRPr="00436CD8" w:rsidRDefault="00DC3204" w:rsidP="00DC3204">
      <w:pPr>
        <w:pStyle w:val="Napis"/>
        <w:rPr>
          <w:rFonts w:cs="Arial"/>
          <w:sz w:val="20"/>
          <w:szCs w:val="20"/>
        </w:rPr>
      </w:pPr>
      <w:bookmarkStart w:id="50" w:name="_Ref151556442"/>
      <w:bookmarkStart w:id="51" w:name="_Toc149825606"/>
      <w:bookmarkStart w:id="52" w:name="_Toc151116355"/>
      <w:bookmarkStart w:id="53" w:name="_Toc152153150"/>
      <w:r w:rsidRPr="00436CD8">
        <w:rPr>
          <w:rFonts w:cs="Arial"/>
          <w:sz w:val="20"/>
          <w:szCs w:val="20"/>
        </w:rPr>
        <w:t xml:space="preserve">Preglednica </w:t>
      </w:r>
      <w:r w:rsidRPr="00436CD8">
        <w:rPr>
          <w:rFonts w:cs="Arial"/>
          <w:sz w:val="20"/>
          <w:szCs w:val="20"/>
        </w:rPr>
        <w:fldChar w:fldCharType="begin"/>
      </w:r>
      <w:r w:rsidRPr="00436CD8">
        <w:rPr>
          <w:rFonts w:cs="Arial"/>
          <w:sz w:val="20"/>
          <w:szCs w:val="20"/>
        </w:rPr>
        <w:instrText xml:space="preserve"> SEQ Preglednica \* ARABIC </w:instrText>
      </w:r>
      <w:r w:rsidRPr="00436CD8">
        <w:rPr>
          <w:rFonts w:cs="Arial"/>
          <w:sz w:val="20"/>
          <w:szCs w:val="20"/>
        </w:rPr>
        <w:fldChar w:fldCharType="separate"/>
      </w:r>
      <w:r w:rsidR="00DB7441">
        <w:rPr>
          <w:rFonts w:cs="Arial"/>
          <w:noProof/>
          <w:sz w:val="20"/>
          <w:szCs w:val="20"/>
        </w:rPr>
        <w:t>7</w:t>
      </w:r>
      <w:r w:rsidRPr="00436CD8">
        <w:rPr>
          <w:rFonts w:cs="Arial"/>
          <w:sz w:val="20"/>
          <w:szCs w:val="20"/>
        </w:rPr>
        <w:fldChar w:fldCharType="end"/>
      </w:r>
      <w:bookmarkEnd w:id="50"/>
      <w:r w:rsidR="00FE30D5" w:rsidRPr="00436CD8">
        <w:rPr>
          <w:rFonts w:cs="Arial"/>
          <w:sz w:val="20"/>
          <w:szCs w:val="20"/>
        </w:rPr>
        <w:t xml:space="preserve">: Število </w:t>
      </w:r>
      <w:r w:rsidR="00A61D70" w:rsidRPr="00436CD8">
        <w:rPr>
          <w:rFonts w:cs="Arial"/>
          <w:sz w:val="20"/>
          <w:szCs w:val="20"/>
        </w:rPr>
        <w:t xml:space="preserve">OO </w:t>
      </w:r>
      <w:r w:rsidR="00FE30D5" w:rsidRPr="00436CD8">
        <w:rPr>
          <w:rFonts w:cs="Arial"/>
          <w:sz w:val="20"/>
          <w:szCs w:val="20"/>
        </w:rPr>
        <w:t xml:space="preserve">s preseženo vrednostjo za posamezno aktivno snov po statističnih regijah (Vir: </w:t>
      </w:r>
      <w:hyperlink r:id="rId14" w:history="1">
        <w:r w:rsidR="00FE30D5" w:rsidRPr="00436CD8">
          <w:rPr>
            <w:rStyle w:val="Hiperpovezava"/>
            <w:rFonts w:cs="Arial"/>
            <w:sz w:val="20"/>
            <w:szCs w:val="20"/>
          </w:rPr>
          <w:t>mpv.si</w:t>
        </w:r>
      </w:hyperlink>
      <w:r w:rsidR="00FE30D5" w:rsidRPr="00436CD8">
        <w:rPr>
          <w:rFonts w:cs="Arial"/>
          <w:sz w:val="20"/>
          <w:szCs w:val="20"/>
        </w:rPr>
        <w:t>)</w:t>
      </w:r>
      <w:bookmarkEnd w:id="51"/>
      <w:bookmarkEnd w:id="52"/>
      <w:bookmarkEnd w:id="53"/>
    </w:p>
    <w:tbl>
      <w:tblPr>
        <w:tblStyle w:val="Navadnatabela2"/>
        <w:tblW w:w="5000" w:type="pct"/>
        <w:tblLook w:val="04A0" w:firstRow="1" w:lastRow="0" w:firstColumn="1" w:lastColumn="0" w:noHBand="0" w:noVBand="1"/>
      </w:tblPr>
      <w:tblGrid>
        <w:gridCol w:w="2870"/>
        <w:gridCol w:w="1148"/>
        <w:gridCol w:w="1148"/>
        <w:gridCol w:w="1148"/>
        <w:gridCol w:w="1148"/>
        <w:gridCol w:w="1144"/>
        <w:gridCol w:w="1140"/>
      </w:tblGrid>
      <w:tr w:rsidR="002214F0" w:rsidRPr="00F377B9" w14:paraId="7E7A22FD" w14:textId="76CBD92C" w:rsidTr="002214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5CD684D2" w14:textId="77777777" w:rsidR="002214F0" w:rsidRPr="00F377B9" w:rsidRDefault="002214F0" w:rsidP="00F377B9">
            <w:pPr>
              <w:pStyle w:val="Brezrazmikov"/>
              <w:rPr>
                <w:rFonts w:ascii="Arial" w:hAnsi="Arial" w:cs="Arial"/>
                <w:b w:val="0"/>
                <w:bCs w:val="0"/>
              </w:rPr>
            </w:pPr>
          </w:p>
        </w:tc>
        <w:tc>
          <w:tcPr>
            <w:tcW w:w="589" w:type="pct"/>
          </w:tcPr>
          <w:p w14:paraId="2CB24F59" w14:textId="77777777" w:rsidR="002214F0" w:rsidRPr="00F377B9"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77B9">
              <w:rPr>
                <w:rFonts w:ascii="Arial" w:hAnsi="Arial" w:cs="Arial"/>
                <w:b w:val="0"/>
                <w:bCs w:val="0"/>
              </w:rPr>
              <w:t>2017</w:t>
            </w:r>
          </w:p>
        </w:tc>
        <w:tc>
          <w:tcPr>
            <w:tcW w:w="589" w:type="pct"/>
          </w:tcPr>
          <w:p w14:paraId="4F9AC1C1" w14:textId="77777777" w:rsidR="002214F0" w:rsidRPr="00F377B9"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77B9">
              <w:rPr>
                <w:rFonts w:ascii="Arial" w:hAnsi="Arial" w:cs="Arial"/>
                <w:b w:val="0"/>
                <w:bCs w:val="0"/>
              </w:rPr>
              <w:t>2018</w:t>
            </w:r>
          </w:p>
        </w:tc>
        <w:tc>
          <w:tcPr>
            <w:tcW w:w="589" w:type="pct"/>
          </w:tcPr>
          <w:p w14:paraId="7F07DA55" w14:textId="77777777" w:rsidR="002214F0" w:rsidRPr="00F377B9"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77B9">
              <w:rPr>
                <w:rFonts w:ascii="Arial" w:hAnsi="Arial" w:cs="Arial"/>
                <w:b w:val="0"/>
                <w:bCs w:val="0"/>
              </w:rPr>
              <w:t>2019</w:t>
            </w:r>
          </w:p>
        </w:tc>
        <w:tc>
          <w:tcPr>
            <w:tcW w:w="589" w:type="pct"/>
          </w:tcPr>
          <w:p w14:paraId="6B4FEB2F" w14:textId="77777777" w:rsidR="002214F0" w:rsidRPr="00F377B9"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77B9">
              <w:rPr>
                <w:rFonts w:ascii="Arial" w:hAnsi="Arial" w:cs="Arial"/>
                <w:b w:val="0"/>
                <w:bCs w:val="0"/>
              </w:rPr>
              <w:t>2020</w:t>
            </w:r>
          </w:p>
        </w:tc>
        <w:tc>
          <w:tcPr>
            <w:tcW w:w="587" w:type="pct"/>
          </w:tcPr>
          <w:p w14:paraId="73FE5119" w14:textId="77777777" w:rsidR="002214F0" w:rsidRPr="00F377B9"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77B9">
              <w:rPr>
                <w:rFonts w:ascii="Arial" w:hAnsi="Arial" w:cs="Arial"/>
                <w:b w:val="0"/>
                <w:bCs w:val="0"/>
              </w:rPr>
              <w:t>2021</w:t>
            </w:r>
          </w:p>
        </w:tc>
        <w:tc>
          <w:tcPr>
            <w:tcW w:w="585" w:type="pct"/>
          </w:tcPr>
          <w:p w14:paraId="055752D1" w14:textId="6395720E" w:rsidR="002214F0" w:rsidRPr="00F377B9"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77B9">
              <w:rPr>
                <w:rFonts w:ascii="Arial" w:hAnsi="Arial" w:cs="Arial"/>
                <w:b w:val="0"/>
                <w:bCs w:val="0"/>
              </w:rPr>
              <w:t>2022</w:t>
            </w:r>
          </w:p>
        </w:tc>
      </w:tr>
      <w:tr w:rsidR="002214F0" w:rsidRPr="00F377B9" w14:paraId="2E760F4A" w14:textId="0210C9B6" w:rsidTr="002214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2E9D4E4E" w14:textId="77777777" w:rsidR="002214F0" w:rsidRPr="00F377B9" w:rsidRDefault="002214F0" w:rsidP="00F377B9">
            <w:pPr>
              <w:pStyle w:val="Brezrazmikov"/>
              <w:rPr>
                <w:rFonts w:ascii="Arial" w:hAnsi="Arial" w:cs="Arial"/>
                <w:b w:val="0"/>
                <w:bCs w:val="0"/>
              </w:rPr>
            </w:pPr>
            <w:r w:rsidRPr="00F377B9">
              <w:rPr>
                <w:rFonts w:ascii="Arial" w:hAnsi="Arial" w:cs="Arial"/>
                <w:b w:val="0"/>
                <w:bCs w:val="0"/>
              </w:rPr>
              <w:t>Pomurska regija</w:t>
            </w:r>
          </w:p>
        </w:tc>
        <w:tc>
          <w:tcPr>
            <w:tcW w:w="589" w:type="pct"/>
          </w:tcPr>
          <w:p w14:paraId="63D1CCB1"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02A691A6"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2 (B)</w:t>
            </w:r>
          </w:p>
        </w:tc>
        <w:tc>
          <w:tcPr>
            <w:tcW w:w="589" w:type="pct"/>
          </w:tcPr>
          <w:p w14:paraId="4B2E3DA2"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47FF4FC3"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1 (B)</w:t>
            </w:r>
          </w:p>
        </w:tc>
        <w:tc>
          <w:tcPr>
            <w:tcW w:w="587" w:type="pct"/>
          </w:tcPr>
          <w:p w14:paraId="28A3C981"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1 (B)</w:t>
            </w:r>
          </w:p>
        </w:tc>
        <w:tc>
          <w:tcPr>
            <w:tcW w:w="585" w:type="pct"/>
          </w:tcPr>
          <w:p w14:paraId="5916FDEB" w14:textId="7B550DFA"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r>
      <w:tr w:rsidR="002214F0" w:rsidRPr="00F377B9" w14:paraId="4658DCCB" w14:textId="6218000E" w:rsidTr="002214F0">
        <w:trPr>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023550EB" w14:textId="77777777" w:rsidR="002214F0" w:rsidRPr="00F377B9" w:rsidRDefault="002214F0" w:rsidP="00F377B9">
            <w:pPr>
              <w:pStyle w:val="Brezrazmikov"/>
              <w:rPr>
                <w:rFonts w:ascii="Arial" w:hAnsi="Arial" w:cs="Arial"/>
                <w:b w:val="0"/>
                <w:bCs w:val="0"/>
              </w:rPr>
            </w:pPr>
            <w:r w:rsidRPr="00F377B9">
              <w:rPr>
                <w:rFonts w:ascii="Arial" w:hAnsi="Arial" w:cs="Arial"/>
                <w:b w:val="0"/>
                <w:bCs w:val="0"/>
              </w:rPr>
              <w:t>Jugovzhodna regija</w:t>
            </w:r>
          </w:p>
        </w:tc>
        <w:tc>
          <w:tcPr>
            <w:tcW w:w="589" w:type="pct"/>
          </w:tcPr>
          <w:p w14:paraId="526E0257"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615C9B92"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38C92A53"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2 (DA)</w:t>
            </w:r>
          </w:p>
        </w:tc>
        <w:tc>
          <w:tcPr>
            <w:tcW w:w="589" w:type="pct"/>
          </w:tcPr>
          <w:p w14:paraId="1869766A"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1 (DA)</w:t>
            </w:r>
          </w:p>
        </w:tc>
        <w:tc>
          <w:tcPr>
            <w:tcW w:w="587" w:type="pct"/>
          </w:tcPr>
          <w:p w14:paraId="20F08631"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1 (DA)</w:t>
            </w:r>
          </w:p>
        </w:tc>
        <w:tc>
          <w:tcPr>
            <w:tcW w:w="585" w:type="pct"/>
          </w:tcPr>
          <w:p w14:paraId="4DC70834" w14:textId="4CBCA00E"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1 (DA)</w:t>
            </w:r>
          </w:p>
        </w:tc>
      </w:tr>
      <w:tr w:rsidR="002214F0" w:rsidRPr="00F377B9" w14:paraId="7DEA76C7" w14:textId="67929B0A" w:rsidTr="002214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5A1B2D2A" w14:textId="77777777" w:rsidR="002214F0" w:rsidRPr="00F377B9" w:rsidRDefault="002214F0" w:rsidP="00F377B9">
            <w:pPr>
              <w:pStyle w:val="Brezrazmikov"/>
              <w:rPr>
                <w:rFonts w:ascii="Arial" w:hAnsi="Arial" w:cs="Arial"/>
                <w:b w:val="0"/>
                <w:bCs w:val="0"/>
              </w:rPr>
            </w:pPr>
            <w:r w:rsidRPr="00F377B9">
              <w:rPr>
                <w:rFonts w:ascii="Arial" w:hAnsi="Arial" w:cs="Arial"/>
                <w:b w:val="0"/>
                <w:bCs w:val="0"/>
              </w:rPr>
              <w:t>Savinjska regija</w:t>
            </w:r>
          </w:p>
        </w:tc>
        <w:tc>
          <w:tcPr>
            <w:tcW w:w="589" w:type="pct"/>
          </w:tcPr>
          <w:p w14:paraId="5FA080CB"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1 (B)</w:t>
            </w:r>
          </w:p>
        </w:tc>
        <w:tc>
          <w:tcPr>
            <w:tcW w:w="589" w:type="pct"/>
          </w:tcPr>
          <w:p w14:paraId="2B79D21A"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7B7DE790"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28298164"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1 (DA)</w:t>
            </w:r>
          </w:p>
        </w:tc>
        <w:tc>
          <w:tcPr>
            <w:tcW w:w="587" w:type="pct"/>
          </w:tcPr>
          <w:p w14:paraId="5B559964" w14:textId="77777777"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c>
          <w:tcPr>
            <w:tcW w:w="585" w:type="pct"/>
          </w:tcPr>
          <w:p w14:paraId="7E52BAE7" w14:textId="114A14DA" w:rsidR="002214F0" w:rsidRPr="00F377B9"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77B9">
              <w:rPr>
                <w:rFonts w:ascii="Arial" w:hAnsi="Arial" w:cs="Arial"/>
              </w:rPr>
              <w:t>0</w:t>
            </w:r>
          </w:p>
        </w:tc>
      </w:tr>
      <w:tr w:rsidR="002214F0" w:rsidRPr="00F377B9" w14:paraId="38A132EC" w14:textId="46D91BD1" w:rsidTr="002214F0">
        <w:trPr>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26DBAE40" w14:textId="77777777" w:rsidR="002214F0" w:rsidRPr="00F377B9" w:rsidRDefault="002214F0" w:rsidP="00F377B9">
            <w:pPr>
              <w:pStyle w:val="Brezrazmikov"/>
              <w:rPr>
                <w:rFonts w:ascii="Arial" w:hAnsi="Arial" w:cs="Arial"/>
                <w:b w:val="0"/>
                <w:bCs w:val="0"/>
              </w:rPr>
            </w:pPr>
            <w:r w:rsidRPr="00F377B9">
              <w:rPr>
                <w:rFonts w:ascii="Arial" w:hAnsi="Arial" w:cs="Arial"/>
                <w:b w:val="0"/>
                <w:bCs w:val="0"/>
              </w:rPr>
              <w:t>Podravska regija</w:t>
            </w:r>
          </w:p>
        </w:tc>
        <w:tc>
          <w:tcPr>
            <w:tcW w:w="589" w:type="pct"/>
          </w:tcPr>
          <w:p w14:paraId="54B88DC3"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47235ABD"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325CE9E4"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c>
          <w:tcPr>
            <w:tcW w:w="589" w:type="pct"/>
          </w:tcPr>
          <w:p w14:paraId="31859284"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c>
          <w:tcPr>
            <w:tcW w:w="587" w:type="pct"/>
          </w:tcPr>
          <w:p w14:paraId="6C529EC1" w14:textId="77777777"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1 (DA)</w:t>
            </w:r>
          </w:p>
        </w:tc>
        <w:tc>
          <w:tcPr>
            <w:tcW w:w="585" w:type="pct"/>
          </w:tcPr>
          <w:p w14:paraId="120CE9FC" w14:textId="620E96D5" w:rsidR="002214F0" w:rsidRPr="00F377B9"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377B9">
              <w:rPr>
                <w:rFonts w:ascii="Arial" w:hAnsi="Arial" w:cs="Arial"/>
              </w:rPr>
              <w:t>0</w:t>
            </w:r>
          </w:p>
        </w:tc>
      </w:tr>
    </w:tbl>
    <w:p w14:paraId="6873AB48" w14:textId="20C4A8D7" w:rsidR="00FE30D5" w:rsidRPr="00F377B9" w:rsidRDefault="00F377B9" w:rsidP="00F377B9">
      <w:pPr>
        <w:pStyle w:val="Brezrazmikov"/>
        <w:rPr>
          <w:rFonts w:cs="Arial"/>
          <w:sz w:val="16"/>
          <w:szCs w:val="16"/>
        </w:rPr>
      </w:pPr>
      <w:r>
        <w:rPr>
          <w:rFonts w:cs="Arial"/>
          <w:sz w:val="16"/>
          <w:szCs w:val="16"/>
        </w:rPr>
        <w:t>*</w:t>
      </w:r>
      <w:r w:rsidR="00FE30D5" w:rsidRPr="00F377B9">
        <w:rPr>
          <w:rFonts w:cs="Arial"/>
          <w:sz w:val="16"/>
          <w:szCs w:val="16"/>
        </w:rPr>
        <w:t xml:space="preserve">B = </w:t>
      </w:r>
      <w:proofErr w:type="spellStart"/>
      <w:r w:rsidR="00FE30D5" w:rsidRPr="00F377B9">
        <w:rPr>
          <w:rFonts w:cs="Arial"/>
          <w:sz w:val="16"/>
          <w:szCs w:val="16"/>
        </w:rPr>
        <w:t>bentazon</w:t>
      </w:r>
      <w:proofErr w:type="spellEnd"/>
    </w:p>
    <w:p w14:paraId="387EDA39" w14:textId="338DF994" w:rsidR="00FE30D5" w:rsidRPr="00F377B9" w:rsidRDefault="00F377B9" w:rsidP="00F377B9">
      <w:pPr>
        <w:pStyle w:val="Brezrazmikov"/>
        <w:rPr>
          <w:rFonts w:cs="Arial"/>
          <w:sz w:val="16"/>
          <w:szCs w:val="16"/>
        </w:rPr>
      </w:pPr>
      <w:r>
        <w:rPr>
          <w:rFonts w:cs="Arial"/>
          <w:sz w:val="16"/>
          <w:szCs w:val="16"/>
        </w:rPr>
        <w:t>*</w:t>
      </w:r>
      <w:r w:rsidR="00FE30D5" w:rsidRPr="00F377B9">
        <w:rPr>
          <w:rFonts w:cs="Arial"/>
          <w:sz w:val="16"/>
          <w:szCs w:val="16"/>
        </w:rPr>
        <w:t xml:space="preserve">DA = </w:t>
      </w:r>
      <w:proofErr w:type="spellStart"/>
      <w:r w:rsidR="00FE30D5" w:rsidRPr="00F377B9">
        <w:rPr>
          <w:rFonts w:cs="Arial"/>
          <w:sz w:val="16"/>
          <w:szCs w:val="16"/>
        </w:rPr>
        <w:t>d</w:t>
      </w:r>
      <w:r w:rsidR="001037C8" w:rsidRPr="00F377B9">
        <w:rPr>
          <w:rFonts w:cs="Arial"/>
          <w:sz w:val="16"/>
          <w:szCs w:val="16"/>
        </w:rPr>
        <w:t>e</w:t>
      </w:r>
      <w:r w:rsidR="00FE30D5" w:rsidRPr="00F377B9">
        <w:rPr>
          <w:rFonts w:cs="Arial"/>
          <w:sz w:val="16"/>
          <w:szCs w:val="16"/>
        </w:rPr>
        <w:t>setilatrazin</w:t>
      </w:r>
      <w:proofErr w:type="spellEnd"/>
      <w:r w:rsidR="00FE30D5" w:rsidRPr="00F377B9">
        <w:rPr>
          <w:rFonts w:cs="Arial"/>
          <w:sz w:val="16"/>
          <w:szCs w:val="16"/>
        </w:rPr>
        <w:t xml:space="preserve"> </w:t>
      </w:r>
    </w:p>
    <w:p w14:paraId="3BB04ACA" w14:textId="77777777" w:rsidR="00436CD8" w:rsidRDefault="00436CD8" w:rsidP="00436CD8">
      <w:pPr>
        <w:pStyle w:val="Brezrazmikov"/>
      </w:pPr>
    </w:p>
    <w:p w14:paraId="6A763524" w14:textId="41F6FF63" w:rsidR="007F6129" w:rsidRDefault="00FE30D5" w:rsidP="00436CD8">
      <w:r w:rsidRPr="001037C8">
        <w:t xml:space="preserve">Program monitoringa pitne vode bo tudi v prihodnje spremljal pojavljanje novih aktivnih snovi in prisotnosti atrazina in njegovih </w:t>
      </w:r>
      <w:proofErr w:type="spellStart"/>
      <w:r w:rsidRPr="001037C8">
        <w:t>razgradnih</w:t>
      </w:r>
      <w:proofErr w:type="spellEnd"/>
      <w:r w:rsidRPr="001037C8">
        <w:t xml:space="preserve"> produktov v vodah. </w:t>
      </w:r>
    </w:p>
    <w:p w14:paraId="54B0F5D2" w14:textId="0ADFACDB" w:rsidR="00D25F87" w:rsidRPr="00436CD8" w:rsidRDefault="00FE30D5" w:rsidP="00436CD8">
      <w:r w:rsidRPr="001037C8">
        <w:t>Podatki o monitoringu pitne vode in rezultati so na voljo na spletni strani Monitoringa pitne vode</w:t>
      </w:r>
      <w:r w:rsidRPr="001037C8">
        <w:rPr>
          <w:rStyle w:val="Sprotnaopomba-sklic"/>
          <w:rFonts w:cs="Arial"/>
        </w:rPr>
        <w:footnoteReference w:id="13"/>
      </w:r>
      <w:r w:rsidRPr="001037C8">
        <w:t xml:space="preserve">. </w:t>
      </w:r>
    </w:p>
    <w:p w14:paraId="5B11B14E" w14:textId="066ED50E" w:rsidR="00FE30D5" w:rsidRPr="002214F0" w:rsidRDefault="00D25F87" w:rsidP="002214F0">
      <w:pPr>
        <w:rPr>
          <w:b/>
          <w:bCs/>
        </w:rPr>
      </w:pPr>
      <w:r w:rsidRPr="002214F0">
        <w:rPr>
          <w:b/>
          <w:bCs/>
        </w:rPr>
        <w:t>Monitoring podzemne vode</w:t>
      </w:r>
    </w:p>
    <w:p w14:paraId="3E711F05" w14:textId="5E074BE1" w:rsidR="00426900" w:rsidRPr="002214F0" w:rsidRDefault="009E2EC5" w:rsidP="002214F0">
      <w:r>
        <w:t>V okviru spremljanja kemijskega stanja vodnih teles pozemne vode se na merilnih mestih merijo vsebnosti nitratov, pesticidov in industrijskih kemikalij</w:t>
      </w:r>
      <w:r w:rsidR="00E30627">
        <w:t xml:space="preserve"> (topil)</w:t>
      </w:r>
      <w:r>
        <w:t>. V oceni kemijskega stanja podzemne vode, ki jo na podlagi meritev izdela Agencija Republike Slovenije za okolje, je za Mursko kotlino, Savinjsko kotlino in Dravsko kotlino ocena kemijskega stanja slaba</w:t>
      </w:r>
      <w:r w:rsidR="00E30627">
        <w:t xml:space="preserve"> zaradi vseh treh parametrov</w:t>
      </w:r>
      <w:r>
        <w:t xml:space="preserve">. V Murski in Dravski kotlini se še izmerijo vrednosti sicer prepovedanega atrazina in </w:t>
      </w:r>
      <w:r w:rsidR="00C868EF">
        <w:t xml:space="preserve">njegovega </w:t>
      </w:r>
      <w:proofErr w:type="spellStart"/>
      <w:r w:rsidR="00C868EF">
        <w:t>ra</w:t>
      </w:r>
      <w:r w:rsidR="0062688B">
        <w:t>z</w:t>
      </w:r>
      <w:r w:rsidR="00C868EF">
        <w:t>gradnega</w:t>
      </w:r>
      <w:proofErr w:type="spellEnd"/>
      <w:r w:rsidR="00C868EF">
        <w:t xml:space="preserve"> produkta </w:t>
      </w:r>
      <w:proofErr w:type="spellStart"/>
      <w:r>
        <w:t>desetilatrazina</w:t>
      </w:r>
      <w:proofErr w:type="spellEnd"/>
      <w:r>
        <w:t xml:space="preserve">, ki pa imata </w:t>
      </w:r>
      <w:r w:rsidR="00C868EF">
        <w:t xml:space="preserve">oba </w:t>
      </w:r>
      <w:r>
        <w:t>trend upadanja.</w:t>
      </w:r>
      <w:r w:rsidR="00674617">
        <w:t xml:space="preserve"> </w:t>
      </w:r>
      <w:r>
        <w:t xml:space="preserve">Podrobnejši podatki o monitoringu podzemne vode </w:t>
      </w:r>
      <w:r w:rsidR="00C868EF">
        <w:t>so dostopni na spletni strani arso.gov.si/vode</w:t>
      </w:r>
      <w:r w:rsidR="00C868EF">
        <w:rPr>
          <w:rStyle w:val="Sprotnaopomba-sklic"/>
          <w:rFonts w:eastAsia="Times New Roman" w:cs="Arial"/>
        </w:rPr>
        <w:footnoteReference w:id="14"/>
      </w:r>
      <w:r w:rsidR="00BA24EA">
        <w:t>.</w:t>
      </w:r>
      <w:bookmarkEnd w:id="27"/>
    </w:p>
    <w:p w14:paraId="0BFA41BA" w14:textId="7A971E40" w:rsidR="00F574B2" w:rsidRPr="00015CB7" w:rsidRDefault="00F574B2" w:rsidP="00015CB7">
      <w:pPr>
        <w:pStyle w:val="Naslov3"/>
      </w:pPr>
      <w:bookmarkStart w:id="54" w:name="_Toc170816415"/>
      <w:proofErr w:type="spellStart"/>
      <w:r w:rsidRPr="00015CB7">
        <w:t>Tretiranje</w:t>
      </w:r>
      <w:proofErr w:type="spellEnd"/>
      <w:r w:rsidRPr="00015CB7">
        <w:t xml:space="preserve"> iz zraka</w:t>
      </w:r>
      <w:bookmarkEnd w:id="54"/>
    </w:p>
    <w:p w14:paraId="2A86E387" w14:textId="47E38A34" w:rsidR="00BA193F" w:rsidRPr="00015CB7" w:rsidRDefault="00F574B2" w:rsidP="00015CB7">
      <w:r w:rsidRPr="00015CB7">
        <w:t xml:space="preserve">V </w:t>
      </w:r>
      <w:r w:rsidR="00015CB7" w:rsidRPr="00015CB7">
        <w:t>R</w:t>
      </w:r>
      <w:r w:rsidR="00ED66DD">
        <w:t xml:space="preserve">epubliki </w:t>
      </w:r>
      <w:r w:rsidR="00015CB7" w:rsidRPr="00015CB7">
        <w:t>S</w:t>
      </w:r>
      <w:r w:rsidR="00ED66DD">
        <w:t>loveniji</w:t>
      </w:r>
      <w:r w:rsidRPr="00015CB7">
        <w:t xml:space="preserve"> je </w:t>
      </w:r>
      <w:proofErr w:type="spellStart"/>
      <w:r w:rsidRPr="00015CB7">
        <w:t>tretiranje</w:t>
      </w:r>
      <w:proofErr w:type="spellEnd"/>
      <w:r w:rsidRPr="00015CB7">
        <w:t xml:space="preserve"> iz zraka prepovedano z zakonom in se ne izvaja. Uprava ni izdala nobenega dovoljenja za izvajanje </w:t>
      </w:r>
      <w:proofErr w:type="spellStart"/>
      <w:r w:rsidRPr="00015CB7">
        <w:t>tretiranj</w:t>
      </w:r>
      <w:r w:rsidR="00426900" w:rsidRPr="00015CB7">
        <w:t>a</w:t>
      </w:r>
      <w:proofErr w:type="spellEnd"/>
      <w:r w:rsidRPr="00015CB7">
        <w:t xml:space="preserve"> iz zraka. </w:t>
      </w:r>
    </w:p>
    <w:p w14:paraId="38D56072" w14:textId="48CBC4EA" w:rsidR="001B1AEF" w:rsidRPr="00015CB7" w:rsidRDefault="001B1AEF" w:rsidP="00015CB7">
      <w:pPr>
        <w:pStyle w:val="Naslov3"/>
      </w:pPr>
      <w:bookmarkStart w:id="55" w:name="_Toc170816416"/>
      <w:bookmarkStart w:id="56" w:name="_Hlk147229847"/>
      <w:r w:rsidRPr="00015CB7">
        <w:t>Naprave za nanašanje FFS</w:t>
      </w:r>
      <w:bookmarkEnd w:id="55"/>
      <w:r w:rsidRPr="00015CB7">
        <w:t xml:space="preserve"> </w:t>
      </w:r>
    </w:p>
    <w:p w14:paraId="0AAF0E46" w14:textId="662F463E" w:rsidR="003D6AB3" w:rsidRPr="003150A7" w:rsidRDefault="003D6AB3" w:rsidP="00015CB7">
      <w:r w:rsidRPr="003150A7">
        <w:t xml:space="preserve">Pregled naprav za nanašanje FFS se v </w:t>
      </w:r>
      <w:r w:rsidR="00015CB7">
        <w:t>R</w:t>
      </w:r>
      <w:r w:rsidR="00ED66DD">
        <w:t xml:space="preserve">epubliki </w:t>
      </w:r>
      <w:r w:rsidR="00015CB7">
        <w:t>S</w:t>
      </w:r>
      <w:r w:rsidR="00ED66DD">
        <w:t>loveniji</w:t>
      </w:r>
      <w:r w:rsidRPr="003150A7">
        <w:t xml:space="preserve"> izvaja že vrsto let, saj je bil predpisan že z zakonodajo iz leta 1994. Sistem pregledov naprav je dobro utečen in sledi razvoju predpisov in standardov v EU. </w:t>
      </w:r>
    </w:p>
    <w:p w14:paraId="060B0371" w14:textId="77777777" w:rsidR="003D6AB3" w:rsidRPr="003150A7" w:rsidRDefault="00946987" w:rsidP="00015CB7">
      <w:r w:rsidRPr="003150A7">
        <w:t xml:space="preserve">V skladu s predpisanimi zahtevami se naprave za nanašanje FFS redno pregledajo vsaka tri leta, razen novih naprav, ki se prvič pregledajo 5 let po datumu nakupa. </w:t>
      </w:r>
    </w:p>
    <w:p w14:paraId="78919650" w14:textId="15699AE2" w:rsidR="003D6AB3" w:rsidRPr="003150A7" w:rsidRDefault="003D6AB3" w:rsidP="00015CB7">
      <w:r w:rsidRPr="003150A7">
        <w:t>Pregled ni obvezen za ročne ali nahrbtno nošene škropilnice</w:t>
      </w:r>
      <w:r w:rsidR="00602A71">
        <w:t xml:space="preserve">, </w:t>
      </w:r>
      <w:r w:rsidRPr="003150A7">
        <w:t>pršilnike in naprave, ki so namenjene kontaktnemu uničevanju plevela in se ne uporabljajo kot traktorski priključek (npr. mazala).</w:t>
      </w:r>
    </w:p>
    <w:p w14:paraId="7885396F" w14:textId="3F1B8151" w:rsidR="003D6AB3" w:rsidRPr="003150A7" w:rsidRDefault="003D6AB3" w:rsidP="00015CB7">
      <w:r w:rsidRPr="003150A7">
        <w:t>Pooblaščeni pregledniki naprav vodijo podatke o pregledih elektronsko</w:t>
      </w:r>
      <w:r w:rsidR="00C92805">
        <w:t>,</w:t>
      </w:r>
      <w:r w:rsidRPr="003150A7">
        <w:t xml:space="preserve"> z vpisom v </w:t>
      </w:r>
      <w:r w:rsidR="002233FA">
        <w:t xml:space="preserve">Evidenco pregledanih naprav, ki jo vodi Uprava. </w:t>
      </w:r>
    </w:p>
    <w:p w14:paraId="3CC6F46A" w14:textId="1D3CC523" w:rsidR="003D6AB3" w:rsidRDefault="00DB1C32" w:rsidP="00015CB7">
      <w:r w:rsidRPr="003150A7">
        <w:lastRenderedPageBreak/>
        <w:t xml:space="preserve">Preglednica prikazuje število </w:t>
      </w:r>
      <w:r w:rsidR="0096288A">
        <w:t xml:space="preserve">vpisanih naprav, število pregledanih naprav in </w:t>
      </w:r>
      <w:r w:rsidR="00B227C3">
        <w:t>delež</w:t>
      </w:r>
      <w:r w:rsidR="0096288A">
        <w:t xml:space="preserve"> pregledanih ter ustreznih naprav </w:t>
      </w:r>
      <w:r w:rsidRPr="003150A7">
        <w:t xml:space="preserve">po posameznih letih. </w:t>
      </w:r>
    </w:p>
    <w:p w14:paraId="1A645B7B" w14:textId="3C31CD46" w:rsidR="0096288A" w:rsidRDefault="00DC3204" w:rsidP="00DC3204">
      <w:pPr>
        <w:pStyle w:val="Napis"/>
        <w:rPr>
          <w:rFonts w:cs="Arial"/>
          <w:sz w:val="20"/>
          <w:szCs w:val="20"/>
        </w:rPr>
      </w:pPr>
      <w:bookmarkStart w:id="57" w:name="_Toc149825608"/>
      <w:bookmarkStart w:id="58" w:name="_Toc151116357"/>
      <w:bookmarkStart w:id="59" w:name="_Toc152153151"/>
      <w:r w:rsidRPr="00015CB7">
        <w:rPr>
          <w:rFonts w:cs="Arial"/>
          <w:sz w:val="20"/>
          <w:szCs w:val="20"/>
        </w:rPr>
        <w:t xml:space="preserve">Preglednica </w:t>
      </w:r>
      <w:r w:rsidRPr="00015CB7">
        <w:rPr>
          <w:rFonts w:cs="Arial"/>
          <w:sz w:val="20"/>
          <w:szCs w:val="20"/>
        </w:rPr>
        <w:fldChar w:fldCharType="begin"/>
      </w:r>
      <w:r w:rsidRPr="00015CB7">
        <w:rPr>
          <w:rFonts w:cs="Arial"/>
          <w:sz w:val="20"/>
          <w:szCs w:val="20"/>
        </w:rPr>
        <w:instrText xml:space="preserve"> SEQ Preglednica \* ARABIC </w:instrText>
      </w:r>
      <w:r w:rsidRPr="00015CB7">
        <w:rPr>
          <w:rFonts w:cs="Arial"/>
          <w:sz w:val="20"/>
          <w:szCs w:val="20"/>
        </w:rPr>
        <w:fldChar w:fldCharType="separate"/>
      </w:r>
      <w:r w:rsidR="00DB7441">
        <w:rPr>
          <w:rFonts w:cs="Arial"/>
          <w:noProof/>
          <w:sz w:val="20"/>
          <w:szCs w:val="20"/>
        </w:rPr>
        <w:t>8</w:t>
      </w:r>
      <w:r w:rsidRPr="00015CB7">
        <w:rPr>
          <w:rFonts w:cs="Arial"/>
          <w:sz w:val="20"/>
          <w:szCs w:val="20"/>
        </w:rPr>
        <w:fldChar w:fldCharType="end"/>
      </w:r>
      <w:r w:rsidR="0096288A" w:rsidRPr="00015CB7">
        <w:rPr>
          <w:rFonts w:cs="Arial"/>
          <w:sz w:val="20"/>
          <w:szCs w:val="20"/>
        </w:rPr>
        <w:t>: Statistika pregledov naprav za nanašanje FFS</w:t>
      </w:r>
      <w:bookmarkEnd w:id="57"/>
      <w:bookmarkEnd w:id="58"/>
      <w:bookmarkEnd w:id="59"/>
      <w:r w:rsidR="00B11E33">
        <w:rPr>
          <w:rFonts w:cs="Arial"/>
          <w:sz w:val="20"/>
          <w:szCs w:val="20"/>
        </w:rPr>
        <w:t xml:space="preserve"> (Vir: Uprava</w:t>
      </w:r>
      <w:r w:rsidR="00B11E33">
        <w:rPr>
          <w:rStyle w:val="Sprotnaopomba-sklic"/>
          <w:rFonts w:cs="Arial"/>
          <w:sz w:val="20"/>
          <w:szCs w:val="20"/>
        </w:rPr>
        <w:footnoteReference w:id="15"/>
      </w:r>
      <w:r w:rsidR="00B11E33">
        <w:rPr>
          <w:rFonts w:cs="Arial"/>
          <w:sz w:val="20"/>
          <w:szCs w:val="20"/>
        </w:rPr>
        <w:t>)</w:t>
      </w:r>
    </w:p>
    <w:tbl>
      <w:tblPr>
        <w:tblW w:w="5000" w:type="pct"/>
        <w:tblCellMar>
          <w:left w:w="70" w:type="dxa"/>
          <w:right w:w="70" w:type="dxa"/>
        </w:tblCellMar>
        <w:tblLook w:val="04A0" w:firstRow="1" w:lastRow="0" w:firstColumn="1" w:lastColumn="0" w:noHBand="0" w:noVBand="1"/>
      </w:tblPr>
      <w:tblGrid>
        <w:gridCol w:w="3650"/>
        <w:gridCol w:w="1016"/>
        <w:gridCol w:w="1016"/>
        <w:gridCol w:w="1016"/>
        <w:gridCol w:w="1016"/>
        <w:gridCol w:w="1016"/>
        <w:gridCol w:w="1016"/>
      </w:tblGrid>
      <w:tr w:rsidR="00015CB7" w:rsidRPr="00015CB7" w14:paraId="11BE2D80" w14:textId="77777777" w:rsidTr="00015CB7">
        <w:trPr>
          <w:trHeight w:val="289"/>
        </w:trPr>
        <w:tc>
          <w:tcPr>
            <w:tcW w:w="1871" w:type="pct"/>
            <w:tcBorders>
              <w:top w:val="single" w:sz="4" w:space="0" w:color="auto"/>
              <w:left w:val="nil"/>
              <w:bottom w:val="single" w:sz="8" w:space="0" w:color="auto"/>
              <w:right w:val="nil"/>
            </w:tcBorders>
            <w:shd w:val="clear" w:color="auto" w:fill="auto"/>
            <w:vAlign w:val="center"/>
            <w:hideMark/>
          </w:tcPr>
          <w:p w14:paraId="2A2B22D6" w14:textId="77777777" w:rsidR="00015CB7" w:rsidRPr="00015CB7" w:rsidRDefault="00015CB7" w:rsidP="00015CB7">
            <w:pPr>
              <w:spacing w:after="0" w:line="240" w:lineRule="auto"/>
              <w:jc w:val="left"/>
              <w:rPr>
                <w:rFonts w:eastAsia="Times New Roman" w:cs="Arial"/>
                <w:color w:val="000000"/>
              </w:rPr>
            </w:pPr>
            <w:r w:rsidRPr="00015CB7">
              <w:rPr>
                <w:rFonts w:eastAsia="Times New Roman" w:cs="Arial"/>
                <w:color w:val="000000"/>
              </w:rPr>
              <w:t>Leto</w:t>
            </w:r>
          </w:p>
        </w:tc>
        <w:tc>
          <w:tcPr>
            <w:tcW w:w="521" w:type="pct"/>
            <w:tcBorders>
              <w:top w:val="single" w:sz="4" w:space="0" w:color="auto"/>
              <w:left w:val="nil"/>
              <w:bottom w:val="single" w:sz="8" w:space="0" w:color="auto"/>
              <w:right w:val="nil"/>
            </w:tcBorders>
            <w:shd w:val="clear" w:color="auto" w:fill="auto"/>
            <w:noWrap/>
            <w:vAlign w:val="center"/>
            <w:hideMark/>
          </w:tcPr>
          <w:p w14:paraId="53E43A91"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2017</w:t>
            </w:r>
          </w:p>
        </w:tc>
        <w:tc>
          <w:tcPr>
            <w:tcW w:w="521" w:type="pct"/>
            <w:tcBorders>
              <w:top w:val="single" w:sz="4" w:space="0" w:color="auto"/>
              <w:left w:val="nil"/>
              <w:bottom w:val="single" w:sz="8" w:space="0" w:color="auto"/>
              <w:right w:val="nil"/>
            </w:tcBorders>
            <w:shd w:val="clear" w:color="auto" w:fill="auto"/>
            <w:noWrap/>
            <w:vAlign w:val="center"/>
            <w:hideMark/>
          </w:tcPr>
          <w:p w14:paraId="75A7A9CF"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2018</w:t>
            </w:r>
          </w:p>
        </w:tc>
        <w:tc>
          <w:tcPr>
            <w:tcW w:w="521" w:type="pct"/>
            <w:tcBorders>
              <w:top w:val="single" w:sz="4" w:space="0" w:color="auto"/>
              <w:left w:val="nil"/>
              <w:bottom w:val="single" w:sz="8" w:space="0" w:color="auto"/>
              <w:right w:val="nil"/>
            </w:tcBorders>
            <w:shd w:val="clear" w:color="auto" w:fill="auto"/>
            <w:noWrap/>
            <w:vAlign w:val="center"/>
            <w:hideMark/>
          </w:tcPr>
          <w:p w14:paraId="3C2A61EF"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2019</w:t>
            </w:r>
          </w:p>
        </w:tc>
        <w:tc>
          <w:tcPr>
            <w:tcW w:w="521" w:type="pct"/>
            <w:tcBorders>
              <w:top w:val="single" w:sz="4" w:space="0" w:color="auto"/>
              <w:left w:val="nil"/>
              <w:bottom w:val="single" w:sz="8" w:space="0" w:color="auto"/>
              <w:right w:val="nil"/>
            </w:tcBorders>
            <w:shd w:val="clear" w:color="auto" w:fill="auto"/>
            <w:noWrap/>
            <w:vAlign w:val="center"/>
            <w:hideMark/>
          </w:tcPr>
          <w:p w14:paraId="40FBF1DB"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2020</w:t>
            </w:r>
          </w:p>
        </w:tc>
        <w:tc>
          <w:tcPr>
            <w:tcW w:w="521" w:type="pct"/>
            <w:tcBorders>
              <w:top w:val="single" w:sz="4" w:space="0" w:color="auto"/>
              <w:left w:val="nil"/>
              <w:bottom w:val="single" w:sz="8" w:space="0" w:color="auto"/>
              <w:right w:val="nil"/>
            </w:tcBorders>
            <w:shd w:val="clear" w:color="auto" w:fill="auto"/>
            <w:noWrap/>
            <w:vAlign w:val="center"/>
            <w:hideMark/>
          </w:tcPr>
          <w:p w14:paraId="1C7A24D8"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2021</w:t>
            </w:r>
          </w:p>
        </w:tc>
        <w:tc>
          <w:tcPr>
            <w:tcW w:w="521" w:type="pct"/>
            <w:tcBorders>
              <w:top w:val="single" w:sz="4" w:space="0" w:color="auto"/>
              <w:left w:val="nil"/>
              <w:bottom w:val="single" w:sz="8" w:space="0" w:color="auto"/>
              <w:right w:val="nil"/>
            </w:tcBorders>
            <w:shd w:val="clear" w:color="auto" w:fill="auto"/>
            <w:noWrap/>
            <w:vAlign w:val="center"/>
            <w:hideMark/>
          </w:tcPr>
          <w:p w14:paraId="14E4347C"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2022</w:t>
            </w:r>
          </w:p>
        </w:tc>
      </w:tr>
      <w:tr w:rsidR="00015CB7" w:rsidRPr="00015CB7" w14:paraId="7D838011" w14:textId="77777777" w:rsidTr="00015CB7">
        <w:trPr>
          <w:trHeight w:val="289"/>
        </w:trPr>
        <w:tc>
          <w:tcPr>
            <w:tcW w:w="1871" w:type="pct"/>
            <w:tcBorders>
              <w:top w:val="single" w:sz="8" w:space="0" w:color="auto"/>
              <w:left w:val="nil"/>
              <w:bottom w:val="single" w:sz="8" w:space="0" w:color="auto"/>
              <w:right w:val="nil"/>
            </w:tcBorders>
            <w:shd w:val="clear" w:color="auto" w:fill="auto"/>
            <w:vAlign w:val="center"/>
            <w:hideMark/>
          </w:tcPr>
          <w:p w14:paraId="47E440AC" w14:textId="67ED8F17" w:rsidR="00015CB7" w:rsidRPr="00015CB7" w:rsidRDefault="00015CB7" w:rsidP="00015CB7">
            <w:pPr>
              <w:spacing w:after="0" w:line="240" w:lineRule="auto"/>
              <w:jc w:val="left"/>
              <w:rPr>
                <w:rFonts w:eastAsia="Times New Roman" w:cs="Arial"/>
                <w:color w:val="000000"/>
              </w:rPr>
            </w:pPr>
            <w:r w:rsidRPr="00015CB7">
              <w:rPr>
                <w:rFonts w:eastAsia="Times New Roman" w:cs="Arial"/>
                <w:color w:val="000000"/>
              </w:rPr>
              <w:t xml:space="preserve">Št. </w:t>
            </w:r>
            <w:r>
              <w:rPr>
                <w:rFonts w:eastAsia="Times New Roman" w:cs="Arial"/>
                <w:color w:val="000000"/>
              </w:rPr>
              <w:t>v</w:t>
            </w:r>
            <w:r w:rsidRPr="00015CB7">
              <w:rPr>
                <w:rFonts w:eastAsia="Times New Roman" w:cs="Arial"/>
                <w:color w:val="000000"/>
              </w:rPr>
              <w:t>pisanih naprav</w:t>
            </w:r>
          </w:p>
        </w:tc>
        <w:tc>
          <w:tcPr>
            <w:tcW w:w="521" w:type="pct"/>
            <w:tcBorders>
              <w:top w:val="single" w:sz="8" w:space="0" w:color="auto"/>
              <w:left w:val="nil"/>
              <w:bottom w:val="single" w:sz="8" w:space="0" w:color="auto"/>
              <w:right w:val="nil"/>
            </w:tcBorders>
            <w:shd w:val="clear" w:color="auto" w:fill="auto"/>
            <w:noWrap/>
            <w:vAlign w:val="center"/>
            <w:hideMark/>
          </w:tcPr>
          <w:p w14:paraId="1A91D0AA"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17.988</w:t>
            </w:r>
          </w:p>
        </w:tc>
        <w:tc>
          <w:tcPr>
            <w:tcW w:w="521" w:type="pct"/>
            <w:tcBorders>
              <w:top w:val="single" w:sz="8" w:space="0" w:color="auto"/>
              <w:left w:val="nil"/>
              <w:bottom w:val="single" w:sz="8" w:space="0" w:color="auto"/>
              <w:right w:val="nil"/>
            </w:tcBorders>
            <w:shd w:val="clear" w:color="auto" w:fill="auto"/>
            <w:noWrap/>
            <w:vAlign w:val="center"/>
            <w:hideMark/>
          </w:tcPr>
          <w:p w14:paraId="66FEDCDA"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18.636</w:t>
            </w:r>
          </w:p>
        </w:tc>
        <w:tc>
          <w:tcPr>
            <w:tcW w:w="521" w:type="pct"/>
            <w:tcBorders>
              <w:top w:val="single" w:sz="8" w:space="0" w:color="auto"/>
              <w:left w:val="nil"/>
              <w:bottom w:val="single" w:sz="8" w:space="0" w:color="auto"/>
              <w:right w:val="nil"/>
            </w:tcBorders>
            <w:shd w:val="clear" w:color="auto" w:fill="auto"/>
            <w:noWrap/>
            <w:vAlign w:val="center"/>
            <w:hideMark/>
          </w:tcPr>
          <w:p w14:paraId="5A6B81E4"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17.978</w:t>
            </w:r>
          </w:p>
        </w:tc>
        <w:tc>
          <w:tcPr>
            <w:tcW w:w="521" w:type="pct"/>
            <w:tcBorders>
              <w:top w:val="single" w:sz="8" w:space="0" w:color="auto"/>
              <w:left w:val="nil"/>
              <w:bottom w:val="single" w:sz="8" w:space="0" w:color="auto"/>
              <w:right w:val="nil"/>
            </w:tcBorders>
            <w:shd w:val="clear" w:color="auto" w:fill="auto"/>
            <w:noWrap/>
            <w:vAlign w:val="center"/>
            <w:hideMark/>
          </w:tcPr>
          <w:p w14:paraId="6962FAD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16.758</w:t>
            </w:r>
          </w:p>
        </w:tc>
        <w:tc>
          <w:tcPr>
            <w:tcW w:w="521" w:type="pct"/>
            <w:tcBorders>
              <w:top w:val="single" w:sz="8" w:space="0" w:color="auto"/>
              <w:left w:val="nil"/>
              <w:bottom w:val="single" w:sz="8" w:space="0" w:color="auto"/>
              <w:right w:val="nil"/>
            </w:tcBorders>
            <w:shd w:val="clear" w:color="auto" w:fill="auto"/>
            <w:noWrap/>
            <w:vAlign w:val="center"/>
            <w:hideMark/>
          </w:tcPr>
          <w:p w14:paraId="153E0358"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17.090</w:t>
            </w:r>
          </w:p>
        </w:tc>
        <w:tc>
          <w:tcPr>
            <w:tcW w:w="521" w:type="pct"/>
            <w:tcBorders>
              <w:top w:val="single" w:sz="8" w:space="0" w:color="auto"/>
              <w:left w:val="nil"/>
              <w:bottom w:val="single" w:sz="8" w:space="0" w:color="auto"/>
              <w:right w:val="nil"/>
            </w:tcBorders>
            <w:shd w:val="clear" w:color="auto" w:fill="auto"/>
            <w:noWrap/>
            <w:vAlign w:val="center"/>
            <w:hideMark/>
          </w:tcPr>
          <w:p w14:paraId="0712F66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16.373</w:t>
            </w:r>
          </w:p>
        </w:tc>
      </w:tr>
      <w:tr w:rsidR="00015CB7" w:rsidRPr="00015CB7" w14:paraId="4C33ECF9"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38D50449" w14:textId="0D6AD8C6" w:rsidR="00015CB7" w:rsidRPr="00015CB7" w:rsidRDefault="00015CB7" w:rsidP="00015CB7">
            <w:pPr>
              <w:spacing w:after="0" w:line="240" w:lineRule="auto"/>
              <w:jc w:val="left"/>
              <w:rPr>
                <w:rFonts w:eastAsia="Times New Roman" w:cs="Arial"/>
                <w:color w:val="000000"/>
              </w:rPr>
            </w:pPr>
            <w:r w:rsidRPr="00015CB7">
              <w:rPr>
                <w:rFonts w:eastAsia="Times New Roman" w:cs="Arial"/>
                <w:color w:val="000000"/>
              </w:rPr>
              <w:t xml:space="preserve">Št. </w:t>
            </w:r>
            <w:r>
              <w:rPr>
                <w:rFonts w:eastAsia="Times New Roman" w:cs="Arial"/>
                <w:color w:val="000000"/>
              </w:rPr>
              <w:t>p</w:t>
            </w:r>
            <w:r w:rsidRPr="00015CB7">
              <w:rPr>
                <w:rFonts w:eastAsia="Times New Roman" w:cs="Arial"/>
                <w:color w:val="000000"/>
              </w:rPr>
              <w:t>regledanih naprav</w:t>
            </w:r>
          </w:p>
        </w:tc>
        <w:tc>
          <w:tcPr>
            <w:tcW w:w="521" w:type="pct"/>
            <w:tcBorders>
              <w:top w:val="nil"/>
              <w:left w:val="nil"/>
              <w:bottom w:val="single" w:sz="8" w:space="0" w:color="auto"/>
              <w:right w:val="nil"/>
            </w:tcBorders>
            <w:shd w:val="clear" w:color="auto" w:fill="auto"/>
            <w:noWrap/>
            <w:vAlign w:val="center"/>
            <w:hideMark/>
          </w:tcPr>
          <w:p w14:paraId="5F1244F3"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8.372</w:t>
            </w:r>
          </w:p>
        </w:tc>
        <w:tc>
          <w:tcPr>
            <w:tcW w:w="521" w:type="pct"/>
            <w:tcBorders>
              <w:top w:val="nil"/>
              <w:left w:val="nil"/>
              <w:bottom w:val="single" w:sz="8" w:space="0" w:color="auto"/>
              <w:right w:val="nil"/>
            </w:tcBorders>
            <w:shd w:val="clear" w:color="auto" w:fill="auto"/>
            <w:noWrap/>
            <w:vAlign w:val="center"/>
            <w:hideMark/>
          </w:tcPr>
          <w:p w14:paraId="5AEC15B6"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1.368</w:t>
            </w:r>
          </w:p>
        </w:tc>
        <w:tc>
          <w:tcPr>
            <w:tcW w:w="521" w:type="pct"/>
            <w:tcBorders>
              <w:top w:val="nil"/>
              <w:left w:val="nil"/>
              <w:bottom w:val="single" w:sz="8" w:space="0" w:color="auto"/>
              <w:right w:val="nil"/>
            </w:tcBorders>
            <w:shd w:val="clear" w:color="auto" w:fill="auto"/>
            <w:noWrap/>
            <w:vAlign w:val="center"/>
            <w:hideMark/>
          </w:tcPr>
          <w:p w14:paraId="2E09D57D"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7.325</w:t>
            </w:r>
          </w:p>
        </w:tc>
        <w:tc>
          <w:tcPr>
            <w:tcW w:w="521" w:type="pct"/>
            <w:tcBorders>
              <w:top w:val="nil"/>
              <w:left w:val="nil"/>
              <w:bottom w:val="single" w:sz="8" w:space="0" w:color="auto"/>
              <w:right w:val="nil"/>
            </w:tcBorders>
            <w:shd w:val="clear" w:color="auto" w:fill="auto"/>
            <w:noWrap/>
            <w:vAlign w:val="center"/>
            <w:hideMark/>
          </w:tcPr>
          <w:p w14:paraId="4A4FE53D"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6.638</w:t>
            </w:r>
          </w:p>
        </w:tc>
        <w:tc>
          <w:tcPr>
            <w:tcW w:w="521" w:type="pct"/>
            <w:tcBorders>
              <w:top w:val="nil"/>
              <w:left w:val="nil"/>
              <w:bottom w:val="single" w:sz="8" w:space="0" w:color="auto"/>
              <w:right w:val="nil"/>
            </w:tcBorders>
            <w:shd w:val="clear" w:color="auto" w:fill="auto"/>
            <w:noWrap/>
            <w:vAlign w:val="center"/>
            <w:hideMark/>
          </w:tcPr>
          <w:p w14:paraId="761A444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1.985</w:t>
            </w:r>
          </w:p>
        </w:tc>
        <w:tc>
          <w:tcPr>
            <w:tcW w:w="521" w:type="pct"/>
            <w:tcBorders>
              <w:top w:val="nil"/>
              <w:left w:val="nil"/>
              <w:bottom w:val="single" w:sz="8" w:space="0" w:color="auto"/>
              <w:right w:val="nil"/>
            </w:tcBorders>
            <w:shd w:val="clear" w:color="auto" w:fill="auto"/>
            <w:noWrap/>
            <w:vAlign w:val="center"/>
            <w:hideMark/>
          </w:tcPr>
          <w:p w14:paraId="68BA3FF1"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6.648</w:t>
            </w:r>
          </w:p>
        </w:tc>
      </w:tr>
      <w:tr w:rsidR="00015CB7" w:rsidRPr="00015CB7" w14:paraId="745AC7F8"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7F16DFEC" w14:textId="548F329E" w:rsidR="00015CB7" w:rsidRPr="00015CB7" w:rsidRDefault="00015CB7" w:rsidP="00015CB7">
            <w:pPr>
              <w:spacing w:after="0" w:line="240" w:lineRule="auto"/>
              <w:jc w:val="left"/>
              <w:rPr>
                <w:rFonts w:eastAsia="Times New Roman" w:cs="Arial"/>
                <w:color w:val="000000"/>
              </w:rPr>
            </w:pPr>
            <w:r w:rsidRPr="00015CB7">
              <w:rPr>
                <w:rFonts w:eastAsia="Times New Roman" w:cs="Arial"/>
                <w:color w:val="000000"/>
              </w:rPr>
              <w:t xml:space="preserve">Št. </w:t>
            </w:r>
            <w:r>
              <w:rPr>
                <w:rFonts w:eastAsia="Times New Roman" w:cs="Arial"/>
                <w:color w:val="000000"/>
              </w:rPr>
              <w:t>u</w:t>
            </w:r>
            <w:r w:rsidRPr="00015CB7">
              <w:rPr>
                <w:rFonts w:eastAsia="Times New Roman" w:cs="Arial"/>
                <w:color w:val="000000"/>
              </w:rPr>
              <w:t>streznih naprav</w:t>
            </w:r>
          </w:p>
        </w:tc>
        <w:tc>
          <w:tcPr>
            <w:tcW w:w="521" w:type="pct"/>
            <w:tcBorders>
              <w:top w:val="nil"/>
              <w:left w:val="nil"/>
              <w:bottom w:val="single" w:sz="8" w:space="0" w:color="auto"/>
              <w:right w:val="nil"/>
            </w:tcBorders>
            <w:shd w:val="clear" w:color="auto" w:fill="auto"/>
            <w:noWrap/>
            <w:vAlign w:val="center"/>
            <w:hideMark/>
          </w:tcPr>
          <w:p w14:paraId="2B996E4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8.312</w:t>
            </w:r>
          </w:p>
        </w:tc>
        <w:tc>
          <w:tcPr>
            <w:tcW w:w="521" w:type="pct"/>
            <w:tcBorders>
              <w:top w:val="nil"/>
              <w:left w:val="nil"/>
              <w:bottom w:val="single" w:sz="8" w:space="0" w:color="auto"/>
              <w:right w:val="nil"/>
            </w:tcBorders>
            <w:shd w:val="clear" w:color="auto" w:fill="auto"/>
            <w:noWrap/>
            <w:vAlign w:val="center"/>
            <w:hideMark/>
          </w:tcPr>
          <w:p w14:paraId="382851EA"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1.347</w:t>
            </w:r>
          </w:p>
        </w:tc>
        <w:tc>
          <w:tcPr>
            <w:tcW w:w="521" w:type="pct"/>
            <w:tcBorders>
              <w:top w:val="nil"/>
              <w:left w:val="nil"/>
              <w:bottom w:val="single" w:sz="8" w:space="0" w:color="auto"/>
              <w:right w:val="nil"/>
            </w:tcBorders>
            <w:shd w:val="clear" w:color="auto" w:fill="auto"/>
            <w:noWrap/>
            <w:vAlign w:val="center"/>
            <w:hideMark/>
          </w:tcPr>
          <w:p w14:paraId="7DDB59B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7.278</w:t>
            </w:r>
          </w:p>
        </w:tc>
        <w:tc>
          <w:tcPr>
            <w:tcW w:w="521" w:type="pct"/>
            <w:tcBorders>
              <w:top w:val="nil"/>
              <w:left w:val="nil"/>
              <w:bottom w:val="single" w:sz="8" w:space="0" w:color="auto"/>
              <w:right w:val="nil"/>
            </w:tcBorders>
            <w:shd w:val="clear" w:color="auto" w:fill="auto"/>
            <w:noWrap/>
            <w:vAlign w:val="center"/>
            <w:hideMark/>
          </w:tcPr>
          <w:p w14:paraId="630DCE45"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6.577</w:t>
            </w:r>
          </w:p>
        </w:tc>
        <w:tc>
          <w:tcPr>
            <w:tcW w:w="521" w:type="pct"/>
            <w:tcBorders>
              <w:top w:val="nil"/>
              <w:left w:val="nil"/>
              <w:bottom w:val="single" w:sz="8" w:space="0" w:color="auto"/>
              <w:right w:val="nil"/>
            </w:tcBorders>
            <w:shd w:val="clear" w:color="auto" w:fill="auto"/>
            <w:noWrap/>
            <w:vAlign w:val="center"/>
            <w:hideMark/>
          </w:tcPr>
          <w:p w14:paraId="23AF1299"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1.972</w:t>
            </w:r>
          </w:p>
        </w:tc>
        <w:tc>
          <w:tcPr>
            <w:tcW w:w="521" w:type="pct"/>
            <w:tcBorders>
              <w:top w:val="nil"/>
              <w:left w:val="nil"/>
              <w:bottom w:val="single" w:sz="8" w:space="0" w:color="auto"/>
              <w:right w:val="nil"/>
            </w:tcBorders>
            <w:shd w:val="clear" w:color="auto" w:fill="auto"/>
            <w:noWrap/>
            <w:vAlign w:val="center"/>
            <w:hideMark/>
          </w:tcPr>
          <w:p w14:paraId="0E692FC8"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6.619</w:t>
            </w:r>
          </w:p>
        </w:tc>
      </w:tr>
      <w:tr w:rsidR="00015CB7" w:rsidRPr="00015CB7" w14:paraId="780594F3"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59B67DC3" w14:textId="0BA5818D" w:rsidR="00015CB7" w:rsidRPr="00015CB7" w:rsidRDefault="00015CB7" w:rsidP="00015CB7">
            <w:pPr>
              <w:spacing w:after="0" w:line="240" w:lineRule="auto"/>
              <w:jc w:val="left"/>
              <w:rPr>
                <w:rFonts w:eastAsia="Times New Roman" w:cs="Arial"/>
                <w:color w:val="000000"/>
              </w:rPr>
            </w:pPr>
            <w:r>
              <w:rPr>
                <w:rFonts w:eastAsia="Times New Roman" w:cs="Arial"/>
                <w:color w:val="000000"/>
              </w:rPr>
              <w:t>Delež</w:t>
            </w:r>
            <w:r w:rsidRPr="00015CB7">
              <w:rPr>
                <w:rFonts w:eastAsia="Times New Roman" w:cs="Arial"/>
                <w:color w:val="000000"/>
              </w:rPr>
              <w:t xml:space="preserve"> pregledanih naprav</w:t>
            </w:r>
          </w:p>
        </w:tc>
        <w:tc>
          <w:tcPr>
            <w:tcW w:w="521" w:type="pct"/>
            <w:tcBorders>
              <w:top w:val="nil"/>
              <w:left w:val="nil"/>
              <w:bottom w:val="single" w:sz="8" w:space="0" w:color="auto"/>
              <w:right w:val="nil"/>
            </w:tcBorders>
            <w:shd w:val="clear" w:color="auto" w:fill="auto"/>
            <w:noWrap/>
            <w:vAlign w:val="center"/>
            <w:hideMark/>
          </w:tcPr>
          <w:p w14:paraId="490387AB" w14:textId="5F682D13"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46,54</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27787F31" w14:textId="3E914D39"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7,34</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54B44CFF" w14:textId="64CA1A73"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40,74</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23FAB671" w14:textId="2278936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39,61</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6435E4CA" w14:textId="19179795"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11,61</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02970E20" w14:textId="1275B70C"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40,6</w:t>
            </w:r>
            <w:r w:rsidR="00F96327">
              <w:rPr>
                <w:rFonts w:eastAsia="Times New Roman" w:cs="Arial"/>
                <w:color w:val="000000"/>
              </w:rPr>
              <w:t xml:space="preserve"> </w:t>
            </w:r>
            <w:r w:rsidR="00F96327">
              <w:rPr>
                <w:rFonts w:eastAsia="Times New Roman"/>
                <w:color w:val="000000"/>
              </w:rPr>
              <w:t>%</w:t>
            </w:r>
          </w:p>
        </w:tc>
      </w:tr>
      <w:tr w:rsidR="00015CB7" w:rsidRPr="00015CB7" w14:paraId="7FA5BD9F"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09301862" w14:textId="6471D180" w:rsidR="00015CB7" w:rsidRPr="00015CB7" w:rsidRDefault="00015CB7" w:rsidP="00015CB7">
            <w:pPr>
              <w:spacing w:after="0" w:line="240" w:lineRule="auto"/>
              <w:jc w:val="left"/>
              <w:rPr>
                <w:rFonts w:eastAsia="Times New Roman" w:cs="Arial"/>
                <w:color w:val="000000"/>
              </w:rPr>
            </w:pPr>
            <w:r>
              <w:rPr>
                <w:rFonts w:eastAsia="Times New Roman" w:cs="Arial"/>
                <w:color w:val="000000"/>
              </w:rPr>
              <w:t xml:space="preserve">Delež </w:t>
            </w:r>
            <w:r w:rsidRPr="00015CB7">
              <w:rPr>
                <w:rFonts w:eastAsia="Times New Roman" w:cs="Arial"/>
                <w:color w:val="000000"/>
              </w:rPr>
              <w:t>ustreznih naprav</w:t>
            </w:r>
          </w:p>
        </w:tc>
        <w:tc>
          <w:tcPr>
            <w:tcW w:w="521" w:type="pct"/>
            <w:tcBorders>
              <w:top w:val="nil"/>
              <w:left w:val="nil"/>
              <w:bottom w:val="single" w:sz="8" w:space="0" w:color="auto"/>
              <w:right w:val="nil"/>
            </w:tcBorders>
            <w:shd w:val="clear" w:color="auto" w:fill="auto"/>
            <w:noWrap/>
            <w:vAlign w:val="center"/>
            <w:hideMark/>
          </w:tcPr>
          <w:p w14:paraId="15241396" w14:textId="2A921B15"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99,28</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24102CDF" w14:textId="792BE454"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98,46</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1B963683" w14:textId="2E96F5F4"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99,36</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6CB60EB6" w14:textId="6754BD71"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99,08</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1F5F5521" w14:textId="73EA8351"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99,35</w:t>
            </w:r>
            <w:r w:rsidR="00F96327">
              <w:rPr>
                <w:rFonts w:eastAsia="Times New Roman" w:cs="Arial"/>
                <w:color w:val="000000"/>
              </w:rPr>
              <w:t xml:space="preserve"> </w:t>
            </w:r>
            <w:r w:rsidR="00F96327">
              <w:rPr>
                <w:rFonts w:eastAsia="Times New Roman"/>
                <w:color w:val="000000"/>
              </w:rPr>
              <w:t>%</w:t>
            </w:r>
          </w:p>
        </w:tc>
        <w:tc>
          <w:tcPr>
            <w:tcW w:w="521" w:type="pct"/>
            <w:tcBorders>
              <w:top w:val="nil"/>
              <w:left w:val="nil"/>
              <w:bottom w:val="single" w:sz="8" w:space="0" w:color="auto"/>
              <w:right w:val="nil"/>
            </w:tcBorders>
            <w:shd w:val="clear" w:color="auto" w:fill="auto"/>
            <w:noWrap/>
            <w:vAlign w:val="center"/>
            <w:hideMark/>
          </w:tcPr>
          <w:p w14:paraId="275193F4" w14:textId="070C0752"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99,56</w:t>
            </w:r>
            <w:r w:rsidR="00F96327">
              <w:rPr>
                <w:rFonts w:eastAsia="Times New Roman" w:cs="Arial"/>
                <w:color w:val="000000"/>
              </w:rPr>
              <w:t xml:space="preserve"> </w:t>
            </w:r>
            <w:r w:rsidR="00F96327">
              <w:rPr>
                <w:rFonts w:eastAsia="Times New Roman"/>
                <w:color w:val="000000"/>
              </w:rPr>
              <w:t>%</w:t>
            </w:r>
          </w:p>
        </w:tc>
      </w:tr>
    </w:tbl>
    <w:p w14:paraId="2F239917" w14:textId="0FD06C24" w:rsidR="00DB1C32" w:rsidRDefault="00DB1C32" w:rsidP="00B7219E">
      <w:pPr>
        <w:spacing w:before="80" w:after="80" w:line="220" w:lineRule="atLeast"/>
        <w:rPr>
          <w:rFonts w:eastAsia="Times New Roman" w:cs="Arial"/>
        </w:rPr>
      </w:pPr>
    </w:p>
    <w:p w14:paraId="48204833" w14:textId="61CC8CEF" w:rsidR="0096288A" w:rsidRDefault="0096288A" w:rsidP="00015CB7">
      <w:r w:rsidRPr="0096288A">
        <w:t xml:space="preserve">Ocenjujemo, da so v </w:t>
      </w:r>
      <w:r w:rsidR="002233FA">
        <w:t>Evidenco pregledanih naprav</w:t>
      </w:r>
      <w:r w:rsidRPr="0096288A">
        <w:t xml:space="preserve"> vpisane vse naprave v uporabi</w:t>
      </w:r>
      <w:r w:rsidR="00015CB7">
        <w:t xml:space="preserve">. </w:t>
      </w:r>
      <w:r>
        <w:t>Njihovo število rahlo niha, odvisno je od menjave starih naprav za nove</w:t>
      </w:r>
      <w:r w:rsidR="00533ABD">
        <w:t xml:space="preserve">, trend rahlega upadanja pa lahko nakazuje manjšanje števila poklicnih uporabnikov FFS. </w:t>
      </w:r>
      <w:r w:rsidR="00B041D7">
        <w:t xml:space="preserve">Število naprav se je od leta 2017 zmanjšalo za </w:t>
      </w:r>
      <w:r w:rsidR="00FF2F6F">
        <w:t>okrog</w:t>
      </w:r>
      <w:r w:rsidR="00B041D7">
        <w:t xml:space="preserve"> 10</w:t>
      </w:r>
      <w:r w:rsidR="00015CB7">
        <w:t xml:space="preserve"> </w:t>
      </w:r>
      <w:r w:rsidR="00B041D7">
        <w:t>%</w:t>
      </w:r>
      <w:r w:rsidR="00B041D7" w:rsidRPr="00B041D7">
        <w:t xml:space="preserve"> </w:t>
      </w:r>
      <w:r w:rsidR="00B041D7">
        <w:t>v letu 2022.</w:t>
      </w:r>
    </w:p>
    <w:p w14:paraId="29400727" w14:textId="7FC4257A" w:rsidR="0096288A" w:rsidRPr="003150A7" w:rsidRDefault="0096288A" w:rsidP="00533ABD">
      <w:pPr>
        <w:spacing w:before="80" w:after="80" w:line="220" w:lineRule="atLeast"/>
        <w:jc w:val="center"/>
        <w:rPr>
          <w:rFonts w:eastAsia="Times New Roman" w:cs="Arial"/>
        </w:rPr>
      </w:pPr>
      <w:r>
        <w:rPr>
          <w:noProof/>
        </w:rPr>
        <w:drawing>
          <wp:inline distT="0" distB="0" distL="0" distR="0" wp14:anchorId="22DEAF2F" wp14:editId="774108EB">
            <wp:extent cx="4680000" cy="2520000"/>
            <wp:effectExtent l="0" t="0" r="6350" b="13970"/>
            <wp:docPr id="3" name="Grafikon 3">
              <a:extLst xmlns:a="http://schemas.openxmlformats.org/drawingml/2006/main">
                <a:ext uri="{FF2B5EF4-FFF2-40B4-BE49-F238E27FC236}">
                  <a16:creationId xmlns:a16="http://schemas.microsoft.com/office/drawing/2014/main" id="{03A13A0B-AB3B-9BFF-7920-9B11C967A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912B17" w14:textId="4EC498EC" w:rsidR="00376B37" w:rsidRPr="00015CB7" w:rsidRDefault="005F009C" w:rsidP="005F009C">
      <w:pPr>
        <w:pStyle w:val="Napis"/>
        <w:jc w:val="center"/>
        <w:rPr>
          <w:rFonts w:cs="Arial"/>
          <w:color w:val="000000"/>
          <w:sz w:val="20"/>
          <w:szCs w:val="20"/>
        </w:rPr>
      </w:pPr>
      <w:bookmarkStart w:id="60" w:name="_Toc151554963"/>
      <w:r w:rsidRPr="00015CB7">
        <w:rPr>
          <w:rFonts w:cs="Arial"/>
          <w:sz w:val="20"/>
          <w:szCs w:val="20"/>
        </w:rPr>
        <w:t xml:space="preserve">Slika </w:t>
      </w:r>
      <w:r w:rsidRPr="00015CB7">
        <w:rPr>
          <w:rFonts w:cs="Arial"/>
          <w:sz w:val="20"/>
          <w:szCs w:val="20"/>
        </w:rPr>
        <w:fldChar w:fldCharType="begin"/>
      </w:r>
      <w:r w:rsidRPr="00015CB7">
        <w:rPr>
          <w:rFonts w:cs="Arial"/>
          <w:sz w:val="20"/>
          <w:szCs w:val="20"/>
        </w:rPr>
        <w:instrText xml:space="preserve"> SEQ Slika \* ARABIC </w:instrText>
      </w:r>
      <w:r w:rsidRPr="00015CB7">
        <w:rPr>
          <w:rFonts w:cs="Arial"/>
          <w:sz w:val="20"/>
          <w:szCs w:val="20"/>
        </w:rPr>
        <w:fldChar w:fldCharType="separate"/>
      </w:r>
      <w:r w:rsidR="00D24AE7">
        <w:rPr>
          <w:rFonts w:cs="Arial"/>
          <w:noProof/>
          <w:sz w:val="20"/>
          <w:szCs w:val="20"/>
        </w:rPr>
        <w:t>5</w:t>
      </w:r>
      <w:r w:rsidRPr="00015CB7">
        <w:rPr>
          <w:rFonts w:cs="Arial"/>
          <w:sz w:val="20"/>
          <w:szCs w:val="20"/>
        </w:rPr>
        <w:fldChar w:fldCharType="end"/>
      </w:r>
      <w:r w:rsidR="00533ABD" w:rsidRPr="00015CB7">
        <w:rPr>
          <w:rFonts w:cs="Arial"/>
          <w:sz w:val="20"/>
          <w:szCs w:val="20"/>
        </w:rPr>
        <w:t>: Število vpisanih in pregledanih naprav</w:t>
      </w:r>
      <w:bookmarkEnd w:id="60"/>
    </w:p>
    <w:p w14:paraId="6ADEEAD6" w14:textId="361E0188" w:rsidR="00533ABD" w:rsidRDefault="00533ABD" w:rsidP="00015CB7">
      <w:r>
        <w:t xml:space="preserve">Število pregledov naprav niha zaradi 3 letnega intervala, v katerem mora biti naprava pregledana in se vsako tretje leto primerjalno spremeni. </w:t>
      </w:r>
    </w:p>
    <w:p w14:paraId="622D99D3" w14:textId="34E21C32" w:rsidR="00533ABD" w:rsidRPr="00015CB7" w:rsidRDefault="00B227C3" w:rsidP="00015CB7">
      <w:r>
        <w:t>Delež</w:t>
      </w:r>
      <w:r w:rsidR="00533ABD">
        <w:t xml:space="preserve"> ustreznih naprav je zelo visok, okoli 99</w:t>
      </w:r>
      <w:r w:rsidR="00F96327">
        <w:t xml:space="preserve"> </w:t>
      </w:r>
      <w:r w:rsidR="00533ABD">
        <w:t>% naprav uspešno opravi pregled</w:t>
      </w:r>
      <w:r w:rsidR="00D016A9">
        <w:t xml:space="preserve"> pri prvem ali ponovnem pregledu</w:t>
      </w:r>
      <w:r w:rsidR="00533ABD">
        <w:t xml:space="preserve">. Naprave, ki ne opravijo pregleda uspešno, preglednik napoti na popravilo in ji ne izda potrdila in nalepke o ustreznosti naprave, dokler naprava </w:t>
      </w:r>
      <w:r w:rsidR="004C2AA4">
        <w:t>ni ustrezna</w:t>
      </w:r>
      <w:r w:rsidR="00533ABD">
        <w:t xml:space="preserve">. </w:t>
      </w:r>
    </w:p>
    <w:p w14:paraId="1075E04D" w14:textId="524B346F" w:rsidR="002D6BF5" w:rsidRPr="00015CB7" w:rsidRDefault="002D6BF5" w:rsidP="00015CB7">
      <w:pPr>
        <w:pStyle w:val="Naslov3"/>
      </w:pPr>
      <w:bookmarkStart w:id="61" w:name="_Toc170816417"/>
      <w:r w:rsidRPr="00015CB7">
        <w:t xml:space="preserve">Usposabljanje </w:t>
      </w:r>
      <w:r w:rsidR="002233FA" w:rsidRPr="00015CB7">
        <w:t>za ravnanje s</w:t>
      </w:r>
      <w:r w:rsidRPr="00015CB7">
        <w:t xml:space="preserve"> FFS</w:t>
      </w:r>
      <w:bookmarkEnd w:id="61"/>
      <w:r w:rsidRPr="00015CB7">
        <w:t xml:space="preserve"> </w:t>
      </w:r>
    </w:p>
    <w:p w14:paraId="152AA3D2" w14:textId="135358EA" w:rsidR="002D6BF5" w:rsidRDefault="002D6BF5" w:rsidP="00015CB7">
      <w:r w:rsidRPr="00A2495C">
        <w:t xml:space="preserve">Podobno kot pregled naprav za nanašanje FFS, je tudi usposabljanje </w:t>
      </w:r>
      <w:r w:rsidR="00363904">
        <w:t xml:space="preserve">izvajalcev ukrepov varstva rastlin (v nadaljevanju: </w:t>
      </w:r>
      <w:r w:rsidRPr="00A2495C">
        <w:t>uporabnikov</w:t>
      </w:r>
      <w:r>
        <w:t xml:space="preserve"> FFS</w:t>
      </w:r>
      <w:r w:rsidR="00363904">
        <w:t>)</w:t>
      </w:r>
      <w:r w:rsidRPr="00A2495C">
        <w:t xml:space="preserve">, prodajalcev </w:t>
      </w:r>
      <w:r>
        <w:t xml:space="preserve">FFS </w:t>
      </w:r>
      <w:r w:rsidRPr="00A2495C">
        <w:t xml:space="preserve">in svetovalcev </w:t>
      </w:r>
      <w:r w:rsidR="009C6851">
        <w:t xml:space="preserve">za </w:t>
      </w:r>
      <w:r>
        <w:t>FFS</w:t>
      </w:r>
      <w:r w:rsidRPr="00A2495C">
        <w:t xml:space="preserve"> dolgoleten utečen sistem. </w:t>
      </w:r>
      <w:r>
        <w:t>Ocenjujemo, da so vsi svetovalci za FFS, prodajalci FFS in poklicni uporabniki</w:t>
      </w:r>
      <w:r w:rsidR="009C6851">
        <w:t xml:space="preserve"> FFS</w:t>
      </w:r>
      <w:r>
        <w:t xml:space="preserve"> opravili osnovno usposabljanje in se redno udeležujejo obnovitvenih usposabljanj za podaljšanje veljavnosti izkaznice. </w:t>
      </w:r>
    </w:p>
    <w:p w14:paraId="48A70964" w14:textId="71A1FBB8" w:rsidR="00674617" w:rsidRPr="005E7E49" w:rsidRDefault="002D6BF5" w:rsidP="00015CB7">
      <w:r>
        <w:lastRenderedPageBreak/>
        <w:t xml:space="preserve">Na usposabljanju jim predavatelji podajo vsebine, zakonsko določene na podlagi zahtev EU direktive o trajnostni uporabi FFS. </w:t>
      </w:r>
    </w:p>
    <w:p w14:paraId="4D23C815" w14:textId="535379C2" w:rsidR="002D6BF5" w:rsidRPr="00015CB7" w:rsidRDefault="00DC3204" w:rsidP="00DC3204">
      <w:pPr>
        <w:pStyle w:val="Napis"/>
        <w:rPr>
          <w:rFonts w:eastAsia="Times New Roman" w:cs="Arial"/>
          <w:sz w:val="20"/>
          <w:szCs w:val="20"/>
        </w:rPr>
      </w:pPr>
      <w:bookmarkStart w:id="62" w:name="_Toc149825609"/>
      <w:bookmarkStart w:id="63" w:name="_Toc151116358"/>
      <w:bookmarkStart w:id="64" w:name="_Toc152153152"/>
      <w:r w:rsidRPr="00015CB7">
        <w:rPr>
          <w:rFonts w:cs="Arial"/>
          <w:sz w:val="20"/>
          <w:szCs w:val="20"/>
        </w:rPr>
        <w:t xml:space="preserve">Preglednica </w:t>
      </w:r>
      <w:r w:rsidRPr="00015CB7">
        <w:rPr>
          <w:rFonts w:cs="Arial"/>
          <w:sz w:val="20"/>
          <w:szCs w:val="20"/>
        </w:rPr>
        <w:fldChar w:fldCharType="begin"/>
      </w:r>
      <w:r w:rsidRPr="00015CB7">
        <w:rPr>
          <w:rFonts w:cs="Arial"/>
          <w:sz w:val="20"/>
          <w:szCs w:val="20"/>
        </w:rPr>
        <w:instrText xml:space="preserve"> SEQ Preglednica \* ARABIC </w:instrText>
      </w:r>
      <w:r w:rsidRPr="00015CB7">
        <w:rPr>
          <w:rFonts w:cs="Arial"/>
          <w:sz w:val="20"/>
          <w:szCs w:val="20"/>
        </w:rPr>
        <w:fldChar w:fldCharType="separate"/>
      </w:r>
      <w:r w:rsidR="00DB7441">
        <w:rPr>
          <w:rFonts w:cs="Arial"/>
          <w:noProof/>
          <w:sz w:val="20"/>
          <w:szCs w:val="20"/>
        </w:rPr>
        <w:t>9</w:t>
      </w:r>
      <w:r w:rsidRPr="00015CB7">
        <w:rPr>
          <w:rFonts w:cs="Arial"/>
          <w:sz w:val="20"/>
          <w:szCs w:val="20"/>
        </w:rPr>
        <w:fldChar w:fldCharType="end"/>
      </w:r>
      <w:r w:rsidR="008B7D3B" w:rsidRPr="00015CB7">
        <w:rPr>
          <w:rFonts w:cs="Arial"/>
          <w:sz w:val="20"/>
          <w:szCs w:val="20"/>
        </w:rPr>
        <w:t>:</w:t>
      </w:r>
      <w:r w:rsidR="002D6BF5" w:rsidRPr="00015CB7">
        <w:rPr>
          <w:rFonts w:cs="Arial"/>
          <w:sz w:val="20"/>
          <w:szCs w:val="20"/>
        </w:rPr>
        <w:t xml:space="preserve"> Število veljavnih izkaznic o usposabljanju za </w:t>
      </w:r>
      <w:r w:rsidR="00363904" w:rsidRPr="00015CB7">
        <w:rPr>
          <w:rFonts w:cs="Arial"/>
          <w:sz w:val="20"/>
          <w:szCs w:val="20"/>
        </w:rPr>
        <w:t xml:space="preserve">ravnanje s </w:t>
      </w:r>
      <w:r w:rsidR="002D6BF5" w:rsidRPr="00015CB7">
        <w:rPr>
          <w:rFonts w:cs="Arial"/>
          <w:sz w:val="20"/>
          <w:szCs w:val="20"/>
        </w:rPr>
        <w:t xml:space="preserve">FFS po letih in </w:t>
      </w:r>
      <w:r w:rsidR="00B227C3">
        <w:rPr>
          <w:rFonts w:cs="Arial"/>
          <w:sz w:val="20"/>
          <w:szCs w:val="20"/>
        </w:rPr>
        <w:t>delež</w:t>
      </w:r>
      <w:r w:rsidR="002D6BF5" w:rsidRPr="00015CB7">
        <w:rPr>
          <w:rFonts w:cs="Arial"/>
          <w:sz w:val="20"/>
          <w:szCs w:val="20"/>
        </w:rPr>
        <w:t xml:space="preserve"> izkaznic za svetovalce za FFS, prodajalce FFS in uporabnike FFS</w:t>
      </w:r>
      <w:bookmarkEnd w:id="62"/>
      <w:bookmarkEnd w:id="63"/>
      <w:bookmarkEnd w:id="64"/>
      <w:r w:rsidR="00B11E33">
        <w:rPr>
          <w:rFonts w:cs="Arial"/>
          <w:sz w:val="20"/>
          <w:szCs w:val="20"/>
        </w:rPr>
        <w:t xml:space="preserve"> (Vir: Uprava</w:t>
      </w:r>
      <w:r w:rsidR="00B11E33">
        <w:rPr>
          <w:rStyle w:val="Sprotnaopomba-sklic"/>
          <w:rFonts w:cs="Arial"/>
          <w:sz w:val="20"/>
          <w:szCs w:val="20"/>
        </w:rPr>
        <w:footnoteReference w:id="16"/>
      </w:r>
      <w:r w:rsidR="00B11E33">
        <w:rPr>
          <w:rFonts w:cs="Arial"/>
          <w:sz w:val="20"/>
          <w:szCs w:val="20"/>
        </w:rPr>
        <w:t>)</w:t>
      </w:r>
    </w:p>
    <w:tbl>
      <w:tblPr>
        <w:tblW w:w="5000" w:type="pct"/>
        <w:tblCellMar>
          <w:left w:w="70" w:type="dxa"/>
          <w:right w:w="70" w:type="dxa"/>
        </w:tblCellMar>
        <w:tblLook w:val="04A0" w:firstRow="1" w:lastRow="0" w:firstColumn="1" w:lastColumn="0" w:noHBand="0" w:noVBand="1"/>
      </w:tblPr>
      <w:tblGrid>
        <w:gridCol w:w="3369"/>
        <w:gridCol w:w="1063"/>
        <w:gridCol w:w="1063"/>
        <w:gridCol w:w="1063"/>
        <w:gridCol w:w="1063"/>
        <w:gridCol w:w="1063"/>
        <w:gridCol w:w="1062"/>
      </w:tblGrid>
      <w:tr w:rsidR="00015CB7" w:rsidRPr="00015CB7" w14:paraId="62D6DFDC" w14:textId="77777777" w:rsidTr="00015CB7">
        <w:trPr>
          <w:trHeight w:val="289"/>
        </w:trPr>
        <w:tc>
          <w:tcPr>
            <w:tcW w:w="1727" w:type="pct"/>
            <w:tcBorders>
              <w:top w:val="single" w:sz="4" w:space="0" w:color="auto"/>
              <w:left w:val="nil"/>
              <w:bottom w:val="single" w:sz="8" w:space="0" w:color="auto"/>
              <w:right w:val="nil"/>
            </w:tcBorders>
            <w:shd w:val="clear" w:color="auto" w:fill="auto"/>
            <w:vAlign w:val="center"/>
            <w:hideMark/>
          </w:tcPr>
          <w:p w14:paraId="3148ADFE" w14:textId="77777777" w:rsidR="00015CB7" w:rsidRPr="00015CB7" w:rsidRDefault="00015CB7" w:rsidP="00015CB7">
            <w:pPr>
              <w:spacing w:after="0" w:line="240" w:lineRule="auto"/>
              <w:rPr>
                <w:rFonts w:eastAsia="Times New Roman" w:cs="Arial"/>
                <w:color w:val="000000"/>
              </w:rPr>
            </w:pPr>
            <w:r w:rsidRPr="00015CB7">
              <w:rPr>
                <w:rFonts w:eastAsia="Times New Roman" w:cs="Arial"/>
                <w:color w:val="000000"/>
              </w:rPr>
              <w:t>Leto</w:t>
            </w:r>
          </w:p>
        </w:tc>
        <w:tc>
          <w:tcPr>
            <w:tcW w:w="545" w:type="pct"/>
            <w:tcBorders>
              <w:top w:val="single" w:sz="4" w:space="0" w:color="auto"/>
              <w:left w:val="nil"/>
              <w:bottom w:val="single" w:sz="8" w:space="0" w:color="auto"/>
              <w:right w:val="nil"/>
            </w:tcBorders>
            <w:shd w:val="clear" w:color="auto" w:fill="auto"/>
            <w:noWrap/>
            <w:vAlign w:val="center"/>
            <w:hideMark/>
          </w:tcPr>
          <w:p w14:paraId="4C47C2F6"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2017</w:t>
            </w:r>
          </w:p>
        </w:tc>
        <w:tc>
          <w:tcPr>
            <w:tcW w:w="545" w:type="pct"/>
            <w:tcBorders>
              <w:top w:val="single" w:sz="4" w:space="0" w:color="auto"/>
              <w:left w:val="nil"/>
              <w:bottom w:val="single" w:sz="8" w:space="0" w:color="auto"/>
              <w:right w:val="nil"/>
            </w:tcBorders>
            <w:shd w:val="clear" w:color="auto" w:fill="auto"/>
            <w:noWrap/>
            <w:vAlign w:val="center"/>
            <w:hideMark/>
          </w:tcPr>
          <w:p w14:paraId="780F4176"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2018</w:t>
            </w:r>
          </w:p>
        </w:tc>
        <w:tc>
          <w:tcPr>
            <w:tcW w:w="545" w:type="pct"/>
            <w:tcBorders>
              <w:top w:val="single" w:sz="4" w:space="0" w:color="auto"/>
              <w:left w:val="nil"/>
              <w:bottom w:val="single" w:sz="8" w:space="0" w:color="auto"/>
              <w:right w:val="nil"/>
            </w:tcBorders>
            <w:shd w:val="clear" w:color="auto" w:fill="auto"/>
            <w:noWrap/>
            <w:vAlign w:val="center"/>
            <w:hideMark/>
          </w:tcPr>
          <w:p w14:paraId="7C4F53DC"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2019</w:t>
            </w:r>
          </w:p>
        </w:tc>
        <w:tc>
          <w:tcPr>
            <w:tcW w:w="545" w:type="pct"/>
            <w:tcBorders>
              <w:top w:val="single" w:sz="4" w:space="0" w:color="auto"/>
              <w:left w:val="nil"/>
              <w:bottom w:val="single" w:sz="8" w:space="0" w:color="auto"/>
              <w:right w:val="nil"/>
            </w:tcBorders>
            <w:shd w:val="clear" w:color="auto" w:fill="auto"/>
            <w:noWrap/>
            <w:vAlign w:val="center"/>
            <w:hideMark/>
          </w:tcPr>
          <w:p w14:paraId="0A5112D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2020</w:t>
            </w:r>
          </w:p>
        </w:tc>
        <w:tc>
          <w:tcPr>
            <w:tcW w:w="545" w:type="pct"/>
            <w:tcBorders>
              <w:top w:val="single" w:sz="4" w:space="0" w:color="auto"/>
              <w:left w:val="nil"/>
              <w:bottom w:val="single" w:sz="8" w:space="0" w:color="auto"/>
              <w:right w:val="nil"/>
            </w:tcBorders>
            <w:shd w:val="clear" w:color="auto" w:fill="auto"/>
            <w:noWrap/>
            <w:vAlign w:val="center"/>
            <w:hideMark/>
          </w:tcPr>
          <w:p w14:paraId="634C7594"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2021</w:t>
            </w:r>
          </w:p>
        </w:tc>
        <w:tc>
          <w:tcPr>
            <w:tcW w:w="545" w:type="pct"/>
            <w:tcBorders>
              <w:top w:val="single" w:sz="4" w:space="0" w:color="auto"/>
              <w:left w:val="nil"/>
              <w:bottom w:val="single" w:sz="8" w:space="0" w:color="auto"/>
              <w:right w:val="nil"/>
            </w:tcBorders>
            <w:shd w:val="clear" w:color="auto" w:fill="auto"/>
            <w:noWrap/>
            <w:vAlign w:val="center"/>
            <w:hideMark/>
          </w:tcPr>
          <w:p w14:paraId="0747A6CE"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2022</w:t>
            </w:r>
          </w:p>
        </w:tc>
      </w:tr>
      <w:tr w:rsidR="00015CB7" w:rsidRPr="00015CB7" w14:paraId="7E13F3F2"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6856EF82" w14:textId="7ABEA7F7" w:rsidR="00015CB7" w:rsidRPr="00015CB7" w:rsidRDefault="00015CB7" w:rsidP="00015CB7">
            <w:pPr>
              <w:spacing w:after="0" w:line="240" w:lineRule="auto"/>
              <w:rPr>
                <w:rFonts w:eastAsia="Times New Roman" w:cs="Arial"/>
                <w:color w:val="000000"/>
              </w:rPr>
            </w:pPr>
            <w:r w:rsidRPr="00015CB7">
              <w:rPr>
                <w:rFonts w:eastAsia="Times New Roman" w:cs="Arial"/>
                <w:color w:val="000000"/>
              </w:rPr>
              <w:t xml:space="preserve">Število veljavnih </w:t>
            </w:r>
            <w:r w:rsidR="00602A71">
              <w:rPr>
                <w:rFonts w:eastAsia="Times New Roman" w:cs="Arial"/>
                <w:color w:val="000000"/>
              </w:rPr>
              <w:t>izkaznic</w:t>
            </w:r>
          </w:p>
        </w:tc>
        <w:tc>
          <w:tcPr>
            <w:tcW w:w="545" w:type="pct"/>
            <w:tcBorders>
              <w:top w:val="nil"/>
              <w:left w:val="nil"/>
              <w:bottom w:val="single" w:sz="8" w:space="0" w:color="auto"/>
              <w:right w:val="nil"/>
            </w:tcBorders>
            <w:shd w:val="clear" w:color="auto" w:fill="auto"/>
            <w:noWrap/>
            <w:vAlign w:val="center"/>
            <w:hideMark/>
          </w:tcPr>
          <w:p w14:paraId="6A2F4057"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58.795</w:t>
            </w:r>
          </w:p>
        </w:tc>
        <w:tc>
          <w:tcPr>
            <w:tcW w:w="545" w:type="pct"/>
            <w:tcBorders>
              <w:top w:val="nil"/>
              <w:left w:val="nil"/>
              <w:bottom w:val="single" w:sz="8" w:space="0" w:color="auto"/>
              <w:right w:val="nil"/>
            </w:tcBorders>
            <w:shd w:val="clear" w:color="auto" w:fill="auto"/>
            <w:noWrap/>
            <w:vAlign w:val="center"/>
            <w:hideMark/>
          </w:tcPr>
          <w:p w14:paraId="31C43BF2"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56.908</w:t>
            </w:r>
          </w:p>
        </w:tc>
        <w:tc>
          <w:tcPr>
            <w:tcW w:w="545" w:type="pct"/>
            <w:tcBorders>
              <w:top w:val="nil"/>
              <w:left w:val="nil"/>
              <w:bottom w:val="single" w:sz="8" w:space="0" w:color="auto"/>
              <w:right w:val="nil"/>
            </w:tcBorders>
            <w:shd w:val="clear" w:color="auto" w:fill="auto"/>
            <w:noWrap/>
            <w:vAlign w:val="center"/>
            <w:hideMark/>
          </w:tcPr>
          <w:p w14:paraId="503C93CC"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54.934</w:t>
            </w:r>
          </w:p>
        </w:tc>
        <w:tc>
          <w:tcPr>
            <w:tcW w:w="545" w:type="pct"/>
            <w:tcBorders>
              <w:top w:val="nil"/>
              <w:left w:val="nil"/>
              <w:bottom w:val="single" w:sz="8" w:space="0" w:color="auto"/>
              <w:right w:val="nil"/>
            </w:tcBorders>
            <w:shd w:val="clear" w:color="auto" w:fill="auto"/>
            <w:noWrap/>
            <w:vAlign w:val="center"/>
            <w:hideMark/>
          </w:tcPr>
          <w:p w14:paraId="3EFECDA1"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54.161</w:t>
            </w:r>
          </w:p>
        </w:tc>
        <w:tc>
          <w:tcPr>
            <w:tcW w:w="545" w:type="pct"/>
            <w:tcBorders>
              <w:top w:val="nil"/>
              <w:left w:val="nil"/>
              <w:bottom w:val="single" w:sz="8" w:space="0" w:color="auto"/>
              <w:right w:val="nil"/>
            </w:tcBorders>
            <w:shd w:val="clear" w:color="auto" w:fill="auto"/>
            <w:noWrap/>
            <w:vAlign w:val="center"/>
            <w:hideMark/>
          </w:tcPr>
          <w:p w14:paraId="50236F21"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54.754</w:t>
            </w:r>
          </w:p>
        </w:tc>
        <w:tc>
          <w:tcPr>
            <w:tcW w:w="545" w:type="pct"/>
            <w:tcBorders>
              <w:top w:val="nil"/>
              <w:left w:val="nil"/>
              <w:bottom w:val="single" w:sz="8" w:space="0" w:color="auto"/>
              <w:right w:val="nil"/>
            </w:tcBorders>
            <w:shd w:val="clear" w:color="auto" w:fill="auto"/>
            <w:noWrap/>
            <w:vAlign w:val="center"/>
            <w:hideMark/>
          </w:tcPr>
          <w:p w14:paraId="7A6B366D" w14:textId="77777777"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52.789</w:t>
            </w:r>
          </w:p>
        </w:tc>
      </w:tr>
      <w:tr w:rsidR="00015CB7" w:rsidRPr="00015CB7" w14:paraId="1A6F4907"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5E8290F6" w14:textId="365EE5D2" w:rsidR="00015CB7" w:rsidRPr="00015CB7" w:rsidRDefault="00015CB7" w:rsidP="00015CB7">
            <w:pPr>
              <w:spacing w:after="0" w:line="240" w:lineRule="auto"/>
              <w:rPr>
                <w:rFonts w:eastAsia="Times New Roman" w:cs="Arial"/>
                <w:color w:val="000000"/>
              </w:rPr>
            </w:pPr>
            <w:r w:rsidRPr="00602A71">
              <w:rPr>
                <w:rFonts w:eastAsia="Times New Roman" w:cs="Arial"/>
                <w:color w:val="000000"/>
              </w:rPr>
              <w:t>Delež</w:t>
            </w:r>
            <w:r w:rsidRPr="00015CB7">
              <w:rPr>
                <w:rFonts w:eastAsia="Times New Roman" w:cs="Arial"/>
                <w:color w:val="000000"/>
              </w:rPr>
              <w:t xml:space="preserve"> svetovalci FFS</w:t>
            </w:r>
          </w:p>
        </w:tc>
        <w:tc>
          <w:tcPr>
            <w:tcW w:w="545" w:type="pct"/>
            <w:tcBorders>
              <w:top w:val="nil"/>
              <w:left w:val="nil"/>
              <w:bottom w:val="single" w:sz="8" w:space="0" w:color="auto"/>
              <w:right w:val="nil"/>
            </w:tcBorders>
            <w:shd w:val="clear" w:color="auto" w:fill="auto"/>
            <w:noWrap/>
            <w:vAlign w:val="center"/>
            <w:hideMark/>
          </w:tcPr>
          <w:p w14:paraId="5200058F" w14:textId="5AE32150"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0,91</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65E210C5" w14:textId="0D5CF66F"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0,96</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2CAA3CE5" w14:textId="32EA9C19"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19EEE32D" w14:textId="1986EB8C"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1,01</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7C8E01D9" w14:textId="0096FB88"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1,02</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6EE9CD20" w14:textId="7FD10E69"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1,07</w:t>
            </w:r>
            <w:r w:rsidR="00F96327">
              <w:rPr>
                <w:rFonts w:eastAsia="Times New Roman" w:cs="Arial"/>
                <w:color w:val="000000"/>
              </w:rPr>
              <w:t xml:space="preserve"> </w:t>
            </w:r>
            <w:r w:rsidR="00F96327">
              <w:rPr>
                <w:rFonts w:eastAsia="Times New Roman"/>
                <w:color w:val="000000"/>
              </w:rPr>
              <w:t>%</w:t>
            </w:r>
          </w:p>
        </w:tc>
      </w:tr>
      <w:tr w:rsidR="00015CB7" w:rsidRPr="00015CB7" w14:paraId="292DDF5B"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3A514385" w14:textId="2BFE6371" w:rsidR="00015CB7" w:rsidRPr="00015CB7" w:rsidRDefault="00015CB7" w:rsidP="00015CB7">
            <w:pPr>
              <w:spacing w:after="0" w:line="240" w:lineRule="auto"/>
              <w:rPr>
                <w:rFonts w:eastAsia="Times New Roman" w:cs="Arial"/>
                <w:color w:val="000000"/>
              </w:rPr>
            </w:pPr>
            <w:r w:rsidRPr="00602A71">
              <w:rPr>
                <w:rFonts w:eastAsia="Times New Roman" w:cs="Arial"/>
                <w:color w:val="000000"/>
              </w:rPr>
              <w:t>Delež</w:t>
            </w:r>
            <w:r w:rsidRPr="00015CB7">
              <w:rPr>
                <w:rFonts w:eastAsia="Times New Roman" w:cs="Arial"/>
                <w:color w:val="000000"/>
              </w:rPr>
              <w:t xml:space="preserve"> prodajalci FFS</w:t>
            </w:r>
          </w:p>
        </w:tc>
        <w:tc>
          <w:tcPr>
            <w:tcW w:w="545" w:type="pct"/>
            <w:tcBorders>
              <w:top w:val="nil"/>
              <w:left w:val="nil"/>
              <w:bottom w:val="single" w:sz="8" w:space="0" w:color="auto"/>
              <w:right w:val="nil"/>
            </w:tcBorders>
            <w:shd w:val="clear" w:color="auto" w:fill="auto"/>
            <w:noWrap/>
            <w:vAlign w:val="center"/>
            <w:hideMark/>
          </w:tcPr>
          <w:p w14:paraId="5A982513" w14:textId="520F0406"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1,28</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19D328FD" w14:textId="76F8C911"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1,34</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54D838A4" w14:textId="7B081951"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1,39</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0601D767" w14:textId="76267968"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1,44</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0FB14C82" w14:textId="121EE59D"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1,52</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1FD0D2A6" w14:textId="5A7F8E03"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1,44</w:t>
            </w:r>
            <w:r w:rsidR="00F96327">
              <w:rPr>
                <w:rFonts w:eastAsia="Times New Roman" w:cs="Arial"/>
                <w:color w:val="000000"/>
              </w:rPr>
              <w:t xml:space="preserve"> </w:t>
            </w:r>
            <w:r w:rsidR="00F96327">
              <w:rPr>
                <w:rFonts w:eastAsia="Times New Roman"/>
                <w:color w:val="000000"/>
              </w:rPr>
              <w:t>%</w:t>
            </w:r>
          </w:p>
        </w:tc>
      </w:tr>
      <w:tr w:rsidR="00015CB7" w:rsidRPr="00015CB7" w14:paraId="5FCBB054"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5FDE709C" w14:textId="5FD29143" w:rsidR="00015CB7" w:rsidRPr="00015CB7" w:rsidRDefault="00015CB7" w:rsidP="00015CB7">
            <w:pPr>
              <w:spacing w:after="0" w:line="240" w:lineRule="auto"/>
              <w:rPr>
                <w:rFonts w:eastAsia="Times New Roman" w:cs="Arial"/>
                <w:color w:val="000000"/>
              </w:rPr>
            </w:pPr>
            <w:r w:rsidRPr="00602A71">
              <w:rPr>
                <w:rFonts w:eastAsia="Times New Roman" w:cs="Arial"/>
                <w:color w:val="000000"/>
              </w:rPr>
              <w:t xml:space="preserve">Delež </w:t>
            </w:r>
            <w:r w:rsidRPr="00015CB7">
              <w:rPr>
                <w:rFonts w:eastAsia="Times New Roman" w:cs="Arial"/>
                <w:color w:val="000000"/>
              </w:rPr>
              <w:t>uporabniki FFS</w:t>
            </w:r>
          </w:p>
        </w:tc>
        <w:tc>
          <w:tcPr>
            <w:tcW w:w="545" w:type="pct"/>
            <w:tcBorders>
              <w:top w:val="nil"/>
              <w:left w:val="nil"/>
              <w:bottom w:val="single" w:sz="8" w:space="0" w:color="auto"/>
              <w:right w:val="nil"/>
            </w:tcBorders>
            <w:shd w:val="clear" w:color="auto" w:fill="auto"/>
            <w:noWrap/>
            <w:vAlign w:val="center"/>
            <w:hideMark/>
          </w:tcPr>
          <w:p w14:paraId="7393069B" w14:textId="79365664"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97,81</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6A7164C3" w14:textId="4A77F118"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97,71</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1B3381CE" w14:textId="670A6419"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97,61</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22078412" w14:textId="21A4E0AE"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97,55</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15625DEA" w14:textId="3E0FBD0D"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97,45</w:t>
            </w:r>
            <w:r w:rsidR="00F96327">
              <w:rPr>
                <w:rFonts w:eastAsia="Times New Roman" w:cs="Arial"/>
                <w:color w:val="000000"/>
              </w:rPr>
              <w:t xml:space="preserve"> </w:t>
            </w:r>
            <w:r w:rsidR="00F96327">
              <w:rPr>
                <w:rFonts w:eastAsia="Times New Roman"/>
                <w:color w:val="000000"/>
              </w:rPr>
              <w:t>%</w:t>
            </w:r>
          </w:p>
        </w:tc>
        <w:tc>
          <w:tcPr>
            <w:tcW w:w="545" w:type="pct"/>
            <w:tcBorders>
              <w:top w:val="nil"/>
              <w:left w:val="nil"/>
              <w:bottom w:val="single" w:sz="8" w:space="0" w:color="auto"/>
              <w:right w:val="nil"/>
            </w:tcBorders>
            <w:shd w:val="clear" w:color="auto" w:fill="auto"/>
            <w:noWrap/>
            <w:vAlign w:val="center"/>
            <w:hideMark/>
          </w:tcPr>
          <w:p w14:paraId="79B99666" w14:textId="166E9D6F" w:rsidR="00015CB7" w:rsidRPr="00015CB7" w:rsidRDefault="00015CB7" w:rsidP="00015CB7">
            <w:pPr>
              <w:spacing w:after="0" w:line="240" w:lineRule="auto"/>
              <w:jc w:val="center"/>
              <w:rPr>
                <w:rFonts w:eastAsia="Times New Roman" w:cs="Arial"/>
                <w:color w:val="000000"/>
              </w:rPr>
            </w:pPr>
            <w:r w:rsidRPr="00015CB7">
              <w:rPr>
                <w:rFonts w:eastAsia="Times New Roman" w:cs="Arial"/>
                <w:color w:val="000000"/>
              </w:rPr>
              <w:t>97,49</w:t>
            </w:r>
            <w:r w:rsidR="00F96327">
              <w:rPr>
                <w:rFonts w:eastAsia="Times New Roman" w:cs="Arial"/>
                <w:color w:val="000000"/>
              </w:rPr>
              <w:t xml:space="preserve"> </w:t>
            </w:r>
            <w:r w:rsidR="00F96327">
              <w:rPr>
                <w:rFonts w:eastAsia="Times New Roman"/>
                <w:color w:val="000000"/>
              </w:rPr>
              <w:t>%</w:t>
            </w:r>
          </w:p>
        </w:tc>
      </w:tr>
    </w:tbl>
    <w:p w14:paraId="12F2B066" w14:textId="77777777" w:rsidR="002D6BF5" w:rsidRDefault="002D6BF5" w:rsidP="002D6BF5">
      <w:pPr>
        <w:spacing w:before="80" w:after="80" w:line="220" w:lineRule="atLeast"/>
        <w:rPr>
          <w:rFonts w:eastAsia="Times New Roman" w:cs="Arial"/>
        </w:rPr>
      </w:pPr>
    </w:p>
    <w:p w14:paraId="7BDEC4A8" w14:textId="074BC5D1" w:rsidR="002D6BF5" w:rsidRPr="00B11E33" w:rsidRDefault="002D6BF5" w:rsidP="00B11E33">
      <w:r>
        <w:t>Število veljavnih izkaznic je v trendu upadanja, v letu 2022 je bilo okoli 10</w:t>
      </w:r>
      <w:r w:rsidR="00602A71">
        <w:t xml:space="preserve"> </w:t>
      </w:r>
      <w:r>
        <w:t xml:space="preserve">% manj veljavnih izkaznic vpisanih v </w:t>
      </w:r>
      <w:r w:rsidR="00D016A9">
        <w:t>Evidenco</w:t>
      </w:r>
      <w:r>
        <w:t xml:space="preserve"> v primerjavi z letom 2017, predvsem zaradi upadanja števila izkaznic za uporabnike FFS. Ta trend je primerljiv s trendom upadanja števila vpisanih naprav za nanašanje FFS, ki tudi znaša okoli 10</w:t>
      </w:r>
      <w:r w:rsidR="00F96327">
        <w:t xml:space="preserve"> </w:t>
      </w:r>
      <w:r>
        <w:t>%</w:t>
      </w:r>
      <w:r w:rsidR="009C6851">
        <w:t xml:space="preserve">, kar bi lahko pomenilo trend upadanja števila kmetovalcev </w:t>
      </w:r>
      <w:r w:rsidR="00D016A9">
        <w:t>v intenzivni kmetijski pridelavi.</w:t>
      </w:r>
    </w:p>
    <w:p w14:paraId="2C2B57CB" w14:textId="77777777" w:rsidR="002D6BF5" w:rsidRPr="00A2495C" w:rsidRDefault="002D6BF5" w:rsidP="002D6BF5">
      <w:pPr>
        <w:spacing w:before="80" w:after="80" w:line="220" w:lineRule="atLeast"/>
        <w:jc w:val="center"/>
        <w:rPr>
          <w:rFonts w:eastAsia="Times New Roman" w:cs="Arial"/>
        </w:rPr>
      </w:pPr>
      <w:r>
        <w:rPr>
          <w:noProof/>
        </w:rPr>
        <w:drawing>
          <wp:inline distT="0" distB="0" distL="0" distR="0" wp14:anchorId="29965A26" wp14:editId="3D04D5AE">
            <wp:extent cx="4680000" cy="2520000"/>
            <wp:effectExtent l="0" t="0" r="6350" b="13970"/>
            <wp:docPr id="4" name="Grafikon 4">
              <a:extLst xmlns:a="http://schemas.openxmlformats.org/drawingml/2006/main">
                <a:ext uri="{FF2B5EF4-FFF2-40B4-BE49-F238E27FC236}">
                  <a16:creationId xmlns:a16="http://schemas.microsoft.com/office/drawing/2014/main" id="{8CE0201E-2D75-35F7-9BB1-9BDAD6100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27F21D" w14:textId="5D4C3CA4" w:rsidR="002D6BF5" w:rsidRPr="00602A71" w:rsidRDefault="005F009C" w:rsidP="005F009C">
      <w:pPr>
        <w:pStyle w:val="Napis"/>
        <w:jc w:val="center"/>
        <w:rPr>
          <w:rFonts w:cs="Arial"/>
          <w:sz w:val="20"/>
          <w:szCs w:val="20"/>
        </w:rPr>
      </w:pPr>
      <w:bookmarkStart w:id="65" w:name="_Toc151554964"/>
      <w:r w:rsidRPr="00602A71">
        <w:rPr>
          <w:rFonts w:cs="Arial"/>
          <w:sz w:val="20"/>
          <w:szCs w:val="20"/>
        </w:rPr>
        <w:t xml:space="preserve">Slika </w:t>
      </w:r>
      <w:r w:rsidRPr="00602A71">
        <w:rPr>
          <w:rFonts w:cs="Arial"/>
          <w:sz w:val="20"/>
          <w:szCs w:val="20"/>
        </w:rPr>
        <w:fldChar w:fldCharType="begin"/>
      </w:r>
      <w:r w:rsidRPr="00602A71">
        <w:rPr>
          <w:rFonts w:cs="Arial"/>
          <w:sz w:val="20"/>
          <w:szCs w:val="20"/>
        </w:rPr>
        <w:instrText xml:space="preserve"> SEQ Slika \* ARABIC </w:instrText>
      </w:r>
      <w:r w:rsidRPr="00602A71">
        <w:rPr>
          <w:rFonts w:cs="Arial"/>
          <w:sz w:val="20"/>
          <w:szCs w:val="20"/>
        </w:rPr>
        <w:fldChar w:fldCharType="separate"/>
      </w:r>
      <w:r w:rsidR="00D24AE7">
        <w:rPr>
          <w:rFonts w:cs="Arial"/>
          <w:noProof/>
          <w:sz w:val="20"/>
          <w:szCs w:val="20"/>
        </w:rPr>
        <w:t>6</w:t>
      </w:r>
      <w:r w:rsidRPr="00602A71">
        <w:rPr>
          <w:rFonts w:cs="Arial"/>
          <w:sz w:val="20"/>
          <w:szCs w:val="20"/>
        </w:rPr>
        <w:fldChar w:fldCharType="end"/>
      </w:r>
      <w:r w:rsidR="002D6BF5" w:rsidRPr="00602A71">
        <w:rPr>
          <w:rFonts w:cs="Arial"/>
          <w:sz w:val="20"/>
          <w:szCs w:val="20"/>
        </w:rPr>
        <w:t xml:space="preserve">: Upadanje skupnega števila veljavnih izkaznic, vpisanih v centralno </w:t>
      </w:r>
      <w:r w:rsidR="00602A71" w:rsidRPr="00602A71">
        <w:rPr>
          <w:rFonts w:cs="Arial"/>
          <w:sz w:val="20"/>
          <w:szCs w:val="20"/>
        </w:rPr>
        <w:t>e</w:t>
      </w:r>
      <w:r w:rsidR="00D016A9" w:rsidRPr="00602A71">
        <w:rPr>
          <w:rFonts w:cs="Arial"/>
          <w:sz w:val="20"/>
          <w:szCs w:val="20"/>
        </w:rPr>
        <w:t>videnco</w:t>
      </w:r>
      <w:bookmarkEnd w:id="65"/>
    </w:p>
    <w:p w14:paraId="49802477" w14:textId="15BB1742" w:rsidR="002D6BF5" w:rsidRPr="00602A71" w:rsidRDefault="002D6BF5" w:rsidP="002D6BF5">
      <w:pPr>
        <w:pStyle w:val="Napis"/>
        <w:rPr>
          <w:rFonts w:cs="Arial"/>
          <w:i w:val="0"/>
          <w:iCs w:val="0"/>
          <w:color w:val="auto"/>
          <w:sz w:val="22"/>
          <w:szCs w:val="22"/>
        </w:rPr>
      </w:pPr>
      <w:r w:rsidRPr="00602A71">
        <w:rPr>
          <w:rFonts w:cs="Arial"/>
          <w:i w:val="0"/>
          <w:iCs w:val="0"/>
          <w:color w:val="auto"/>
          <w:sz w:val="22"/>
          <w:szCs w:val="22"/>
        </w:rPr>
        <w:t xml:space="preserve">Izkaznice veljajo 3 leta za svetovalce za FFS in prodajalce FFS, medtem ko za uporabnike FFS veljajo 5 let. Zato je število tečajev, ki jih je treba organizirati za podaljšanje veljavnosti izkaznice, različno iz leta v leto. </w:t>
      </w:r>
    </w:p>
    <w:p w14:paraId="5403D294" w14:textId="00F08E17" w:rsidR="002D6BF5" w:rsidRDefault="00DC3204" w:rsidP="00DC3204">
      <w:pPr>
        <w:pStyle w:val="Napis"/>
        <w:rPr>
          <w:rFonts w:cs="Arial"/>
          <w:sz w:val="20"/>
          <w:szCs w:val="20"/>
        </w:rPr>
      </w:pPr>
      <w:bookmarkStart w:id="66" w:name="_Toc151116359"/>
      <w:bookmarkStart w:id="67" w:name="_Toc152153153"/>
      <w:bookmarkStart w:id="68" w:name="_Toc149825610"/>
      <w:r w:rsidRPr="00602A71">
        <w:rPr>
          <w:rFonts w:cs="Arial"/>
          <w:sz w:val="20"/>
          <w:szCs w:val="20"/>
        </w:rPr>
        <w:t xml:space="preserve">Preglednica </w:t>
      </w:r>
      <w:r w:rsidRPr="00602A71">
        <w:rPr>
          <w:rFonts w:cs="Arial"/>
          <w:sz w:val="20"/>
          <w:szCs w:val="20"/>
        </w:rPr>
        <w:fldChar w:fldCharType="begin"/>
      </w:r>
      <w:r w:rsidRPr="00602A71">
        <w:rPr>
          <w:rFonts w:cs="Arial"/>
          <w:sz w:val="20"/>
          <w:szCs w:val="20"/>
        </w:rPr>
        <w:instrText xml:space="preserve"> SEQ Preglednica \* ARABIC </w:instrText>
      </w:r>
      <w:r w:rsidRPr="00602A71">
        <w:rPr>
          <w:rFonts w:cs="Arial"/>
          <w:sz w:val="20"/>
          <w:szCs w:val="20"/>
        </w:rPr>
        <w:fldChar w:fldCharType="separate"/>
      </w:r>
      <w:r w:rsidR="00DB7441">
        <w:rPr>
          <w:rFonts w:cs="Arial"/>
          <w:noProof/>
          <w:sz w:val="20"/>
          <w:szCs w:val="20"/>
        </w:rPr>
        <w:t>10</w:t>
      </w:r>
      <w:r w:rsidRPr="00602A71">
        <w:rPr>
          <w:rFonts w:cs="Arial"/>
          <w:sz w:val="20"/>
          <w:szCs w:val="20"/>
        </w:rPr>
        <w:fldChar w:fldCharType="end"/>
      </w:r>
      <w:r w:rsidR="002D6BF5" w:rsidRPr="00602A71">
        <w:rPr>
          <w:rFonts w:cs="Arial"/>
          <w:sz w:val="20"/>
          <w:szCs w:val="20"/>
        </w:rPr>
        <w:t xml:space="preserve">: Število izvedenih usposabljanj po letih in </w:t>
      </w:r>
      <w:r w:rsidR="00D016A9" w:rsidRPr="00602A71">
        <w:rPr>
          <w:rFonts w:cs="Arial"/>
          <w:sz w:val="20"/>
          <w:szCs w:val="20"/>
        </w:rPr>
        <w:t>programu usposabljanja</w:t>
      </w:r>
      <w:bookmarkEnd w:id="66"/>
      <w:bookmarkEnd w:id="67"/>
      <w:r w:rsidR="002D6BF5" w:rsidRPr="00602A71">
        <w:rPr>
          <w:rFonts w:cs="Arial"/>
          <w:sz w:val="20"/>
          <w:szCs w:val="20"/>
        </w:rPr>
        <w:t xml:space="preserve"> </w:t>
      </w:r>
      <w:bookmarkEnd w:id="68"/>
      <w:r w:rsidR="00B11E33">
        <w:rPr>
          <w:rFonts w:cs="Arial"/>
          <w:sz w:val="20"/>
          <w:szCs w:val="20"/>
        </w:rPr>
        <w:t>(Vir: Uprava</w:t>
      </w:r>
      <w:r w:rsidR="00B11E33">
        <w:rPr>
          <w:rStyle w:val="Sprotnaopomba-sklic"/>
          <w:rFonts w:cs="Arial"/>
          <w:sz w:val="20"/>
          <w:szCs w:val="20"/>
        </w:rPr>
        <w:footnoteReference w:id="17"/>
      </w:r>
      <w:r w:rsidR="00B11E33">
        <w:rPr>
          <w:rFonts w:cs="Arial"/>
          <w:sz w:val="20"/>
          <w:szCs w:val="20"/>
        </w:rPr>
        <w:t>)</w:t>
      </w:r>
    </w:p>
    <w:tbl>
      <w:tblPr>
        <w:tblW w:w="5000" w:type="pct"/>
        <w:tblBorders>
          <w:top w:val="single" w:sz="4" w:space="0" w:color="auto"/>
          <w:bottom w:val="single" w:sz="8" w:space="0" w:color="auto"/>
          <w:insideH w:val="single" w:sz="8" w:space="0" w:color="auto"/>
        </w:tblBorders>
        <w:tblCellMar>
          <w:left w:w="70" w:type="dxa"/>
          <w:right w:w="70" w:type="dxa"/>
        </w:tblCellMar>
        <w:tblLook w:val="04A0" w:firstRow="1" w:lastRow="0" w:firstColumn="1" w:lastColumn="0" w:noHBand="0" w:noVBand="1"/>
      </w:tblPr>
      <w:tblGrid>
        <w:gridCol w:w="5200"/>
        <w:gridCol w:w="758"/>
        <w:gridCol w:w="758"/>
        <w:gridCol w:w="758"/>
        <w:gridCol w:w="758"/>
        <w:gridCol w:w="758"/>
        <w:gridCol w:w="756"/>
      </w:tblGrid>
      <w:tr w:rsidR="009A3F14" w:rsidRPr="009A3F14" w14:paraId="510FB3EF" w14:textId="77777777" w:rsidTr="009A3F14">
        <w:trPr>
          <w:trHeight w:val="289"/>
        </w:trPr>
        <w:tc>
          <w:tcPr>
            <w:tcW w:w="2667" w:type="pct"/>
            <w:shd w:val="clear" w:color="auto" w:fill="auto"/>
            <w:vAlign w:val="center"/>
            <w:hideMark/>
          </w:tcPr>
          <w:p w14:paraId="1DBCA2E6" w14:textId="77777777" w:rsidR="009A3F14" w:rsidRPr="009A3F14" w:rsidRDefault="009A3F14" w:rsidP="009A3F14">
            <w:pPr>
              <w:spacing w:after="0" w:line="240" w:lineRule="auto"/>
              <w:rPr>
                <w:rFonts w:eastAsia="Times New Roman" w:cs="Arial"/>
                <w:color w:val="000000"/>
              </w:rPr>
            </w:pPr>
            <w:r w:rsidRPr="009A3F14">
              <w:rPr>
                <w:rFonts w:eastAsia="Times New Roman" w:cs="Arial"/>
                <w:color w:val="000000"/>
              </w:rPr>
              <w:t>Leto</w:t>
            </w:r>
          </w:p>
        </w:tc>
        <w:tc>
          <w:tcPr>
            <w:tcW w:w="389" w:type="pct"/>
            <w:shd w:val="clear" w:color="auto" w:fill="auto"/>
            <w:noWrap/>
            <w:vAlign w:val="center"/>
            <w:hideMark/>
          </w:tcPr>
          <w:p w14:paraId="68C21390"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2017</w:t>
            </w:r>
          </w:p>
        </w:tc>
        <w:tc>
          <w:tcPr>
            <w:tcW w:w="389" w:type="pct"/>
            <w:shd w:val="clear" w:color="auto" w:fill="auto"/>
            <w:noWrap/>
            <w:vAlign w:val="center"/>
            <w:hideMark/>
          </w:tcPr>
          <w:p w14:paraId="78757C7C"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2018</w:t>
            </w:r>
          </w:p>
        </w:tc>
        <w:tc>
          <w:tcPr>
            <w:tcW w:w="389" w:type="pct"/>
            <w:shd w:val="clear" w:color="auto" w:fill="auto"/>
            <w:noWrap/>
            <w:vAlign w:val="center"/>
            <w:hideMark/>
          </w:tcPr>
          <w:p w14:paraId="4E35A6F1"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2019</w:t>
            </w:r>
          </w:p>
        </w:tc>
        <w:tc>
          <w:tcPr>
            <w:tcW w:w="389" w:type="pct"/>
            <w:shd w:val="clear" w:color="auto" w:fill="auto"/>
            <w:noWrap/>
            <w:vAlign w:val="center"/>
            <w:hideMark/>
          </w:tcPr>
          <w:p w14:paraId="7B525C2A"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2020</w:t>
            </w:r>
          </w:p>
        </w:tc>
        <w:tc>
          <w:tcPr>
            <w:tcW w:w="389" w:type="pct"/>
            <w:shd w:val="clear" w:color="auto" w:fill="auto"/>
            <w:noWrap/>
            <w:vAlign w:val="center"/>
            <w:hideMark/>
          </w:tcPr>
          <w:p w14:paraId="21A6B7B0"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2021</w:t>
            </w:r>
          </w:p>
        </w:tc>
        <w:tc>
          <w:tcPr>
            <w:tcW w:w="389" w:type="pct"/>
            <w:shd w:val="clear" w:color="auto" w:fill="auto"/>
            <w:noWrap/>
            <w:vAlign w:val="center"/>
            <w:hideMark/>
          </w:tcPr>
          <w:p w14:paraId="13E19B4E"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2022</w:t>
            </w:r>
          </w:p>
        </w:tc>
      </w:tr>
      <w:tr w:rsidR="009A3F14" w:rsidRPr="009A3F14" w14:paraId="227F7FD8" w14:textId="77777777" w:rsidTr="009A3F14">
        <w:trPr>
          <w:trHeight w:val="289"/>
        </w:trPr>
        <w:tc>
          <w:tcPr>
            <w:tcW w:w="2667" w:type="pct"/>
            <w:shd w:val="clear" w:color="auto" w:fill="auto"/>
            <w:vAlign w:val="center"/>
            <w:hideMark/>
          </w:tcPr>
          <w:p w14:paraId="6276C54B" w14:textId="77777777" w:rsidR="009A3F14" w:rsidRPr="009A3F14" w:rsidRDefault="009A3F14" w:rsidP="009A3F14">
            <w:pPr>
              <w:spacing w:after="0" w:line="240" w:lineRule="auto"/>
              <w:rPr>
                <w:rFonts w:eastAsia="Times New Roman" w:cs="Arial"/>
                <w:color w:val="000000"/>
              </w:rPr>
            </w:pPr>
            <w:r w:rsidRPr="009A3F14">
              <w:rPr>
                <w:rFonts w:eastAsia="Times New Roman" w:cs="Arial"/>
                <w:color w:val="000000"/>
              </w:rPr>
              <w:t>Št. izvedenih tečajev za uporabnike FFS</w:t>
            </w:r>
          </w:p>
        </w:tc>
        <w:tc>
          <w:tcPr>
            <w:tcW w:w="389" w:type="pct"/>
            <w:shd w:val="clear" w:color="auto" w:fill="auto"/>
            <w:noWrap/>
            <w:vAlign w:val="center"/>
            <w:hideMark/>
          </w:tcPr>
          <w:p w14:paraId="017BB68D"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131</w:t>
            </w:r>
          </w:p>
        </w:tc>
        <w:tc>
          <w:tcPr>
            <w:tcW w:w="389" w:type="pct"/>
            <w:shd w:val="clear" w:color="auto" w:fill="auto"/>
            <w:noWrap/>
            <w:vAlign w:val="center"/>
            <w:hideMark/>
          </w:tcPr>
          <w:p w14:paraId="0216ECB5"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265</w:t>
            </w:r>
          </w:p>
        </w:tc>
        <w:tc>
          <w:tcPr>
            <w:tcW w:w="389" w:type="pct"/>
            <w:shd w:val="clear" w:color="auto" w:fill="auto"/>
            <w:noWrap/>
            <w:vAlign w:val="center"/>
            <w:hideMark/>
          </w:tcPr>
          <w:p w14:paraId="4483990C"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451</w:t>
            </w:r>
          </w:p>
        </w:tc>
        <w:tc>
          <w:tcPr>
            <w:tcW w:w="389" w:type="pct"/>
            <w:shd w:val="clear" w:color="auto" w:fill="auto"/>
            <w:noWrap/>
            <w:vAlign w:val="center"/>
            <w:hideMark/>
          </w:tcPr>
          <w:p w14:paraId="079336AB"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218</w:t>
            </w:r>
          </w:p>
        </w:tc>
        <w:tc>
          <w:tcPr>
            <w:tcW w:w="389" w:type="pct"/>
            <w:shd w:val="clear" w:color="auto" w:fill="auto"/>
            <w:noWrap/>
            <w:vAlign w:val="center"/>
            <w:hideMark/>
          </w:tcPr>
          <w:p w14:paraId="35A4E60F"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294</w:t>
            </w:r>
          </w:p>
        </w:tc>
        <w:tc>
          <w:tcPr>
            <w:tcW w:w="389" w:type="pct"/>
            <w:shd w:val="clear" w:color="auto" w:fill="auto"/>
            <w:noWrap/>
            <w:vAlign w:val="center"/>
            <w:hideMark/>
          </w:tcPr>
          <w:p w14:paraId="121AA02C"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156</w:t>
            </w:r>
          </w:p>
        </w:tc>
      </w:tr>
      <w:tr w:rsidR="009A3F14" w:rsidRPr="009A3F14" w14:paraId="2B9312A5" w14:textId="77777777" w:rsidTr="009A3F14">
        <w:trPr>
          <w:trHeight w:val="289"/>
        </w:trPr>
        <w:tc>
          <w:tcPr>
            <w:tcW w:w="2667" w:type="pct"/>
            <w:shd w:val="clear" w:color="auto" w:fill="auto"/>
            <w:vAlign w:val="center"/>
            <w:hideMark/>
          </w:tcPr>
          <w:p w14:paraId="10583C5E" w14:textId="77777777" w:rsidR="009A3F14" w:rsidRPr="009A3F14" w:rsidRDefault="009A3F14" w:rsidP="009A3F14">
            <w:pPr>
              <w:spacing w:after="0" w:line="240" w:lineRule="auto"/>
              <w:rPr>
                <w:rFonts w:eastAsia="Times New Roman" w:cs="Arial"/>
                <w:color w:val="000000"/>
              </w:rPr>
            </w:pPr>
            <w:r w:rsidRPr="009A3F14">
              <w:rPr>
                <w:rFonts w:eastAsia="Times New Roman" w:cs="Arial"/>
                <w:color w:val="000000"/>
              </w:rPr>
              <w:t>Št. izvedenih tečajev za prodajalce FFS</w:t>
            </w:r>
          </w:p>
        </w:tc>
        <w:tc>
          <w:tcPr>
            <w:tcW w:w="389" w:type="pct"/>
            <w:shd w:val="clear" w:color="auto" w:fill="auto"/>
            <w:noWrap/>
            <w:vAlign w:val="center"/>
            <w:hideMark/>
          </w:tcPr>
          <w:p w14:paraId="24108CC9"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14</w:t>
            </w:r>
          </w:p>
        </w:tc>
        <w:tc>
          <w:tcPr>
            <w:tcW w:w="389" w:type="pct"/>
            <w:shd w:val="clear" w:color="auto" w:fill="auto"/>
            <w:noWrap/>
            <w:vAlign w:val="center"/>
            <w:hideMark/>
          </w:tcPr>
          <w:p w14:paraId="29F5BC0F"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8</w:t>
            </w:r>
          </w:p>
        </w:tc>
        <w:tc>
          <w:tcPr>
            <w:tcW w:w="389" w:type="pct"/>
            <w:shd w:val="clear" w:color="auto" w:fill="auto"/>
            <w:noWrap/>
            <w:vAlign w:val="center"/>
            <w:hideMark/>
          </w:tcPr>
          <w:p w14:paraId="533C5866"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18</w:t>
            </w:r>
          </w:p>
        </w:tc>
        <w:tc>
          <w:tcPr>
            <w:tcW w:w="389" w:type="pct"/>
            <w:shd w:val="clear" w:color="auto" w:fill="auto"/>
            <w:noWrap/>
            <w:vAlign w:val="center"/>
            <w:hideMark/>
          </w:tcPr>
          <w:p w14:paraId="4D182FCC"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11</w:t>
            </w:r>
          </w:p>
        </w:tc>
        <w:tc>
          <w:tcPr>
            <w:tcW w:w="389" w:type="pct"/>
            <w:shd w:val="clear" w:color="auto" w:fill="auto"/>
            <w:noWrap/>
            <w:vAlign w:val="center"/>
            <w:hideMark/>
          </w:tcPr>
          <w:p w14:paraId="33EE90C8"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17</w:t>
            </w:r>
          </w:p>
        </w:tc>
        <w:tc>
          <w:tcPr>
            <w:tcW w:w="389" w:type="pct"/>
            <w:shd w:val="clear" w:color="auto" w:fill="auto"/>
            <w:noWrap/>
            <w:vAlign w:val="center"/>
            <w:hideMark/>
          </w:tcPr>
          <w:p w14:paraId="6235232B"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14</w:t>
            </w:r>
          </w:p>
        </w:tc>
      </w:tr>
      <w:tr w:rsidR="009A3F14" w:rsidRPr="009A3F14" w14:paraId="12FAC4F8" w14:textId="77777777" w:rsidTr="009A3F14">
        <w:trPr>
          <w:trHeight w:val="289"/>
        </w:trPr>
        <w:tc>
          <w:tcPr>
            <w:tcW w:w="2667" w:type="pct"/>
            <w:shd w:val="clear" w:color="auto" w:fill="auto"/>
            <w:vAlign w:val="center"/>
            <w:hideMark/>
          </w:tcPr>
          <w:p w14:paraId="443F1E9B" w14:textId="77777777" w:rsidR="009A3F14" w:rsidRPr="009A3F14" w:rsidRDefault="009A3F14" w:rsidP="009A3F14">
            <w:pPr>
              <w:spacing w:after="0" w:line="240" w:lineRule="auto"/>
              <w:rPr>
                <w:rFonts w:eastAsia="Times New Roman" w:cs="Arial"/>
                <w:color w:val="000000"/>
              </w:rPr>
            </w:pPr>
            <w:r w:rsidRPr="009A3F14">
              <w:rPr>
                <w:rFonts w:eastAsia="Times New Roman" w:cs="Arial"/>
                <w:color w:val="000000"/>
              </w:rPr>
              <w:t>Št. izvedenih tečajev za svetovalce za FFS</w:t>
            </w:r>
          </w:p>
        </w:tc>
        <w:tc>
          <w:tcPr>
            <w:tcW w:w="389" w:type="pct"/>
            <w:shd w:val="clear" w:color="auto" w:fill="auto"/>
            <w:noWrap/>
            <w:vAlign w:val="center"/>
            <w:hideMark/>
          </w:tcPr>
          <w:p w14:paraId="4485F1E8"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7</w:t>
            </w:r>
          </w:p>
        </w:tc>
        <w:tc>
          <w:tcPr>
            <w:tcW w:w="389" w:type="pct"/>
            <w:shd w:val="clear" w:color="auto" w:fill="auto"/>
            <w:noWrap/>
            <w:vAlign w:val="center"/>
            <w:hideMark/>
          </w:tcPr>
          <w:p w14:paraId="619E23B3"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5</w:t>
            </w:r>
          </w:p>
        </w:tc>
        <w:tc>
          <w:tcPr>
            <w:tcW w:w="389" w:type="pct"/>
            <w:shd w:val="clear" w:color="auto" w:fill="auto"/>
            <w:noWrap/>
            <w:vAlign w:val="center"/>
            <w:hideMark/>
          </w:tcPr>
          <w:p w14:paraId="0ACC82BE"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5</w:t>
            </w:r>
          </w:p>
        </w:tc>
        <w:tc>
          <w:tcPr>
            <w:tcW w:w="389" w:type="pct"/>
            <w:shd w:val="clear" w:color="auto" w:fill="auto"/>
            <w:noWrap/>
            <w:vAlign w:val="center"/>
            <w:hideMark/>
          </w:tcPr>
          <w:p w14:paraId="62C05809"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7</w:t>
            </w:r>
          </w:p>
        </w:tc>
        <w:tc>
          <w:tcPr>
            <w:tcW w:w="389" w:type="pct"/>
            <w:shd w:val="clear" w:color="auto" w:fill="auto"/>
            <w:noWrap/>
            <w:vAlign w:val="center"/>
            <w:hideMark/>
          </w:tcPr>
          <w:p w14:paraId="07FE4723"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5</w:t>
            </w:r>
          </w:p>
        </w:tc>
        <w:tc>
          <w:tcPr>
            <w:tcW w:w="389" w:type="pct"/>
            <w:shd w:val="clear" w:color="auto" w:fill="auto"/>
            <w:noWrap/>
            <w:vAlign w:val="center"/>
            <w:hideMark/>
          </w:tcPr>
          <w:p w14:paraId="40FBB27A"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5</w:t>
            </w:r>
          </w:p>
        </w:tc>
      </w:tr>
      <w:tr w:rsidR="009A3F14" w:rsidRPr="009A3F14" w14:paraId="24FF6967" w14:textId="77777777" w:rsidTr="009A3F14">
        <w:trPr>
          <w:trHeight w:val="289"/>
        </w:trPr>
        <w:tc>
          <w:tcPr>
            <w:tcW w:w="2667" w:type="pct"/>
            <w:shd w:val="clear" w:color="auto" w:fill="auto"/>
            <w:vAlign w:val="center"/>
            <w:hideMark/>
          </w:tcPr>
          <w:p w14:paraId="39631EFB" w14:textId="77777777" w:rsidR="009A3F14" w:rsidRPr="009A3F14" w:rsidRDefault="009A3F14" w:rsidP="009A3F14">
            <w:pPr>
              <w:spacing w:after="0" w:line="240" w:lineRule="auto"/>
              <w:rPr>
                <w:rFonts w:eastAsia="Times New Roman" w:cs="Arial"/>
                <w:color w:val="000000"/>
              </w:rPr>
            </w:pPr>
            <w:r w:rsidRPr="009A3F14">
              <w:rPr>
                <w:rFonts w:eastAsia="Times New Roman" w:cs="Arial"/>
                <w:color w:val="000000"/>
              </w:rPr>
              <w:t>Skupaj</w:t>
            </w:r>
          </w:p>
        </w:tc>
        <w:tc>
          <w:tcPr>
            <w:tcW w:w="389" w:type="pct"/>
            <w:shd w:val="clear" w:color="auto" w:fill="auto"/>
            <w:noWrap/>
            <w:vAlign w:val="center"/>
            <w:hideMark/>
          </w:tcPr>
          <w:p w14:paraId="2AA86890"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152</w:t>
            </w:r>
          </w:p>
        </w:tc>
        <w:tc>
          <w:tcPr>
            <w:tcW w:w="389" w:type="pct"/>
            <w:shd w:val="clear" w:color="auto" w:fill="auto"/>
            <w:noWrap/>
            <w:vAlign w:val="center"/>
            <w:hideMark/>
          </w:tcPr>
          <w:p w14:paraId="19C02CF0"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278</w:t>
            </w:r>
          </w:p>
        </w:tc>
        <w:tc>
          <w:tcPr>
            <w:tcW w:w="389" w:type="pct"/>
            <w:shd w:val="clear" w:color="auto" w:fill="auto"/>
            <w:noWrap/>
            <w:vAlign w:val="center"/>
            <w:hideMark/>
          </w:tcPr>
          <w:p w14:paraId="7C88B7BE"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474</w:t>
            </w:r>
          </w:p>
        </w:tc>
        <w:tc>
          <w:tcPr>
            <w:tcW w:w="389" w:type="pct"/>
            <w:shd w:val="clear" w:color="auto" w:fill="auto"/>
            <w:noWrap/>
            <w:vAlign w:val="center"/>
            <w:hideMark/>
          </w:tcPr>
          <w:p w14:paraId="23FDFBF2"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236</w:t>
            </w:r>
          </w:p>
        </w:tc>
        <w:tc>
          <w:tcPr>
            <w:tcW w:w="389" w:type="pct"/>
            <w:shd w:val="clear" w:color="auto" w:fill="auto"/>
            <w:noWrap/>
            <w:vAlign w:val="center"/>
            <w:hideMark/>
          </w:tcPr>
          <w:p w14:paraId="61B73992"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316</w:t>
            </w:r>
          </w:p>
        </w:tc>
        <w:tc>
          <w:tcPr>
            <w:tcW w:w="389" w:type="pct"/>
            <w:shd w:val="clear" w:color="auto" w:fill="auto"/>
            <w:noWrap/>
            <w:vAlign w:val="center"/>
            <w:hideMark/>
          </w:tcPr>
          <w:p w14:paraId="4D287AE4" w14:textId="77777777" w:rsidR="009A3F14" w:rsidRPr="009A3F14" w:rsidRDefault="009A3F14" w:rsidP="009A3F14">
            <w:pPr>
              <w:spacing w:after="0" w:line="240" w:lineRule="auto"/>
              <w:jc w:val="center"/>
              <w:rPr>
                <w:rFonts w:eastAsia="Times New Roman" w:cs="Arial"/>
                <w:color w:val="000000"/>
              </w:rPr>
            </w:pPr>
            <w:r w:rsidRPr="009A3F14">
              <w:rPr>
                <w:rFonts w:eastAsia="Times New Roman" w:cs="Arial"/>
                <w:color w:val="000000"/>
              </w:rPr>
              <w:t>175</w:t>
            </w:r>
          </w:p>
        </w:tc>
      </w:tr>
    </w:tbl>
    <w:p w14:paraId="7B7C21C3" w14:textId="0F2CCCD3" w:rsidR="00C4266C" w:rsidRPr="00F267BA" w:rsidRDefault="00C4266C" w:rsidP="00F267BA">
      <w:pPr>
        <w:pStyle w:val="Naslov3"/>
      </w:pPr>
      <w:bookmarkStart w:id="69" w:name="_Toc170816418"/>
      <w:bookmarkStart w:id="70" w:name="_Hlk148615286"/>
      <w:r w:rsidRPr="00F267BA">
        <w:lastRenderedPageBreak/>
        <w:t>Integrirano varstvo rastlin (IVR)</w:t>
      </w:r>
      <w:bookmarkEnd w:id="69"/>
    </w:p>
    <w:p w14:paraId="74A8816F" w14:textId="59D9F2C1" w:rsidR="00C4266C" w:rsidRPr="00F267BA" w:rsidRDefault="00C4266C" w:rsidP="00F267BA">
      <w:r w:rsidRPr="00F267BA">
        <w:t xml:space="preserve">Integrirano varstvo rastlin </w:t>
      </w:r>
      <w:r w:rsidR="00F267BA">
        <w:t xml:space="preserve">(v nadaljevanju: IVR) </w:t>
      </w:r>
      <w:r w:rsidRPr="00F267BA">
        <w:t xml:space="preserve">pomeni sistematično in načrtno obvladovanje škodljivih organizmov in združuje različne pristope zdravstvenega varstva rastlin v celovit, trajnostno naravnan program, ki temelji na kombinaciji </w:t>
      </w:r>
      <w:r w:rsidR="009458F9" w:rsidRPr="00F267BA">
        <w:t xml:space="preserve">preventivnih ukrepov, metod z nizkim tveganjem in uporabo FFS, </w:t>
      </w:r>
      <w:r w:rsidRPr="00F267BA">
        <w:t xml:space="preserve">z namenom zmanjševanja tveganja za gospodarnost kmetijske pridelave ter zdravja ljudi in okolja. </w:t>
      </w:r>
    </w:p>
    <w:p w14:paraId="67609685" w14:textId="08C9BCD8" w:rsidR="009C6851" w:rsidRDefault="00F267BA" w:rsidP="00F267BA">
      <w:r>
        <w:t>IVR</w:t>
      </w:r>
      <w:r w:rsidR="00C4266C" w:rsidRPr="003150A7">
        <w:t xml:space="preserve"> obsega osem osnovnih načel iz Evropske zakonodaje: </w:t>
      </w:r>
    </w:p>
    <w:p w14:paraId="557C7D14" w14:textId="77777777" w:rsidR="009C6851" w:rsidRPr="00F267BA" w:rsidRDefault="00C4266C" w:rsidP="00F267BA">
      <w:pPr>
        <w:pStyle w:val="Odstavekseznama"/>
        <w:numPr>
          <w:ilvl w:val="0"/>
          <w:numId w:val="14"/>
        </w:numPr>
      </w:pPr>
      <w:r w:rsidRPr="00F267BA">
        <w:t xml:space="preserve">preprečevanje in zatiranje škodljivih organizmov z agrotehničnimi ukrepi, </w:t>
      </w:r>
    </w:p>
    <w:p w14:paraId="178AEF64" w14:textId="77777777" w:rsidR="009C6851" w:rsidRPr="00F267BA" w:rsidRDefault="00C4266C" w:rsidP="00F267BA">
      <w:pPr>
        <w:pStyle w:val="Odstavekseznama"/>
        <w:numPr>
          <w:ilvl w:val="0"/>
          <w:numId w:val="14"/>
        </w:numPr>
      </w:pPr>
      <w:r w:rsidRPr="00F267BA">
        <w:t xml:space="preserve">spremljanje in opazovanje škodljivih organizmov, </w:t>
      </w:r>
    </w:p>
    <w:p w14:paraId="73B0BCFB" w14:textId="77777777" w:rsidR="009C6851" w:rsidRPr="00F267BA" w:rsidRDefault="00C4266C" w:rsidP="00F267BA">
      <w:pPr>
        <w:pStyle w:val="Odstavekseznama"/>
        <w:numPr>
          <w:ilvl w:val="0"/>
          <w:numId w:val="14"/>
        </w:numPr>
      </w:pPr>
      <w:r w:rsidRPr="00F267BA">
        <w:t xml:space="preserve">odločanje o ukrepih na podlagi praga škodljivosti in lokalnih dejavnikov, </w:t>
      </w:r>
    </w:p>
    <w:p w14:paraId="155F0113" w14:textId="368DD15A" w:rsidR="009C6851" w:rsidRPr="00F267BA" w:rsidRDefault="00C4266C" w:rsidP="00F267BA">
      <w:pPr>
        <w:pStyle w:val="Odstavekseznama"/>
        <w:numPr>
          <w:ilvl w:val="0"/>
          <w:numId w:val="14"/>
        </w:numPr>
      </w:pPr>
      <w:r w:rsidRPr="00F267BA">
        <w:t xml:space="preserve">prednostna izbira </w:t>
      </w:r>
      <w:proofErr w:type="spellStart"/>
      <w:r w:rsidRPr="00F267BA">
        <w:t>nekemičnih</w:t>
      </w:r>
      <w:proofErr w:type="spellEnd"/>
      <w:r w:rsidRPr="00F267BA">
        <w:t xml:space="preserve"> metod </w:t>
      </w:r>
      <w:r w:rsidR="000E222C" w:rsidRPr="00F267BA">
        <w:t>obvladovanja</w:t>
      </w:r>
      <w:r w:rsidRPr="00F267BA">
        <w:t xml:space="preserve"> škodljivih organizmov, </w:t>
      </w:r>
    </w:p>
    <w:p w14:paraId="6BC0BEAC" w14:textId="77777777" w:rsidR="009C6851" w:rsidRPr="00F267BA" w:rsidRDefault="00C4266C" w:rsidP="00F267BA">
      <w:pPr>
        <w:pStyle w:val="Odstavekseznama"/>
        <w:numPr>
          <w:ilvl w:val="0"/>
          <w:numId w:val="14"/>
        </w:numPr>
      </w:pPr>
      <w:r w:rsidRPr="00F267BA">
        <w:t xml:space="preserve">izbira FFS s specifičnim delovanjem in manjšim vplivom na okolje in zdravje, </w:t>
      </w:r>
    </w:p>
    <w:p w14:paraId="5EAFF68D" w14:textId="6C2C2ABB" w:rsidR="009C6851" w:rsidRPr="00F267BA" w:rsidRDefault="00C4266C" w:rsidP="00F267BA">
      <w:pPr>
        <w:pStyle w:val="Odstavekseznama"/>
        <w:numPr>
          <w:ilvl w:val="0"/>
          <w:numId w:val="14"/>
        </w:numPr>
      </w:pPr>
      <w:r w:rsidRPr="00F267BA">
        <w:t xml:space="preserve">čim manjša uporaba FFS ob sočasnem preprečevanju pojava odpornosti škodljivih organizmov, </w:t>
      </w:r>
    </w:p>
    <w:p w14:paraId="4D1924DB" w14:textId="757042BD" w:rsidR="009C6851" w:rsidRPr="00F267BA" w:rsidRDefault="009458F9" w:rsidP="00F267BA">
      <w:pPr>
        <w:pStyle w:val="Odstavekseznama"/>
        <w:numPr>
          <w:ilvl w:val="0"/>
          <w:numId w:val="14"/>
        </w:numPr>
      </w:pPr>
      <w:r w:rsidRPr="00F267BA">
        <w:t>p</w:t>
      </w:r>
      <w:r w:rsidR="00C4266C" w:rsidRPr="00F267BA">
        <w:t xml:space="preserve">reprečevanje pojava odpornosti škodljivih organizmov z uporabo različnih FFS, </w:t>
      </w:r>
    </w:p>
    <w:p w14:paraId="181F5F84" w14:textId="0B1D01B2" w:rsidR="00C4266C" w:rsidRPr="003150A7" w:rsidRDefault="00C4266C" w:rsidP="00F267BA">
      <w:pPr>
        <w:pStyle w:val="Odstavekseznama"/>
        <w:numPr>
          <w:ilvl w:val="0"/>
          <w:numId w:val="14"/>
        </w:numPr>
      </w:pPr>
      <w:r w:rsidRPr="00F267BA">
        <w:t>vodenje evidence izvedenih ukrepov</w:t>
      </w:r>
      <w:r w:rsidR="00C07084" w:rsidRPr="00F267BA">
        <w:t xml:space="preserve"> IVR</w:t>
      </w:r>
      <w:r w:rsidRPr="00F267BA">
        <w:t xml:space="preserve"> in preverjanje njihove uspešnosti. </w:t>
      </w:r>
    </w:p>
    <w:p w14:paraId="0601F60E" w14:textId="7EE4ABA2" w:rsidR="00AD556B" w:rsidRPr="00F267BA" w:rsidRDefault="00C4266C" w:rsidP="00F267BA">
      <w:r w:rsidRPr="00F267BA">
        <w:t xml:space="preserve">Ocenjujemo, da se </w:t>
      </w:r>
      <w:r w:rsidR="000E222C" w:rsidRPr="00F267BA">
        <w:t xml:space="preserve">zaradi usmerjenega strokovnega dela javne službe kmetijskega svetovanja, javne službe zdravstvenega varstva rastlin </w:t>
      </w:r>
      <w:r w:rsidRPr="00F267BA">
        <w:t>ter strokovn</w:t>
      </w:r>
      <w:r w:rsidR="00AD556B" w:rsidRPr="00F267BA">
        <w:t>ega</w:t>
      </w:r>
      <w:r w:rsidRPr="00F267BA">
        <w:t xml:space="preserve"> del</w:t>
      </w:r>
      <w:r w:rsidR="00AD556B" w:rsidRPr="00F267BA">
        <w:t>a</w:t>
      </w:r>
      <w:r w:rsidRPr="00F267BA">
        <w:t xml:space="preserve"> na kmetijskih inštitutih in zavodih, ki imajo dolgo</w:t>
      </w:r>
      <w:r w:rsidR="00132266">
        <w:t xml:space="preserve"> </w:t>
      </w:r>
      <w:r w:rsidRPr="00F267BA">
        <w:t>zgodovino</w:t>
      </w:r>
      <w:r w:rsidR="002D6BF5" w:rsidRPr="00F267BA">
        <w:t xml:space="preserve"> delovanja</w:t>
      </w:r>
      <w:r w:rsidRPr="00F267BA">
        <w:t xml:space="preserve">, </w:t>
      </w:r>
      <w:bookmarkStart w:id="71" w:name="_Hlk148525597"/>
      <w:r w:rsidRPr="00F267BA">
        <w:t xml:space="preserve">osnovna načela </w:t>
      </w:r>
      <w:r w:rsidR="009F5748">
        <w:t>IVR</w:t>
      </w:r>
      <w:r w:rsidRPr="00F267BA">
        <w:t xml:space="preserve"> uporabljajo na </w:t>
      </w:r>
      <w:r w:rsidR="000E222C" w:rsidRPr="00F267BA">
        <w:t xml:space="preserve">večini </w:t>
      </w:r>
      <w:r w:rsidRPr="00F267BA">
        <w:t>obdelovalnih površin</w:t>
      </w:r>
      <w:bookmarkEnd w:id="71"/>
      <w:r w:rsidR="000E222C" w:rsidRPr="00F267BA">
        <w:t>.</w:t>
      </w:r>
    </w:p>
    <w:p w14:paraId="535AB15B" w14:textId="18D3A7F6" w:rsidR="00AD556B" w:rsidRPr="00F267BA" w:rsidRDefault="00C4266C" w:rsidP="00F267BA">
      <w:r w:rsidRPr="00F267BA">
        <w:t xml:space="preserve">Poleg osnovnih načel Slovenija razvija tudi posebne smernice in napotke za posamezne </w:t>
      </w:r>
      <w:r w:rsidR="00132266">
        <w:t>gojene rastline</w:t>
      </w:r>
      <w:r w:rsidRPr="00F267BA">
        <w:t xml:space="preserve">, katerih uporaba je prostovoljna. </w:t>
      </w:r>
    </w:p>
    <w:p w14:paraId="3D67B352" w14:textId="3F6398D8" w:rsidR="00E97AF3" w:rsidRDefault="00C4266C" w:rsidP="00F267BA">
      <w:r w:rsidRPr="00F267BA">
        <w:t>Vse smernice in napotki so dostopni na spletni strani ivr.si</w:t>
      </w:r>
      <w:r w:rsidRPr="00F267BA">
        <w:rPr>
          <w:rStyle w:val="Sprotnaopomba-sklic"/>
          <w:rFonts w:cs="Arial"/>
          <w:color w:val="000000"/>
        </w:rPr>
        <w:footnoteReference w:id="18"/>
      </w:r>
      <w:r w:rsidRPr="00F267BA">
        <w:t xml:space="preserve"> kjer se zbirajo strokovni prispevki vseh inštitutov in zavodov v Sloveniji</w:t>
      </w:r>
      <w:r w:rsidR="00AD556B" w:rsidRPr="00F267BA">
        <w:t>,</w:t>
      </w:r>
      <w:r w:rsidR="00AD556B" w:rsidRPr="00F267BA">
        <w:rPr>
          <w:rFonts w:eastAsiaTheme="minorHAnsi"/>
        </w:rPr>
        <w:t xml:space="preserve"> </w:t>
      </w:r>
      <w:r w:rsidR="00AD556B" w:rsidRPr="00F267BA">
        <w:t>ki se ukvarjajo z varstvom rastlin, objavljeni pa so tudi nekateri strokovni prispevki Biotehniške fakultete, Oddelka za agronomijo</w:t>
      </w:r>
      <w:r w:rsidR="003715FF" w:rsidRPr="00F267BA">
        <w:t>.</w:t>
      </w:r>
    </w:p>
    <w:p w14:paraId="5224D26B" w14:textId="446F8B33" w:rsidR="00D24AE7" w:rsidRDefault="00D24AE7" w:rsidP="00D24AE7">
      <w:pPr>
        <w:jc w:val="center"/>
      </w:pPr>
      <w:r>
        <w:rPr>
          <w:noProof/>
        </w:rPr>
        <w:drawing>
          <wp:inline distT="0" distB="0" distL="0" distR="0" wp14:anchorId="063BFF2B" wp14:editId="41924FEB">
            <wp:extent cx="4680000" cy="2846607"/>
            <wp:effectExtent l="0" t="0" r="6350" b="0"/>
            <wp:docPr id="2" name="Graf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4680000" cy="2846607"/>
                    </a:xfrm>
                    <a:prstGeom prst="rect">
                      <a:avLst/>
                    </a:prstGeom>
                  </pic:spPr>
                </pic:pic>
              </a:graphicData>
            </a:graphic>
          </wp:inline>
        </w:drawing>
      </w:r>
    </w:p>
    <w:p w14:paraId="59FD225F" w14:textId="1B15C4E3" w:rsidR="00D24AE7" w:rsidRDefault="00D24AE7" w:rsidP="00D24AE7">
      <w:pPr>
        <w:pStyle w:val="Napis"/>
        <w:jc w:val="center"/>
      </w:pPr>
      <w:r>
        <w:t xml:space="preserve">Slika </w:t>
      </w:r>
      <w:fldSimple w:instr=" SEQ Slika \* ARABIC ">
        <w:r>
          <w:rPr>
            <w:noProof/>
          </w:rPr>
          <w:t>7</w:t>
        </w:r>
      </w:fldSimple>
      <w:r>
        <w:t>: Obisk IVR portala</w:t>
      </w:r>
      <w:r w:rsidR="00B11E33">
        <w:t xml:space="preserve"> </w:t>
      </w:r>
    </w:p>
    <w:p w14:paraId="6628B6EB" w14:textId="72EDFB44" w:rsidR="00C4266C" w:rsidRPr="00F267BA" w:rsidRDefault="00C4266C" w:rsidP="00F267BA">
      <w:pPr>
        <w:rPr>
          <w:rFonts w:eastAsia="Times New Roman"/>
        </w:rPr>
      </w:pPr>
      <w:r w:rsidRPr="00F267BA">
        <w:lastRenderedPageBreak/>
        <w:t xml:space="preserve">Strokovno delo in spletno stran financira </w:t>
      </w:r>
      <w:r w:rsidR="00AD556B" w:rsidRPr="00F267BA">
        <w:t>Uprava</w:t>
      </w:r>
      <w:r w:rsidRPr="00F267BA">
        <w:t xml:space="preserve">. Strokovne nasvete </w:t>
      </w:r>
      <w:r w:rsidR="002D6BF5" w:rsidRPr="00F267BA">
        <w:t>uporabniki FFS</w:t>
      </w:r>
      <w:r w:rsidRPr="00F267BA">
        <w:t xml:space="preserve"> lahko dobijo tudi osebno ali po telefonu pri javni </w:t>
      </w:r>
      <w:r w:rsidR="00A500B5">
        <w:t>službi kmetijskega svetovanja</w:t>
      </w:r>
      <w:r w:rsidR="002D6BF5" w:rsidRPr="00F267BA">
        <w:t xml:space="preserve"> in javni službi zdravstvenega varstva rastlin.</w:t>
      </w:r>
      <w:r w:rsidR="00742429" w:rsidRPr="00F267BA">
        <w:rPr>
          <w:rFonts w:eastAsia="Times New Roman"/>
        </w:rPr>
        <w:t xml:space="preserve"> </w:t>
      </w:r>
    </w:p>
    <w:p w14:paraId="0E210120" w14:textId="3CDEAFE9" w:rsidR="003E7211" w:rsidRPr="00132266" w:rsidRDefault="00C07084" w:rsidP="00132266">
      <w:pPr>
        <w:pStyle w:val="Naslov3"/>
      </w:pPr>
      <w:bookmarkStart w:id="72" w:name="_Toc170816419"/>
      <w:r w:rsidRPr="00132266">
        <w:t xml:space="preserve">Ocena obsega uporabe </w:t>
      </w:r>
      <w:proofErr w:type="spellStart"/>
      <w:r w:rsidRPr="00132266">
        <w:t>nekemičnih</w:t>
      </w:r>
      <w:proofErr w:type="spellEnd"/>
      <w:r w:rsidRPr="00132266">
        <w:t xml:space="preserve"> metod za varstvo rastlin</w:t>
      </w:r>
      <w:bookmarkEnd w:id="72"/>
      <w:r w:rsidRPr="00132266">
        <w:t xml:space="preserve"> </w:t>
      </w:r>
    </w:p>
    <w:p w14:paraId="7CD8AC50" w14:textId="2CF6D163" w:rsidR="008D63B0" w:rsidRPr="00D548EE" w:rsidRDefault="009C6851" w:rsidP="00132266">
      <w:proofErr w:type="spellStart"/>
      <w:r w:rsidRPr="00D548EE">
        <w:rPr>
          <w:color w:val="000000"/>
        </w:rPr>
        <w:t>Nekemične</w:t>
      </w:r>
      <w:proofErr w:type="spellEnd"/>
      <w:r w:rsidRPr="00D548EE">
        <w:rPr>
          <w:color w:val="000000"/>
        </w:rPr>
        <w:t xml:space="preserve"> metode varstva rastlin so najbolj uspešne na področju zatiranja plevelov</w:t>
      </w:r>
      <w:r w:rsidR="008D63B0" w:rsidRPr="00D548EE">
        <w:rPr>
          <w:color w:val="000000"/>
        </w:rPr>
        <w:t xml:space="preserve"> in obvladovanja škodljivcev</w:t>
      </w:r>
      <w:r w:rsidR="00731DB3" w:rsidRPr="00D548EE">
        <w:rPr>
          <w:color w:val="000000"/>
        </w:rPr>
        <w:t xml:space="preserve">. </w:t>
      </w:r>
      <w:r w:rsidR="006D4C0F" w:rsidRPr="00D548EE">
        <w:t>Pridelovalci v zadnjih letih plevele pogosteje kot v preteklosti obvladujejo s kombinacijo mehanskih ukrepov (prevladuje npr. okopavanje ali prečesavanje posevkov) in uporabo herbicidov. Mehansko zatiranje plevelov z okopavanjem je pogost dopolnilni ukrep pri pridelavi koruze, soje, sončnic, oljnih buč in krompirja (izvaja ga od 40</w:t>
      </w:r>
      <w:r w:rsidR="00132266">
        <w:t xml:space="preserve"> – </w:t>
      </w:r>
      <w:r w:rsidR="006D4C0F" w:rsidRPr="00D548EE">
        <w:t>60</w:t>
      </w:r>
      <w:r w:rsidR="00132266">
        <w:t xml:space="preserve"> </w:t>
      </w:r>
      <w:r w:rsidR="006D4C0F" w:rsidRPr="00D548EE">
        <w:t>% tržnih pridelovalcev). Pri pridelavi žit pridelovalci pogosto izvedejo mehansko obvladovanje plevelov s prečesavanjem posevkov (do 30</w:t>
      </w:r>
      <w:r w:rsidR="00132266">
        <w:t xml:space="preserve"> </w:t>
      </w:r>
      <w:r w:rsidR="006D4C0F" w:rsidRPr="00D548EE">
        <w:t>% posevkov). V pridelavi hmelja pridelovalci ne uporabljajo herbicidov (100</w:t>
      </w:r>
      <w:r w:rsidR="00132266">
        <w:t xml:space="preserve"> </w:t>
      </w:r>
      <w:r w:rsidR="006D4C0F" w:rsidRPr="00D548EE">
        <w:t>%), ampak plevelno vegetacijo uravnavajo s pogostejšo mehansko obdelavo tal ter</w:t>
      </w:r>
      <w:r w:rsidR="00674617">
        <w:t xml:space="preserve"> s </w:t>
      </w:r>
      <w:r w:rsidR="006D4C0F" w:rsidRPr="00D548EE">
        <w:t xml:space="preserve">setvijo podsevkov. </w:t>
      </w:r>
      <w:proofErr w:type="spellStart"/>
      <w:r w:rsidR="006D4C0F" w:rsidRPr="00D548EE">
        <w:rPr>
          <w:rFonts w:eastAsia="Times New Roman"/>
        </w:rPr>
        <w:t>Nekemično</w:t>
      </w:r>
      <w:proofErr w:type="spellEnd"/>
      <w:r w:rsidR="006D4C0F" w:rsidRPr="00D548EE">
        <w:rPr>
          <w:rFonts w:eastAsia="Times New Roman"/>
        </w:rPr>
        <w:t xml:space="preserve"> </w:t>
      </w:r>
      <w:r w:rsidR="00D35355" w:rsidRPr="00D548EE">
        <w:rPr>
          <w:rFonts w:eastAsia="Times New Roman"/>
        </w:rPr>
        <w:t xml:space="preserve">(ročno) </w:t>
      </w:r>
      <w:r w:rsidR="006D4C0F" w:rsidRPr="00D548EE">
        <w:rPr>
          <w:rFonts w:eastAsia="Times New Roman"/>
        </w:rPr>
        <w:t>odstranjujejo tudi odvečne poganjke</w:t>
      </w:r>
      <w:r w:rsidR="00D35355" w:rsidRPr="00D548EE">
        <w:rPr>
          <w:rFonts w:eastAsia="Times New Roman"/>
        </w:rPr>
        <w:t>.</w:t>
      </w:r>
      <w:r w:rsidR="00D35355" w:rsidRPr="00D548EE">
        <w:t xml:space="preserve"> </w:t>
      </w:r>
    </w:p>
    <w:p w14:paraId="06367AF4" w14:textId="671FDAB0" w:rsidR="008D63B0" w:rsidRPr="00D548EE" w:rsidRDefault="00D35355" w:rsidP="00132266">
      <w:r w:rsidRPr="00D548EE">
        <w:t xml:space="preserve">V pridelavi vrtnin pridelovalci za obvladovanje plevelov </w:t>
      </w:r>
      <w:r w:rsidR="00F24278">
        <w:t>vedno manj uporabljajo</w:t>
      </w:r>
      <w:r w:rsidRPr="00D548EE">
        <w:t xml:space="preserve"> herbicide (do 30</w:t>
      </w:r>
      <w:r w:rsidR="000D2557">
        <w:t xml:space="preserve"> </w:t>
      </w:r>
      <w:r w:rsidRPr="00D548EE">
        <w:t xml:space="preserve">% površin). Najpogosteje namesto </w:t>
      </w:r>
      <w:r w:rsidR="00455460" w:rsidRPr="00D548EE">
        <w:t>herbicidov</w:t>
      </w:r>
      <w:r w:rsidRPr="00D548EE">
        <w:t xml:space="preserve"> uporabljajo </w:t>
      </w:r>
      <w:r w:rsidR="003715FF" w:rsidRPr="00D548EE">
        <w:t>različne</w:t>
      </w:r>
      <w:r w:rsidR="00455460" w:rsidRPr="00D548EE">
        <w:t xml:space="preserve"> folije in pogosto mehansko obdelavo tal. Za varovanje posevkov pred škodljivci uporabljajo </w:t>
      </w:r>
      <w:proofErr w:type="spellStart"/>
      <w:r w:rsidR="00455460" w:rsidRPr="00D548EE">
        <w:t>protiinsektne</w:t>
      </w:r>
      <w:proofErr w:type="spellEnd"/>
      <w:r w:rsidR="00455460" w:rsidRPr="00D548EE">
        <w:t xml:space="preserve"> mreže in vlaknaste prekrivke. </w:t>
      </w:r>
      <w:r w:rsidR="008D63B0" w:rsidRPr="00D548EE">
        <w:t>Do 60</w:t>
      </w:r>
      <w:r w:rsidR="000D2557">
        <w:t xml:space="preserve"> </w:t>
      </w:r>
      <w:r w:rsidR="008D63B0" w:rsidRPr="00D548EE">
        <w:t xml:space="preserve">% tržnih pridelovalcev redno uporablja različne </w:t>
      </w:r>
      <w:proofErr w:type="spellStart"/>
      <w:r w:rsidR="008D63B0" w:rsidRPr="00D548EE">
        <w:t>biostimulante</w:t>
      </w:r>
      <w:proofErr w:type="spellEnd"/>
      <w:r w:rsidR="008D63B0" w:rsidRPr="00D548EE">
        <w:t xml:space="preserve"> (alge, aminokisline). V pridelavi v zavarovanih prostorih za obvladovanje škodljivcev (npr. </w:t>
      </w:r>
      <w:proofErr w:type="spellStart"/>
      <w:r w:rsidR="008D63B0" w:rsidRPr="00D548EE">
        <w:t>resarji</w:t>
      </w:r>
      <w:proofErr w:type="spellEnd"/>
      <w:r w:rsidR="008D63B0" w:rsidRPr="00D548EE">
        <w:t xml:space="preserve">, navadna pršica, rastlinjakov </w:t>
      </w:r>
      <w:proofErr w:type="spellStart"/>
      <w:r w:rsidR="008D63B0" w:rsidRPr="00D548EE">
        <w:t>ščitkar</w:t>
      </w:r>
      <w:proofErr w:type="spellEnd"/>
      <w:r w:rsidR="008D63B0" w:rsidRPr="00D548EE">
        <w:t>) uporabljajo koristne organizme (20</w:t>
      </w:r>
      <w:r w:rsidR="000D2557">
        <w:t xml:space="preserve"> </w:t>
      </w:r>
      <w:r w:rsidR="008D63B0" w:rsidRPr="00D548EE">
        <w:t>% površin).</w:t>
      </w:r>
    </w:p>
    <w:p w14:paraId="68D20099" w14:textId="13CB983C" w:rsidR="006D4C0F" w:rsidRPr="00D548EE" w:rsidRDefault="00674617" w:rsidP="00132266">
      <w:r>
        <w:t>V</w:t>
      </w:r>
      <w:r w:rsidR="008D63B0" w:rsidRPr="00D548EE">
        <w:t xml:space="preserve"> pridelavi jagodičevja </w:t>
      </w:r>
      <w:r w:rsidR="002B694E" w:rsidRPr="00D548EE">
        <w:t>prekrivajo tla z različnimi folijami</w:t>
      </w:r>
      <w:r>
        <w:t xml:space="preserve"> proti plevelom</w:t>
      </w:r>
      <w:r w:rsidR="002B694E" w:rsidRPr="00D548EE">
        <w:t xml:space="preserve">, v zadnjih dveh letih pa </w:t>
      </w:r>
      <w:r w:rsidR="0085733D" w:rsidRPr="00D548EE">
        <w:t xml:space="preserve">jih </w:t>
      </w:r>
      <w:r w:rsidR="003715FF" w:rsidRPr="00D548EE">
        <w:t>pridelujejo</w:t>
      </w:r>
      <w:r w:rsidR="002B694E" w:rsidRPr="00D548EE">
        <w:t xml:space="preserve"> tudi v loncih ali vrečah. Proti insektom 50 – 60</w:t>
      </w:r>
      <w:r w:rsidR="00132266">
        <w:t xml:space="preserve"> </w:t>
      </w:r>
      <w:r w:rsidR="002B694E" w:rsidRPr="00D548EE">
        <w:t xml:space="preserve">% pridelovalcev uporablja mreže in prehranske pasti. </w:t>
      </w:r>
    </w:p>
    <w:p w14:paraId="0D3795B7" w14:textId="0F947A46" w:rsidR="006D4C0F" w:rsidRPr="00D548EE" w:rsidRDefault="002B694E" w:rsidP="00132266">
      <w:r w:rsidRPr="00D548EE">
        <w:t xml:space="preserve">V sadovnjakih in vinogradih pridelovalci </w:t>
      </w:r>
      <w:r w:rsidR="00F24278">
        <w:t>zmanjšujejo uporabo herbicidov</w:t>
      </w:r>
      <w:r w:rsidRPr="00D548EE">
        <w:t xml:space="preserve">. </w:t>
      </w:r>
      <w:r w:rsidR="000F5692">
        <w:t>Kadar</w:t>
      </w:r>
      <w:r w:rsidRPr="00D548EE">
        <w:t xml:space="preserve"> uporab</w:t>
      </w:r>
      <w:r w:rsidR="000F5692">
        <w:t>ijo</w:t>
      </w:r>
      <w:r w:rsidRPr="00D548EE">
        <w:t xml:space="preserve"> herbicid</w:t>
      </w:r>
      <w:r w:rsidR="000F5692">
        <w:t>e</w:t>
      </w:r>
      <w:r w:rsidRPr="00D548EE">
        <w:t xml:space="preserve">, le te </w:t>
      </w:r>
      <w:r w:rsidR="000F5692">
        <w:t>nanašajo</w:t>
      </w:r>
      <w:r w:rsidRPr="00D548EE">
        <w:t xml:space="preserve"> v pasu pod sadnimi drevesi oziroma trtami, medvrstni prostor pa kosijo ali mulčijo. Večji tržni pridelovalci redno uporabljajo feromonske vabe in barvne lepljive plošče (npr. bele za spremljanje grizlic, rumene za češnjevo muho</w:t>
      </w:r>
      <w:r w:rsidR="000F5692">
        <w:t>)</w:t>
      </w:r>
      <w:r w:rsidR="000F5692" w:rsidRPr="000F5692">
        <w:t xml:space="preserve"> </w:t>
      </w:r>
      <w:r w:rsidR="000F5692" w:rsidRPr="00D548EE">
        <w:t>za spremljanje pojava in številčnosti najpogostejših škodljivcev</w:t>
      </w:r>
      <w:r w:rsidRPr="00D548EE">
        <w:t>. Za zatiranje škodljivcev se nato odločajo na podlagi spremljan</w:t>
      </w:r>
      <w:r w:rsidR="000F5692">
        <w:t>j</w:t>
      </w:r>
      <w:r w:rsidRPr="00D548EE">
        <w:t xml:space="preserve">a razvoja škodljivcev in pragov škodljivosti. Vedno pogosteje za njihovo obvladovanje uporabljajo biološka </w:t>
      </w:r>
      <w:r w:rsidR="00A249CC" w:rsidRPr="00D548EE">
        <w:t>s</w:t>
      </w:r>
      <w:r w:rsidRPr="00D548EE">
        <w:t xml:space="preserve">redstva in metode </w:t>
      </w:r>
      <w:proofErr w:type="spellStart"/>
      <w:r w:rsidRPr="00D548EE">
        <w:t>zbeganja</w:t>
      </w:r>
      <w:proofErr w:type="spellEnd"/>
      <w:r w:rsidR="000F5692">
        <w:t xml:space="preserve">. </w:t>
      </w:r>
      <w:r w:rsidR="00A249CC" w:rsidRPr="00D548EE">
        <w:t>Pridelovalci se ne odločajo za pogostejšo uporabo o</w:t>
      </w:r>
      <w:r w:rsidRPr="00D548EE">
        <w:t>snovn</w:t>
      </w:r>
      <w:r w:rsidR="00A249CC" w:rsidRPr="00D548EE">
        <w:t>ih</w:t>
      </w:r>
      <w:r w:rsidRPr="00D548EE">
        <w:t xml:space="preserve"> snovi, rastlinsk</w:t>
      </w:r>
      <w:r w:rsidR="00A249CC" w:rsidRPr="00D548EE">
        <w:t>ih</w:t>
      </w:r>
      <w:r w:rsidRPr="00D548EE">
        <w:t xml:space="preserve"> izvlečk</w:t>
      </w:r>
      <w:r w:rsidR="00A249CC" w:rsidRPr="00D548EE">
        <w:t>ov</w:t>
      </w:r>
      <w:r w:rsidRPr="00D548EE">
        <w:t xml:space="preserve"> in sredst</w:t>
      </w:r>
      <w:r w:rsidR="00A249CC" w:rsidRPr="00D548EE">
        <w:t>ev</w:t>
      </w:r>
      <w:r w:rsidRPr="00D548EE">
        <w:t xml:space="preserve"> na podlagi </w:t>
      </w:r>
      <w:r w:rsidR="009F5748">
        <w:t>MO</w:t>
      </w:r>
      <w:r w:rsidR="00A249CC" w:rsidRPr="00D548EE">
        <w:t xml:space="preserve"> zaradi omejene ponudbe na našem trgu, pomislekov glede učinkovitosti v primerjavi s kemičnimi FFS ter slabih izkušenj, povezanih z uporabo teh sredstev v preteklosti. Pridelovalci </w:t>
      </w:r>
      <w:proofErr w:type="spellStart"/>
      <w:r w:rsidR="00A249CC" w:rsidRPr="00D548EE">
        <w:t>koščičarjev</w:t>
      </w:r>
      <w:proofErr w:type="spellEnd"/>
      <w:r w:rsidR="00A249CC" w:rsidRPr="00D548EE">
        <w:t xml:space="preserve"> in jagodičja se redko odločajo za nakup in uporabo </w:t>
      </w:r>
      <w:proofErr w:type="spellStart"/>
      <w:r w:rsidR="00A249CC" w:rsidRPr="00D548EE">
        <w:t>protiinsektnih</w:t>
      </w:r>
      <w:proofErr w:type="spellEnd"/>
      <w:r w:rsidR="00A249CC" w:rsidRPr="00D548EE">
        <w:t xml:space="preserve"> mrež, predvsem zaradi visokih stroškov nabave in postavitve.</w:t>
      </w:r>
    </w:p>
    <w:p w14:paraId="4168B4BA" w14:textId="72D6B0B3" w:rsidR="00731DB3" w:rsidRPr="00D548EE" w:rsidRDefault="00A249CC" w:rsidP="00132266">
      <w:r w:rsidRPr="00D548EE">
        <w:t xml:space="preserve">Tržni pridelovalci kombinirajo različne </w:t>
      </w:r>
      <w:proofErr w:type="spellStart"/>
      <w:r w:rsidRPr="00D548EE">
        <w:t>nekemične</w:t>
      </w:r>
      <w:proofErr w:type="spellEnd"/>
      <w:r w:rsidRPr="00D548EE">
        <w:t xml:space="preserve"> metode varstva rastlin </w:t>
      </w:r>
      <w:r w:rsidR="000F5692">
        <w:t>s</w:t>
      </w:r>
      <w:r w:rsidRPr="00D548EE">
        <w:t xml:space="preserve"> kemičnimi metodami (odvisno od leta in potreb v posameznem letu)</w:t>
      </w:r>
      <w:r w:rsidR="000F5692">
        <w:t>.</w:t>
      </w:r>
      <w:r w:rsidRPr="00D548EE">
        <w:t xml:space="preserve"> </w:t>
      </w:r>
      <w:r w:rsidR="000F5692">
        <w:t>N</w:t>
      </w:r>
      <w:r w:rsidRPr="00D548EE">
        <w:t>ajmanj 60</w:t>
      </w:r>
      <w:r w:rsidR="00F96327">
        <w:t xml:space="preserve"> </w:t>
      </w:r>
      <w:r w:rsidRPr="00D548EE">
        <w:t xml:space="preserve">% tržnih pridelovalcev je uvedlo in izvaja več kot 1 </w:t>
      </w:r>
      <w:proofErr w:type="spellStart"/>
      <w:r w:rsidRPr="00D548EE">
        <w:t>nekemično</w:t>
      </w:r>
      <w:proofErr w:type="spellEnd"/>
      <w:r w:rsidRPr="00D548EE">
        <w:t xml:space="preserve"> metodo varstva rastlin v posevku ali nasadu letno</w:t>
      </w:r>
      <w:r w:rsidR="00F24278">
        <w:t>.</w:t>
      </w:r>
    </w:p>
    <w:p w14:paraId="241C722D" w14:textId="0B2F21EE" w:rsidR="003E7211" w:rsidRPr="00132266" w:rsidRDefault="00C4266C" w:rsidP="00132266">
      <w:pPr>
        <w:pStyle w:val="Naslov3"/>
      </w:pPr>
      <w:bookmarkStart w:id="73" w:name="_Toc170816420"/>
      <w:r w:rsidRPr="00132266">
        <w:t xml:space="preserve">Javna </w:t>
      </w:r>
      <w:r w:rsidR="000F5692" w:rsidRPr="00132266">
        <w:t xml:space="preserve">služba </w:t>
      </w:r>
      <w:r w:rsidR="002D6BF5" w:rsidRPr="00132266">
        <w:t>kmetijsk</w:t>
      </w:r>
      <w:r w:rsidR="000F5692" w:rsidRPr="00132266">
        <w:t>ega svetovanja</w:t>
      </w:r>
      <w:bookmarkEnd w:id="73"/>
      <w:r w:rsidR="003E7211" w:rsidRPr="00132266">
        <w:t xml:space="preserve"> </w:t>
      </w:r>
    </w:p>
    <w:p w14:paraId="5B72B576" w14:textId="59CF5EAC" w:rsidR="007D50E1" w:rsidRPr="00C4266C" w:rsidRDefault="003E7211" w:rsidP="00132266">
      <w:r w:rsidRPr="00D548EE">
        <w:t>V Sloveniji deluje javna služba</w:t>
      </w:r>
      <w:r w:rsidR="007D50E1" w:rsidRPr="00D548EE">
        <w:t xml:space="preserve"> kmetijskega svetovanja</w:t>
      </w:r>
      <w:r w:rsidRPr="00D548EE">
        <w:t xml:space="preserve"> že vrsto let. Organizirana je v okviru Kmetijsko gozdarske zbornice Slovenije in razdeljena po regijah. </w:t>
      </w:r>
      <w:r w:rsidR="007D50E1" w:rsidRPr="00D548EE">
        <w:t xml:space="preserve">Skladno s programom dela kmetijski svetovalci nudijo strokovno podporo pri opazovalni dejavnosti v zvezi s </w:t>
      </w:r>
      <w:r w:rsidR="006522DC" w:rsidRPr="00D548EE">
        <w:t>škodljivimi organizmi</w:t>
      </w:r>
      <w:r w:rsidR="007D50E1" w:rsidRPr="00D548EE">
        <w:t xml:space="preserve"> rastlin in svetujejo o pravilni uporabi FFS, ki izhaja iz načel dobre prakse varstva rastlin in je skladna s splošnimi načeli </w:t>
      </w:r>
      <w:r w:rsidR="00132266">
        <w:t>IVR</w:t>
      </w:r>
      <w:r w:rsidR="007D50E1" w:rsidRPr="00D548EE">
        <w:t xml:space="preserve"> pred </w:t>
      </w:r>
      <w:r w:rsidR="006522DC" w:rsidRPr="00D548EE">
        <w:t>škodljivimi organizmi</w:t>
      </w:r>
      <w:r w:rsidR="007D50E1" w:rsidRPr="00C4266C">
        <w:t>.</w:t>
      </w:r>
    </w:p>
    <w:p w14:paraId="1F20787C" w14:textId="036FE44C" w:rsidR="007D50E1" w:rsidRPr="00132266" w:rsidRDefault="007D50E1" w:rsidP="00132266">
      <w:pPr>
        <w:pStyle w:val="Naslov3"/>
      </w:pPr>
      <w:bookmarkStart w:id="74" w:name="_Toc170816421"/>
      <w:r w:rsidRPr="00974A7C">
        <w:lastRenderedPageBreak/>
        <w:t>Javna služba zdravstvenega varstva rastlin</w:t>
      </w:r>
      <w:bookmarkEnd w:id="74"/>
    </w:p>
    <w:p w14:paraId="4E98788C" w14:textId="51BE3D8F" w:rsidR="007D50E1" w:rsidRPr="00974A7C" w:rsidRDefault="007D50E1" w:rsidP="00132266">
      <w:r w:rsidRPr="00974A7C">
        <w:t xml:space="preserve">Javna služba zdravstvenega varstva rastlin, ki deluje na podlagi koncesije Uprave, izvaja naloge s področja spremljanja, opazovanja in napovedovanja pojava bolezni in škodljivcev rastlin (prognoza škodljivih organizmov). V okviru prognoze javna služba </w:t>
      </w:r>
      <w:r w:rsidR="00A500B5">
        <w:t xml:space="preserve">zdravstvenega varstva rastlin </w:t>
      </w:r>
      <w:r w:rsidRPr="00974A7C">
        <w:t>obvešča pridelovalce in jih usmerja k primernim varstvenim ukrepom za obvladovanje bolezni in škodljivcev rastlin</w:t>
      </w:r>
      <w:r w:rsidR="005733CF" w:rsidRPr="00974A7C">
        <w:t xml:space="preserve"> preko prognostičnih obvestil</w:t>
      </w:r>
      <w:r w:rsidR="005733CF" w:rsidRPr="00974A7C">
        <w:rPr>
          <w:rStyle w:val="Sprotnaopomba-sklic"/>
          <w:rFonts w:cs="Arial"/>
          <w:color w:val="000000"/>
        </w:rPr>
        <w:footnoteReference w:id="19"/>
      </w:r>
      <w:r w:rsidR="005733CF" w:rsidRPr="00974A7C">
        <w:t xml:space="preserve">. Napovedi so </w:t>
      </w:r>
      <w:r w:rsidR="00AB4B8E">
        <w:t xml:space="preserve">brezplačno </w:t>
      </w:r>
      <w:r w:rsidR="005733CF" w:rsidRPr="00974A7C">
        <w:t xml:space="preserve">dostopne </w:t>
      </w:r>
      <w:r w:rsidR="00AB4B8E">
        <w:t xml:space="preserve">na </w:t>
      </w:r>
      <w:proofErr w:type="spellStart"/>
      <w:r w:rsidR="00AB4B8E">
        <w:t>Agrometeorološkem</w:t>
      </w:r>
      <w:proofErr w:type="spellEnd"/>
      <w:r w:rsidR="00AB4B8E">
        <w:t xml:space="preserve"> portalu Slovenije in </w:t>
      </w:r>
      <w:r w:rsidR="005733CF" w:rsidRPr="00974A7C">
        <w:t>tudi na spletnih straneh pooblaščenih zavodov in inštitutov. Za brezplačne napovedi o varstvu vinogradov, sadovnjakov, vrtnin ali poljščin lahko uporabnik storitev naroči</w:t>
      </w:r>
      <w:r w:rsidR="00AB4B8E">
        <w:t>, prejme pa jih</w:t>
      </w:r>
      <w:r w:rsidR="005733CF" w:rsidRPr="00974A7C">
        <w:t xml:space="preserve"> po elektronski pošti ali </w:t>
      </w:r>
      <w:r w:rsidR="00132266">
        <w:t>preko</w:t>
      </w:r>
      <w:r w:rsidR="005733CF" w:rsidRPr="00974A7C">
        <w:t xml:space="preserve"> SMS sporočil.</w:t>
      </w:r>
    </w:p>
    <w:p w14:paraId="52206690" w14:textId="32E39CF9" w:rsidR="00C4266C" w:rsidRPr="006F47B9" w:rsidRDefault="006522DC" w:rsidP="00132266">
      <w:r w:rsidRPr="00974A7C">
        <w:t xml:space="preserve">Javna služba zdravstvenega varstva rastlin za izvajanje prognoze bolezni in škodljivcev rastlin uporablja različne pripomočke za spremljanje škodljivih organizmov, od lovilcev spor, svetlobnih vab, feromonskih vab, </w:t>
      </w:r>
      <w:r w:rsidR="00AB4B8E">
        <w:t xml:space="preserve">prehranskih vab, </w:t>
      </w:r>
      <w:r w:rsidRPr="00974A7C">
        <w:t>lepljivih plošč do novejših tehnik daljinskega spremljanja (</w:t>
      </w:r>
      <w:proofErr w:type="spellStart"/>
      <w:r w:rsidRPr="00974A7C">
        <w:t>Trapview</w:t>
      </w:r>
      <w:proofErr w:type="spellEnd"/>
      <w:r w:rsidRPr="00974A7C">
        <w:t>)</w:t>
      </w:r>
      <w:r w:rsidRPr="00974A7C">
        <w:rPr>
          <w:rStyle w:val="Sprotnaopomba-sklic"/>
          <w:rFonts w:cs="Arial"/>
          <w:color w:val="000000"/>
        </w:rPr>
        <w:footnoteReference w:id="20"/>
      </w:r>
      <w:r w:rsidRPr="00974A7C">
        <w:t xml:space="preserve">. Potrebna je tudi različna strojna, programska in druga oprema, ki omogoča meritve različnih parametrov, zbiranje in analiziranje ter dostopnost podatkov in meritev. Te se zagotavljajo iz številnih </w:t>
      </w:r>
      <w:proofErr w:type="spellStart"/>
      <w:r w:rsidRPr="00974A7C">
        <w:t>agrometeoroloških</w:t>
      </w:r>
      <w:proofErr w:type="spellEnd"/>
      <w:r w:rsidRPr="00974A7C">
        <w:t xml:space="preserve"> postaj, smiselno razporejenih po območjih Slovenije z najbolj intenzivno kmetijsko pridelavo. Izpis njihovih lokacij s podatki meritev in opazovanj na posameznem območju je javno dostopen na </w:t>
      </w:r>
      <w:proofErr w:type="spellStart"/>
      <w:r w:rsidRPr="00974A7C">
        <w:t>Agrometeorološkem</w:t>
      </w:r>
      <w:proofErr w:type="spellEnd"/>
      <w:r w:rsidRPr="00974A7C">
        <w:t xml:space="preserve"> portalu Slovenije</w:t>
      </w:r>
      <w:r w:rsidRPr="00974A7C">
        <w:rPr>
          <w:rStyle w:val="Sprotnaopomba-sklic"/>
          <w:rFonts w:cs="Arial"/>
          <w:color w:val="000000"/>
        </w:rPr>
        <w:footnoteReference w:id="21"/>
      </w:r>
      <w:r w:rsidRPr="00974A7C">
        <w:t>.</w:t>
      </w:r>
    </w:p>
    <w:bookmarkEnd w:id="70"/>
    <w:p w14:paraId="037AE3AD" w14:textId="3056FE03" w:rsidR="00E97AF3" w:rsidRPr="00AB4B8E" w:rsidRDefault="00E97AF3" w:rsidP="00132266">
      <w:r w:rsidRPr="00AB4B8E">
        <w:t>Od leta 2021 dalje inštituti in zavodi, ki izvajajo javno službo zdravstvenega varstva rastlin, še posebej intenzivno izvajajo tudi številne strokovne naloge povezane z razvojem alternativnih metod in tehnik za obvladovanje škodljivih organizmov (tako imenovane IVR demonstracijske poskuse)</w:t>
      </w:r>
      <w:r w:rsidR="00AB4B8E" w:rsidRPr="00AB4B8E">
        <w:t>,</w:t>
      </w:r>
      <w:r w:rsidR="006F0487">
        <w:t xml:space="preserve"> </w:t>
      </w:r>
      <w:r w:rsidR="00AB4B8E" w:rsidRPr="00AB4B8E">
        <w:t>ki jih financira Uprava</w:t>
      </w:r>
      <w:r w:rsidRPr="00AB4B8E">
        <w:t xml:space="preserve">. V ta namen se je </w:t>
      </w:r>
      <w:r w:rsidR="00AB4B8E">
        <w:t>ta</w:t>
      </w:r>
      <w:r w:rsidRPr="00AB4B8E">
        <w:t xml:space="preserve"> služba tudi kadrovsko okrepila. Rezultate strokovnih nalog na različnih srečanjih in na različne načine strokovnjaki javne službe</w:t>
      </w:r>
      <w:r w:rsidR="00A500B5">
        <w:t xml:space="preserve"> zdravstvenega varstva rastlin</w:t>
      </w:r>
      <w:r w:rsidRPr="00AB4B8E">
        <w:t xml:space="preserve"> prenašajo na strokovnjake drugih služb v kmetijstvu in pridelovalce. Rezultati strokovnih nalog so objavljeni tudi na IVR portalu. </w:t>
      </w:r>
    </w:p>
    <w:p w14:paraId="741CAA0A" w14:textId="6AEB7B18" w:rsidR="00E97AF3" w:rsidRPr="003150A7" w:rsidRDefault="008A74D2" w:rsidP="00132266">
      <w:bookmarkStart w:id="75" w:name="_Hlk148525566"/>
      <w:r w:rsidRPr="006F47B9">
        <w:t xml:space="preserve">Ocenjujemo, da vsi uporabniki FFS redno uporabljajo nasvete in informacije </w:t>
      </w:r>
      <w:r>
        <w:t xml:space="preserve">javne službe zdravstvenega varstva rastlin in </w:t>
      </w:r>
      <w:r w:rsidRPr="006F47B9">
        <w:t>javne</w:t>
      </w:r>
      <w:r>
        <w:t xml:space="preserve"> službe kmetijskega svetovanja. </w:t>
      </w:r>
      <w:bookmarkEnd w:id="75"/>
    </w:p>
    <w:p w14:paraId="5BB65B61" w14:textId="512AC7E4" w:rsidR="00A23830" w:rsidRPr="00132266" w:rsidRDefault="00A23830" w:rsidP="00132266">
      <w:pPr>
        <w:pStyle w:val="Naslov3"/>
      </w:pPr>
      <w:bookmarkStart w:id="76" w:name="_Toc170816422"/>
      <w:bookmarkStart w:id="77" w:name="_Hlk148694540"/>
      <w:r w:rsidRPr="00132266">
        <w:t xml:space="preserve">Uradni nadzor </w:t>
      </w:r>
      <w:r w:rsidR="00E82D13" w:rsidRPr="00132266">
        <w:t>nad FFS</w:t>
      </w:r>
      <w:bookmarkEnd w:id="76"/>
    </w:p>
    <w:p w14:paraId="355975B2" w14:textId="310BF5E0" w:rsidR="00C462C6" w:rsidRPr="00C462C6" w:rsidRDefault="00B10AA6" w:rsidP="00132266">
      <w:r>
        <w:t>Uradni nadzor nad predpisanimi določili v zakonodaji o FFS izvajajo fitosanitarni inšpektorji Uprave</w:t>
      </w:r>
      <w:r w:rsidR="00FB440E">
        <w:t xml:space="preserve">, ki preverjajo </w:t>
      </w:r>
      <w:r w:rsidR="00FB440E" w:rsidRPr="00C462C6">
        <w:rPr>
          <w:b/>
          <w:bCs/>
        </w:rPr>
        <w:t>skladnost FFS</w:t>
      </w:r>
      <w:r w:rsidR="00FB440E">
        <w:t xml:space="preserve"> v prometu z odločbo o registraciji; pri </w:t>
      </w:r>
      <w:r w:rsidR="00FB440E" w:rsidRPr="00C462C6">
        <w:rPr>
          <w:b/>
          <w:bCs/>
        </w:rPr>
        <w:t>distributerjih</w:t>
      </w:r>
      <w:r w:rsidR="00FB440E">
        <w:t xml:space="preserve"> </w:t>
      </w:r>
      <w:r w:rsidR="00FB440E" w:rsidRPr="00C462C6">
        <w:rPr>
          <w:b/>
          <w:bCs/>
        </w:rPr>
        <w:t>FFS</w:t>
      </w:r>
      <w:r w:rsidR="00FB440E">
        <w:t xml:space="preserve"> preverjajo skladnost s predpisi glede vpisa v register, kadrov, prostorov in vodenje evidenc prodaje FFS; </w:t>
      </w:r>
      <w:r w:rsidR="00C462C6">
        <w:t>p</w:t>
      </w:r>
      <w:r w:rsidR="00FB440E">
        <w:t xml:space="preserve">ri </w:t>
      </w:r>
      <w:r w:rsidR="00FB440E" w:rsidRPr="00C462C6">
        <w:rPr>
          <w:b/>
          <w:bCs/>
        </w:rPr>
        <w:t xml:space="preserve">uporabnikih </w:t>
      </w:r>
      <w:r w:rsidR="00C462C6" w:rsidRPr="00C462C6">
        <w:rPr>
          <w:b/>
          <w:bCs/>
        </w:rPr>
        <w:t>FFS</w:t>
      </w:r>
      <w:r w:rsidR="00C462C6">
        <w:t xml:space="preserve"> </w:t>
      </w:r>
      <w:r w:rsidR="00FB440E">
        <w:t>preverjajo vodenje</w:t>
      </w:r>
      <w:r w:rsidR="00FB440E" w:rsidRPr="00FB440E">
        <w:t xml:space="preserve"> evidence rabe FFS</w:t>
      </w:r>
      <w:r w:rsidR="00917929" w:rsidRPr="00917929">
        <w:t xml:space="preserve"> </w:t>
      </w:r>
      <w:r w:rsidR="00917929">
        <w:t xml:space="preserve">(elektronski način vodenja evidenc uporabe FFS v </w:t>
      </w:r>
      <w:r w:rsidR="002C6599">
        <w:t>R</w:t>
      </w:r>
      <w:r w:rsidR="00ED66DD">
        <w:t xml:space="preserve">epubliki </w:t>
      </w:r>
      <w:r w:rsidR="002C6599">
        <w:t>S</w:t>
      </w:r>
      <w:r w:rsidR="00ED66DD">
        <w:t>loveniji</w:t>
      </w:r>
      <w:r w:rsidR="00917929">
        <w:t xml:space="preserve"> v tem obdobju ni </w:t>
      </w:r>
      <w:r w:rsidR="00940E4B">
        <w:t xml:space="preserve">bil </w:t>
      </w:r>
      <w:r w:rsidR="00917929">
        <w:t>predpisan)</w:t>
      </w:r>
      <w:r w:rsidR="00FB440E" w:rsidRPr="00FB440E">
        <w:t xml:space="preserve">, </w:t>
      </w:r>
      <w:r w:rsidR="00917929">
        <w:t xml:space="preserve">izvajanje </w:t>
      </w:r>
      <w:r w:rsidR="002C6599">
        <w:t>IVR</w:t>
      </w:r>
      <w:r w:rsidR="00917929">
        <w:t xml:space="preserve">, </w:t>
      </w:r>
      <w:r w:rsidR="002C6599">
        <w:t>izkaznice</w:t>
      </w:r>
      <w:r w:rsidR="00FB440E" w:rsidRPr="00FB440E">
        <w:t xml:space="preserve"> o usposabljanju uporabnika, potrdila in nalepke o testiranju naprav za nanašanje FFS, skladiščnih prostorov za FFS in ravnanja z odpadnimi FFS, označb na embalaži semenskega materiala ter vzorčenje zelenih delov rastlin</w:t>
      </w:r>
      <w:r w:rsidR="00917929" w:rsidRPr="00917929">
        <w:rPr>
          <w:rFonts w:eastAsiaTheme="minorHAnsi"/>
          <w:color w:val="FFC000"/>
        </w:rPr>
        <w:t xml:space="preserve"> </w:t>
      </w:r>
      <w:r w:rsidR="00917929" w:rsidRPr="00917929">
        <w:t>pred tehnološko zrelostjo</w:t>
      </w:r>
      <w:r w:rsidR="00917929">
        <w:t>,</w:t>
      </w:r>
      <w:r w:rsidR="00917929" w:rsidRPr="00917929">
        <w:t xml:space="preserve"> s čimer preverjajo pravilnost uporabe FFS</w:t>
      </w:r>
      <w:r w:rsidR="00FB440E">
        <w:t xml:space="preserve">; </w:t>
      </w:r>
      <w:r w:rsidR="00C462C6">
        <w:t xml:space="preserve">preverjajo pa tudi </w:t>
      </w:r>
      <w:r w:rsidR="00C462C6" w:rsidRPr="00C462C6">
        <w:rPr>
          <w:b/>
          <w:bCs/>
        </w:rPr>
        <w:t>izvajanje pregledov naprav</w:t>
      </w:r>
      <w:r w:rsidR="00C462C6">
        <w:t xml:space="preserve"> za nanašanje FFS in </w:t>
      </w:r>
      <w:r w:rsidR="00C462C6" w:rsidRPr="00C462C6">
        <w:rPr>
          <w:b/>
          <w:bCs/>
        </w:rPr>
        <w:t>izvajanje usposabljanja</w:t>
      </w:r>
      <w:r w:rsidR="00C462C6">
        <w:t xml:space="preserve"> svetovalcev za FFS, prodajalcev FFS in uporabnikov FFS. Inšpektorji ukrepajo v odvisnosti od narave in teže ugotovljene nepravilnosti in sicer izdajo upravn</w:t>
      </w:r>
      <w:r w:rsidR="00DF6B71">
        <w:t>o</w:t>
      </w:r>
      <w:r w:rsidR="00C462C6">
        <w:t xml:space="preserve"> inšpekcijsko odločbo, odločbo o prekršku, opozorilo v skladu z zakonodajo o prekrških ali plačilni nalog.</w:t>
      </w:r>
    </w:p>
    <w:p w14:paraId="3A90404A" w14:textId="66DE45BF" w:rsidR="00B10AA6" w:rsidRPr="002C6599" w:rsidRDefault="00C462C6" w:rsidP="00132266">
      <w:r>
        <w:lastRenderedPageBreak/>
        <w:t xml:space="preserve">Podatki o vseh inšpekcijskih pregledih skupaj in ugotovljenih nepravilnostih </w:t>
      </w:r>
      <w:r w:rsidR="002671E3">
        <w:t xml:space="preserve">so prikazani v spodnji preglednici. Podatki za leto 2020 in 2021 odstopajo od povprečja zaradi razmer po pojavu virusa Covid19. Predvsem v letu 2021 je bilo pregledov manj, bili pa so bolj ciljno usmerjeni na nepravilnosti, ugotovljene v prejšnjih letih in pri drugih vrstah nadzora, zato je tudi </w:t>
      </w:r>
      <w:r w:rsidR="00B227C3">
        <w:t>delež</w:t>
      </w:r>
      <w:r w:rsidR="002671E3">
        <w:t xml:space="preserve"> ugotovljenih nepravilnosti v tem letu višji. </w:t>
      </w:r>
    </w:p>
    <w:p w14:paraId="4BCE1488" w14:textId="7B9E63F9" w:rsidR="00A23830" w:rsidRPr="002C6599" w:rsidRDefault="00DC3204" w:rsidP="00DC3204">
      <w:pPr>
        <w:pStyle w:val="Napis"/>
        <w:rPr>
          <w:rFonts w:cs="Arial"/>
          <w:sz w:val="20"/>
          <w:szCs w:val="20"/>
        </w:rPr>
      </w:pPr>
      <w:bookmarkStart w:id="78" w:name="_Toc149825611"/>
      <w:bookmarkStart w:id="79" w:name="_Toc151116360"/>
      <w:bookmarkStart w:id="80" w:name="_Toc152153154"/>
      <w:r w:rsidRPr="002C6599">
        <w:rPr>
          <w:rFonts w:cs="Arial"/>
          <w:sz w:val="20"/>
          <w:szCs w:val="20"/>
        </w:rPr>
        <w:t xml:space="preserve">Preglednica </w:t>
      </w:r>
      <w:r w:rsidRPr="002C6599">
        <w:rPr>
          <w:rFonts w:cs="Arial"/>
          <w:sz w:val="20"/>
          <w:szCs w:val="20"/>
        </w:rPr>
        <w:fldChar w:fldCharType="begin"/>
      </w:r>
      <w:r w:rsidRPr="002C6599">
        <w:rPr>
          <w:rFonts w:cs="Arial"/>
          <w:sz w:val="20"/>
          <w:szCs w:val="20"/>
        </w:rPr>
        <w:instrText xml:space="preserve"> SEQ Preglednica \* ARABIC </w:instrText>
      </w:r>
      <w:r w:rsidRPr="002C6599">
        <w:rPr>
          <w:rFonts w:cs="Arial"/>
          <w:sz w:val="20"/>
          <w:szCs w:val="20"/>
        </w:rPr>
        <w:fldChar w:fldCharType="separate"/>
      </w:r>
      <w:r w:rsidR="00DB7441">
        <w:rPr>
          <w:rFonts w:cs="Arial"/>
          <w:noProof/>
          <w:sz w:val="20"/>
          <w:szCs w:val="20"/>
        </w:rPr>
        <w:t>11</w:t>
      </w:r>
      <w:r w:rsidRPr="002C6599">
        <w:rPr>
          <w:rFonts w:cs="Arial"/>
          <w:sz w:val="20"/>
          <w:szCs w:val="20"/>
        </w:rPr>
        <w:fldChar w:fldCharType="end"/>
      </w:r>
      <w:r w:rsidR="00A23830" w:rsidRPr="002C6599">
        <w:rPr>
          <w:rFonts w:cs="Arial"/>
          <w:sz w:val="20"/>
          <w:szCs w:val="20"/>
        </w:rPr>
        <w:t xml:space="preserve">: Število inšpekcijskih pregledov skupaj in število ter </w:t>
      </w:r>
      <w:r w:rsidR="002C6599">
        <w:rPr>
          <w:rFonts w:cs="Arial"/>
          <w:sz w:val="20"/>
          <w:szCs w:val="20"/>
        </w:rPr>
        <w:t>delež</w:t>
      </w:r>
      <w:r w:rsidR="00A23830" w:rsidRPr="002C6599">
        <w:rPr>
          <w:rFonts w:cs="Arial"/>
          <w:sz w:val="20"/>
          <w:szCs w:val="20"/>
        </w:rPr>
        <w:t xml:space="preserve"> </w:t>
      </w:r>
      <w:r w:rsidR="00B50A92" w:rsidRPr="002C6599">
        <w:rPr>
          <w:rFonts w:cs="Arial"/>
          <w:sz w:val="20"/>
          <w:szCs w:val="20"/>
        </w:rPr>
        <w:t xml:space="preserve">ugotovljenih </w:t>
      </w:r>
      <w:r w:rsidR="00A23830" w:rsidRPr="002C6599">
        <w:rPr>
          <w:rFonts w:cs="Arial"/>
          <w:sz w:val="20"/>
          <w:szCs w:val="20"/>
        </w:rPr>
        <w:t>nepravilnosti</w:t>
      </w:r>
      <w:bookmarkEnd w:id="78"/>
      <w:bookmarkEnd w:id="79"/>
      <w:bookmarkEnd w:id="80"/>
      <w:r w:rsidR="00B11E33">
        <w:rPr>
          <w:rFonts w:cs="Arial"/>
          <w:sz w:val="20"/>
          <w:szCs w:val="20"/>
        </w:rPr>
        <w:t xml:space="preserve"> (Vir: Uprava</w:t>
      </w:r>
      <w:r w:rsidR="00B11E33">
        <w:rPr>
          <w:rStyle w:val="Sprotnaopomba-sklic"/>
          <w:rFonts w:cs="Arial"/>
          <w:sz w:val="20"/>
          <w:szCs w:val="20"/>
        </w:rPr>
        <w:footnoteReference w:id="22"/>
      </w:r>
      <w:r w:rsidR="00B11E33">
        <w:rPr>
          <w:rFonts w:cs="Arial"/>
          <w:sz w:val="20"/>
          <w:szCs w:val="20"/>
        </w:rPr>
        <w:t>)</w:t>
      </w:r>
    </w:p>
    <w:tbl>
      <w:tblPr>
        <w:tblW w:w="9522"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12"/>
        <w:gridCol w:w="1222"/>
        <w:gridCol w:w="1222"/>
        <w:gridCol w:w="1222"/>
        <w:gridCol w:w="1222"/>
        <w:gridCol w:w="1222"/>
      </w:tblGrid>
      <w:tr w:rsidR="00A23830" w:rsidRPr="002C6599" w14:paraId="0CFE40EA" w14:textId="77777777" w:rsidTr="00935918">
        <w:trPr>
          <w:trHeight w:val="307"/>
        </w:trPr>
        <w:tc>
          <w:tcPr>
            <w:tcW w:w="3412" w:type="dxa"/>
            <w:shd w:val="clear" w:color="auto" w:fill="auto"/>
            <w:noWrap/>
            <w:vAlign w:val="bottom"/>
            <w:hideMark/>
          </w:tcPr>
          <w:p w14:paraId="3BF686AB" w14:textId="77777777" w:rsidR="00A23830" w:rsidRPr="002C6599" w:rsidRDefault="00A23830" w:rsidP="005D1752">
            <w:pPr>
              <w:spacing w:after="0" w:line="240" w:lineRule="auto"/>
              <w:rPr>
                <w:rFonts w:eastAsia="Times New Roman" w:cs="Calibri"/>
                <w:color w:val="000000"/>
              </w:rPr>
            </w:pPr>
            <w:r w:rsidRPr="002C6599">
              <w:rPr>
                <w:rFonts w:eastAsia="Times New Roman" w:cs="Calibri"/>
                <w:color w:val="000000"/>
              </w:rPr>
              <w:t>Leto</w:t>
            </w:r>
          </w:p>
        </w:tc>
        <w:tc>
          <w:tcPr>
            <w:tcW w:w="1222" w:type="dxa"/>
            <w:shd w:val="clear" w:color="auto" w:fill="auto"/>
            <w:noWrap/>
            <w:vAlign w:val="bottom"/>
            <w:hideMark/>
          </w:tcPr>
          <w:p w14:paraId="7B990FC1"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2018</w:t>
            </w:r>
          </w:p>
        </w:tc>
        <w:tc>
          <w:tcPr>
            <w:tcW w:w="1222" w:type="dxa"/>
            <w:shd w:val="clear" w:color="auto" w:fill="auto"/>
            <w:noWrap/>
            <w:vAlign w:val="bottom"/>
            <w:hideMark/>
          </w:tcPr>
          <w:p w14:paraId="39FE63D0"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2019</w:t>
            </w:r>
          </w:p>
        </w:tc>
        <w:tc>
          <w:tcPr>
            <w:tcW w:w="1222" w:type="dxa"/>
            <w:shd w:val="clear" w:color="auto" w:fill="auto"/>
            <w:noWrap/>
            <w:vAlign w:val="bottom"/>
            <w:hideMark/>
          </w:tcPr>
          <w:p w14:paraId="6F47F069"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2020</w:t>
            </w:r>
          </w:p>
        </w:tc>
        <w:tc>
          <w:tcPr>
            <w:tcW w:w="1222" w:type="dxa"/>
            <w:shd w:val="clear" w:color="auto" w:fill="auto"/>
            <w:noWrap/>
            <w:vAlign w:val="bottom"/>
            <w:hideMark/>
          </w:tcPr>
          <w:p w14:paraId="35DEE1C8"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2021</w:t>
            </w:r>
          </w:p>
        </w:tc>
        <w:tc>
          <w:tcPr>
            <w:tcW w:w="1222" w:type="dxa"/>
            <w:shd w:val="clear" w:color="auto" w:fill="auto"/>
            <w:noWrap/>
            <w:vAlign w:val="bottom"/>
            <w:hideMark/>
          </w:tcPr>
          <w:p w14:paraId="42889664"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2022</w:t>
            </w:r>
          </w:p>
        </w:tc>
      </w:tr>
      <w:tr w:rsidR="00A23830" w:rsidRPr="002C6599" w14:paraId="0489C0B3" w14:textId="77777777" w:rsidTr="00935918">
        <w:trPr>
          <w:trHeight w:val="297"/>
        </w:trPr>
        <w:tc>
          <w:tcPr>
            <w:tcW w:w="3412" w:type="dxa"/>
            <w:shd w:val="clear" w:color="auto" w:fill="auto"/>
            <w:noWrap/>
            <w:vAlign w:val="bottom"/>
            <w:hideMark/>
          </w:tcPr>
          <w:p w14:paraId="110D0888" w14:textId="77777777" w:rsidR="00A23830" w:rsidRPr="002C6599" w:rsidRDefault="00A23830" w:rsidP="005D1752">
            <w:pPr>
              <w:spacing w:after="0" w:line="240" w:lineRule="auto"/>
              <w:rPr>
                <w:rFonts w:eastAsia="Times New Roman" w:cs="Calibri"/>
                <w:color w:val="000000"/>
              </w:rPr>
            </w:pPr>
            <w:r w:rsidRPr="002C6599">
              <w:rPr>
                <w:rFonts w:eastAsia="Times New Roman" w:cs="Calibri"/>
                <w:color w:val="000000"/>
              </w:rPr>
              <w:t>Pregledi skupaj</w:t>
            </w:r>
          </w:p>
        </w:tc>
        <w:tc>
          <w:tcPr>
            <w:tcW w:w="1222" w:type="dxa"/>
            <w:shd w:val="clear" w:color="auto" w:fill="auto"/>
            <w:noWrap/>
            <w:vAlign w:val="bottom"/>
            <w:hideMark/>
          </w:tcPr>
          <w:p w14:paraId="3C0D13BC"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3.292</w:t>
            </w:r>
          </w:p>
        </w:tc>
        <w:tc>
          <w:tcPr>
            <w:tcW w:w="1222" w:type="dxa"/>
            <w:shd w:val="clear" w:color="auto" w:fill="auto"/>
            <w:noWrap/>
            <w:vAlign w:val="bottom"/>
            <w:hideMark/>
          </w:tcPr>
          <w:p w14:paraId="5CBAF454"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1.224</w:t>
            </w:r>
          </w:p>
        </w:tc>
        <w:tc>
          <w:tcPr>
            <w:tcW w:w="1222" w:type="dxa"/>
            <w:shd w:val="clear" w:color="auto" w:fill="auto"/>
            <w:noWrap/>
            <w:vAlign w:val="bottom"/>
            <w:hideMark/>
          </w:tcPr>
          <w:p w14:paraId="0B3C1CFA"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686</w:t>
            </w:r>
          </w:p>
        </w:tc>
        <w:tc>
          <w:tcPr>
            <w:tcW w:w="1222" w:type="dxa"/>
            <w:shd w:val="clear" w:color="auto" w:fill="auto"/>
            <w:noWrap/>
            <w:vAlign w:val="bottom"/>
            <w:hideMark/>
          </w:tcPr>
          <w:p w14:paraId="1C3049DC"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695</w:t>
            </w:r>
          </w:p>
        </w:tc>
        <w:tc>
          <w:tcPr>
            <w:tcW w:w="1222" w:type="dxa"/>
            <w:shd w:val="clear" w:color="auto" w:fill="auto"/>
            <w:noWrap/>
            <w:vAlign w:val="bottom"/>
            <w:hideMark/>
          </w:tcPr>
          <w:p w14:paraId="038E48C1"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2.036</w:t>
            </w:r>
          </w:p>
        </w:tc>
      </w:tr>
      <w:tr w:rsidR="00A23830" w:rsidRPr="002C6599" w14:paraId="2CF96AC2" w14:textId="77777777" w:rsidTr="00935918">
        <w:trPr>
          <w:trHeight w:val="297"/>
        </w:trPr>
        <w:tc>
          <w:tcPr>
            <w:tcW w:w="3412" w:type="dxa"/>
            <w:shd w:val="clear" w:color="auto" w:fill="auto"/>
            <w:noWrap/>
            <w:vAlign w:val="bottom"/>
            <w:hideMark/>
          </w:tcPr>
          <w:p w14:paraId="33B2496D" w14:textId="77777777" w:rsidR="00A23830" w:rsidRPr="002C6599" w:rsidRDefault="00A23830" w:rsidP="005D1752">
            <w:pPr>
              <w:spacing w:after="0" w:line="240" w:lineRule="auto"/>
              <w:rPr>
                <w:rFonts w:eastAsia="Times New Roman" w:cs="Calibri"/>
                <w:color w:val="000000"/>
              </w:rPr>
            </w:pPr>
            <w:r w:rsidRPr="002C6599">
              <w:rPr>
                <w:rFonts w:eastAsia="Times New Roman" w:cs="Calibri"/>
                <w:color w:val="000000"/>
              </w:rPr>
              <w:t>Nepravilnosti skupaj</w:t>
            </w:r>
          </w:p>
        </w:tc>
        <w:tc>
          <w:tcPr>
            <w:tcW w:w="1222" w:type="dxa"/>
            <w:shd w:val="clear" w:color="auto" w:fill="auto"/>
            <w:noWrap/>
            <w:vAlign w:val="bottom"/>
            <w:hideMark/>
          </w:tcPr>
          <w:p w14:paraId="59B7AF7D"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401</w:t>
            </w:r>
          </w:p>
        </w:tc>
        <w:tc>
          <w:tcPr>
            <w:tcW w:w="1222" w:type="dxa"/>
            <w:shd w:val="clear" w:color="auto" w:fill="auto"/>
            <w:noWrap/>
            <w:vAlign w:val="bottom"/>
            <w:hideMark/>
          </w:tcPr>
          <w:p w14:paraId="76D446E4"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237</w:t>
            </w:r>
          </w:p>
        </w:tc>
        <w:tc>
          <w:tcPr>
            <w:tcW w:w="1222" w:type="dxa"/>
            <w:shd w:val="clear" w:color="auto" w:fill="auto"/>
            <w:noWrap/>
            <w:vAlign w:val="bottom"/>
            <w:hideMark/>
          </w:tcPr>
          <w:p w14:paraId="48B09C07"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127</w:t>
            </w:r>
          </w:p>
        </w:tc>
        <w:tc>
          <w:tcPr>
            <w:tcW w:w="1222" w:type="dxa"/>
            <w:shd w:val="clear" w:color="auto" w:fill="auto"/>
            <w:noWrap/>
            <w:vAlign w:val="bottom"/>
            <w:hideMark/>
          </w:tcPr>
          <w:p w14:paraId="3A5E947B"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194</w:t>
            </w:r>
          </w:p>
        </w:tc>
        <w:tc>
          <w:tcPr>
            <w:tcW w:w="1222" w:type="dxa"/>
            <w:shd w:val="clear" w:color="auto" w:fill="auto"/>
            <w:noWrap/>
            <w:vAlign w:val="bottom"/>
            <w:hideMark/>
          </w:tcPr>
          <w:p w14:paraId="597307A7"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239</w:t>
            </w:r>
          </w:p>
        </w:tc>
      </w:tr>
      <w:tr w:rsidR="00A23830" w:rsidRPr="002C6599" w14:paraId="2D973336" w14:textId="77777777" w:rsidTr="00935918">
        <w:trPr>
          <w:trHeight w:val="297"/>
        </w:trPr>
        <w:tc>
          <w:tcPr>
            <w:tcW w:w="3412" w:type="dxa"/>
            <w:shd w:val="clear" w:color="auto" w:fill="auto"/>
            <w:noWrap/>
            <w:vAlign w:val="bottom"/>
            <w:hideMark/>
          </w:tcPr>
          <w:p w14:paraId="77816D30" w14:textId="373B8DEB" w:rsidR="00A23830" w:rsidRPr="002C6599" w:rsidRDefault="002C6599" w:rsidP="005D1752">
            <w:pPr>
              <w:spacing w:after="0" w:line="240" w:lineRule="auto"/>
              <w:rPr>
                <w:rFonts w:eastAsia="Times New Roman" w:cs="Calibri"/>
                <w:color w:val="000000"/>
              </w:rPr>
            </w:pPr>
            <w:r>
              <w:rPr>
                <w:rFonts w:eastAsia="Times New Roman" w:cs="Calibri"/>
                <w:color w:val="000000"/>
              </w:rPr>
              <w:t>Delež</w:t>
            </w:r>
            <w:r w:rsidR="00A23830" w:rsidRPr="002C6599">
              <w:rPr>
                <w:rFonts w:eastAsia="Times New Roman" w:cs="Calibri"/>
                <w:color w:val="000000"/>
              </w:rPr>
              <w:t xml:space="preserve"> nepravilnosti</w:t>
            </w:r>
          </w:p>
        </w:tc>
        <w:tc>
          <w:tcPr>
            <w:tcW w:w="1222" w:type="dxa"/>
            <w:shd w:val="clear" w:color="auto" w:fill="auto"/>
            <w:noWrap/>
            <w:vAlign w:val="bottom"/>
            <w:hideMark/>
          </w:tcPr>
          <w:p w14:paraId="3B46CD0A"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12,18</w:t>
            </w:r>
          </w:p>
        </w:tc>
        <w:tc>
          <w:tcPr>
            <w:tcW w:w="1222" w:type="dxa"/>
            <w:shd w:val="clear" w:color="auto" w:fill="auto"/>
            <w:noWrap/>
            <w:vAlign w:val="bottom"/>
            <w:hideMark/>
          </w:tcPr>
          <w:p w14:paraId="2634C330"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19,36</w:t>
            </w:r>
          </w:p>
        </w:tc>
        <w:tc>
          <w:tcPr>
            <w:tcW w:w="1222" w:type="dxa"/>
            <w:shd w:val="clear" w:color="auto" w:fill="auto"/>
            <w:noWrap/>
            <w:vAlign w:val="bottom"/>
            <w:hideMark/>
          </w:tcPr>
          <w:p w14:paraId="5130D803"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18,51</w:t>
            </w:r>
          </w:p>
        </w:tc>
        <w:tc>
          <w:tcPr>
            <w:tcW w:w="1222" w:type="dxa"/>
            <w:shd w:val="clear" w:color="auto" w:fill="auto"/>
            <w:noWrap/>
            <w:vAlign w:val="bottom"/>
            <w:hideMark/>
          </w:tcPr>
          <w:p w14:paraId="59DBC12E"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27,91</w:t>
            </w:r>
          </w:p>
        </w:tc>
        <w:tc>
          <w:tcPr>
            <w:tcW w:w="1222" w:type="dxa"/>
            <w:shd w:val="clear" w:color="auto" w:fill="auto"/>
            <w:noWrap/>
            <w:vAlign w:val="bottom"/>
            <w:hideMark/>
          </w:tcPr>
          <w:p w14:paraId="5E8EF699" w14:textId="77777777" w:rsidR="00A23830" w:rsidRPr="002C6599" w:rsidRDefault="00A23830" w:rsidP="002C6599">
            <w:pPr>
              <w:spacing w:after="0" w:line="240" w:lineRule="auto"/>
              <w:jc w:val="center"/>
              <w:rPr>
                <w:rFonts w:eastAsia="Times New Roman" w:cs="Calibri"/>
                <w:color w:val="000000"/>
              </w:rPr>
            </w:pPr>
            <w:r w:rsidRPr="002C6599">
              <w:rPr>
                <w:rFonts w:eastAsia="Times New Roman" w:cs="Calibri"/>
                <w:color w:val="000000"/>
              </w:rPr>
              <w:t>11,74</w:t>
            </w:r>
          </w:p>
        </w:tc>
      </w:tr>
      <w:bookmarkEnd w:id="77"/>
    </w:tbl>
    <w:p w14:paraId="5DB879F9" w14:textId="77777777" w:rsidR="00E84083" w:rsidRPr="002C6599" w:rsidRDefault="00E84083" w:rsidP="005B2FF3">
      <w:pPr>
        <w:spacing w:after="160" w:line="259" w:lineRule="auto"/>
        <w:contextualSpacing/>
        <w:rPr>
          <w:rFonts w:eastAsia="Times New Roman" w:cs="Arial"/>
        </w:rPr>
      </w:pPr>
    </w:p>
    <w:p w14:paraId="10AAA993" w14:textId="61C684B5" w:rsidR="00496D70" w:rsidRPr="002C6599" w:rsidRDefault="00496D70" w:rsidP="002C6599">
      <w:r w:rsidRPr="002C6599">
        <w:t>Največ nepravilnosti pri uporabnikih FFS se ugotovi glede vodenja evidenc uporabe FFS.</w:t>
      </w:r>
      <w:r w:rsidR="00E13AE9" w:rsidRPr="002C6599">
        <w:t xml:space="preserve"> V spodnji preglednici so prikazani podatki o številu pregledov in izrečenih sankcij pri uporabnikih FFS. </w:t>
      </w:r>
    </w:p>
    <w:p w14:paraId="3AE8D33D" w14:textId="3F832690" w:rsidR="00496D70" w:rsidRPr="002C6599" w:rsidRDefault="00DC3204" w:rsidP="00DC3204">
      <w:pPr>
        <w:pStyle w:val="Napis"/>
        <w:rPr>
          <w:rFonts w:cs="Arial"/>
          <w:color w:val="1F497D"/>
          <w:sz w:val="20"/>
          <w:szCs w:val="20"/>
        </w:rPr>
      </w:pPr>
      <w:bookmarkStart w:id="81" w:name="_Toc151116397"/>
      <w:bookmarkStart w:id="82" w:name="_Toc152153155"/>
      <w:r w:rsidRPr="002C6599">
        <w:rPr>
          <w:rFonts w:cs="Arial"/>
          <w:sz w:val="20"/>
          <w:szCs w:val="20"/>
        </w:rPr>
        <w:t xml:space="preserve">Preglednica </w:t>
      </w:r>
      <w:r w:rsidRPr="002C6599">
        <w:rPr>
          <w:rFonts w:cs="Arial"/>
          <w:sz w:val="20"/>
          <w:szCs w:val="20"/>
        </w:rPr>
        <w:fldChar w:fldCharType="begin"/>
      </w:r>
      <w:r w:rsidRPr="002C6599">
        <w:rPr>
          <w:rFonts w:cs="Arial"/>
          <w:sz w:val="20"/>
          <w:szCs w:val="20"/>
        </w:rPr>
        <w:instrText xml:space="preserve"> SEQ Preglednica \* ARABIC </w:instrText>
      </w:r>
      <w:r w:rsidRPr="002C6599">
        <w:rPr>
          <w:rFonts w:cs="Arial"/>
          <w:sz w:val="20"/>
          <w:szCs w:val="20"/>
        </w:rPr>
        <w:fldChar w:fldCharType="separate"/>
      </w:r>
      <w:r w:rsidR="00DB7441">
        <w:rPr>
          <w:rFonts w:cs="Arial"/>
          <w:noProof/>
          <w:sz w:val="20"/>
          <w:szCs w:val="20"/>
        </w:rPr>
        <w:t>12</w:t>
      </w:r>
      <w:r w:rsidRPr="002C6599">
        <w:rPr>
          <w:rFonts w:cs="Arial"/>
          <w:sz w:val="20"/>
          <w:szCs w:val="20"/>
        </w:rPr>
        <w:fldChar w:fldCharType="end"/>
      </w:r>
      <w:r w:rsidR="00496D70" w:rsidRPr="002C6599">
        <w:rPr>
          <w:rFonts w:cs="Arial"/>
          <w:color w:val="1F497D"/>
          <w:sz w:val="20"/>
          <w:szCs w:val="20"/>
        </w:rPr>
        <w:t xml:space="preserve">: Število </w:t>
      </w:r>
      <w:r w:rsidR="00496D70" w:rsidRPr="002C6599">
        <w:rPr>
          <w:rFonts w:cs="Arial"/>
          <w:i w:val="0"/>
          <w:iCs w:val="0"/>
          <w:color w:val="1F497D"/>
          <w:sz w:val="20"/>
          <w:szCs w:val="20"/>
        </w:rPr>
        <w:t>nadzorov</w:t>
      </w:r>
      <w:r w:rsidR="00496D70" w:rsidRPr="002C6599">
        <w:rPr>
          <w:rFonts w:cs="Arial"/>
          <w:color w:val="1F497D"/>
          <w:sz w:val="20"/>
          <w:szCs w:val="20"/>
        </w:rPr>
        <w:t xml:space="preserve"> pri uporabnikih FFS ter število uvedenih sankcij za prekrške pri uporabnikih FFS v obdobju 2018</w:t>
      </w:r>
      <w:r w:rsidR="00F96327">
        <w:rPr>
          <w:rFonts w:cs="Arial"/>
          <w:color w:val="1F497D"/>
          <w:sz w:val="20"/>
          <w:szCs w:val="20"/>
        </w:rPr>
        <w:t xml:space="preserve"> –</w:t>
      </w:r>
      <w:r w:rsidR="00496D70" w:rsidRPr="002C6599">
        <w:rPr>
          <w:rFonts w:cs="Arial"/>
          <w:color w:val="1F497D"/>
          <w:sz w:val="20"/>
          <w:szCs w:val="20"/>
        </w:rPr>
        <w:t xml:space="preserve"> 2022</w:t>
      </w:r>
      <w:bookmarkEnd w:id="81"/>
      <w:bookmarkEnd w:id="82"/>
      <w:r w:rsidR="00F96327">
        <w:rPr>
          <w:rFonts w:cs="Arial"/>
          <w:color w:val="1F497D"/>
          <w:sz w:val="20"/>
          <w:szCs w:val="20"/>
        </w:rPr>
        <w:t xml:space="preserve"> </w:t>
      </w:r>
    </w:p>
    <w:tbl>
      <w:tblPr>
        <w:tblW w:w="5082"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655"/>
        <w:gridCol w:w="825"/>
        <w:gridCol w:w="825"/>
        <w:gridCol w:w="948"/>
        <w:gridCol w:w="825"/>
        <w:gridCol w:w="828"/>
      </w:tblGrid>
      <w:tr w:rsidR="00496D70" w:rsidRPr="002C6599" w14:paraId="664CF128" w14:textId="77777777" w:rsidTr="00F96327">
        <w:trPr>
          <w:trHeight w:val="290"/>
        </w:trPr>
        <w:tc>
          <w:tcPr>
            <w:tcW w:w="2855" w:type="pct"/>
            <w:shd w:val="clear" w:color="auto" w:fill="auto"/>
            <w:noWrap/>
            <w:vAlign w:val="bottom"/>
            <w:hideMark/>
          </w:tcPr>
          <w:p w14:paraId="10FCAE85" w14:textId="77777777" w:rsidR="00496D70" w:rsidRPr="002C6599" w:rsidRDefault="00496D70" w:rsidP="00496D70">
            <w:pPr>
              <w:spacing w:after="0" w:line="240" w:lineRule="auto"/>
              <w:rPr>
                <w:rFonts w:eastAsia="Times New Roman" w:cs="Calibri"/>
                <w:color w:val="000000"/>
              </w:rPr>
            </w:pPr>
            <w:r w:rsidRPr="002C6599">
              <w:rPr>
                <w:rFonts w:eastAsia="Times New Roman" w:cs="Calibri"/>
                <w:color w:val="000000"/>
              </w:rPr>
              <w:t>Leto</w:t>
            </w:r>
          </w:p>
        </w:tc>
        <w:tc>
          <w:tcPr>
            <w:tcW w:w="429" w:type="pct"/>
            <w:shd w:val="clear" w:color="auto" w:fill="auto"/>
            <w:noWrap/>
            <w:vAlign w:val="bottom"/>
            <w:hideMark/>
          </w:tcPr>
          <w:p w14:paraId="48BFD23F"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2018</w:t>
            </w:r>
          </w:p>
        </w:tc>
        <w:tc>
          <w:tcPr>
            <w:tcW w:w="429" w:type="pct"/>
            <w:shd w:val="clear" w:color="auto" w:fill="auto"/>
            <w:noWrap/>
            <w:vAlign w:val="bottom"/>
            <w:hideMark/>
          </w:tcPr>
          <w:p w14:paraId="01F1A1FE"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2019</w:t>
            </w:r>
          </w:p>
        </w:tc>
        <w:tc>
          <w:tcPr>
            <w:tcW w:w="429" w:type="pct"/>
            <w:shd w:val="clear" w:color="auto" w:fill="auto"/>
            <w:noWrap/>
            <w:vAlign w:val="bottom"/>
            <w:hideMark/>
          </w:tcPr>
          <w:p w14:paraId="2DE03E5A"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2020</w:t>
            </w:r>
          </w:p>
        </w:tc>
        <w:tc>
          <w:tcPr>
            <w:tcW w:w="429" w:type="pct"/>
            <w:shd w:val="clear" w:color="auto" w:fill="auto"/>
            <w:noWrap/>
            <w:vAlign w:val="bottom"/>
            <w:hideMark/>
          </w:tcPr>
          <w:p w14:paraId="0EC4DB91"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2021</w:t>
            </w:r>
          </w:p>
        </w:tc>
        <w:tc>
          <w:tcPr>
            <w:tcW w:w="429" w:type="pct"/>
            <w:shd w:val="clear" w:color="auto" w:fill="auto"/>
            <w:noWrap/>
            <w:vAlign w:val="bottom"/>
            <w:hideMark/>
          </w:tcPr>
          <w:p w14:paraId="3127FE20"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2022</w:t>
            </w:r>
          </w:p>
        </w:tc>
      </w:tr>
      <w:tr w:rsidR="00496D70" w:rsidRPr="002C6599" w14:paraId="0E108D54" w14:textId="77777777" w:rsidTr="00F96327">
        <w:trPr>
          <w:trHeight w:val="290"/>
        </w:trPr>
        <w:tc>
          <w:tcPr>
            <w:tcW w:w="2855" w:type="pct"/>
            <w:shd w:val="clear" w:color="auto" w:fill="auto"/>
            <w:noWrap/>
            <w:vAlign w:val="bottom"/>
            <w:hideMark/>
          </w:tcPr>
          <w:p w14:paraId="30CC7C13" w14:textId="77777777" w:rsidR="00496D70" w:rsidRPr="002C6599" w:rsidRDefault="00496D70" w:rsidP="00496D70">
            <w:pPr>
              <w:spacing w:after="0" w:line="240" w:lineRule="auto"/>
              <w:rPr>
                <w:rFonts w:eastAsia="Times New Roman" w:cs="Calibri"/>
                <w:color w:val="000000"/>
              </w:rPr>
            </w:pPr>
            <w:r w:rsidRPr="002C6599">
              <w:rPr>
                <w:rFonts w:eastAsia="Times New Roman" w:cs="Calibri"/>
                <w:color w:val="000000"/>
              </w:rPr>
              <w:t>Število nadzorov pri uporabnikih FFS</w:t>
            </w:r>
          </w:p>
        </w:tc>
        <w:tc>
          <w:tcPr>
            <w:tcW w:w="429" w:type="pct"/>
            <w:shd w:val="clear" w:color="auto" w:fill="auto"/>
            <w:noWrap/>
            <w:vAlign w:val="bottom"/>
            <w:hideMark/>
          </w:tcPr>
          <w:p w14:paraId="2FC0B800"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2544</w:t>
            </w:r>
          </w:p>
        </w:tc>
        <w:tc>
          <w:tcPr>
            <w:tcW w:w="429" w:type="pct"/>
            <w:shd w:val="clear" w:color="auto" w:fill="auto"/>
            <w:noWrap/>
            <w:vAlign w:val="bottom"/>
            <w:hideMark/>
          </w:tcPr>
          <w:p w14:paraId="0F5F9C57"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845</w:t>
            </w:r>
          </w:p>
        </w:tc>
        <w:tc>
          <w:tcPr>
            <w:tcW w:w="429" w:type="pct"/>
            <w:shd w:val="clear" w:color="auto" w:fill="auto"/>
            <w:noWrap/>
            <w:vAlign w:val="bottom"/>
            <w:hideMark/>
          </w:tcPr>
          <w:p w14:paraId="61FD5BE4"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442</w:t>
            </w:r>
          </w:p>
        </w:tc>
        <w:tc>
          <w:tcPr>
            <w:tcW w:w="429" w:type="pct"/>
            <w:shd w:val="clear" w:color="auto" w:fill="auto"/>
            <w:noWrap/>
            <w:vAlign w:val="bottom"/>
            <w:hideMark/>
          </w:tcPr>
          <w:p w14:paraId="4FBB3310"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469</w:t>
            </w:r>
          </w:p>
        </w:tc>
        <w:tc>
          <w:tcPr>
            <w:tcW w:w="429" w:type="pct"/>
            <w:shd w:val="clear" w:color="auto" w:fill="auto"/>
            <w:noWrap/>
            <w:vAlign w:val="bottom"/>
            <w:hideMark/>
          </w:tcPr>
          <w:p w14:paraId="5BA2C29B"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927</w:t>
            </w:r>
          </w:p>
        </w:tc>
      </w:tr>
      <w:tr w:rsidR="00496D70" w:rsidRPr="002C6599" w14:paraId="0C7D225F" w14:textId="77777777" w:rsidTr="00F96327">
        <w:trPr>
          <w:trHeight w:val="290"/>
        </w:trPr>
        <w:tc>
          <w:tcPr>
            <w:tcW w:w="2855" w:type="pct"/>
            <w:shd w:val="clear" w:color="auto" w:fill="auto"/>
            <w:noWrap/>
            <w:vAlign w:val="bottom"/>
            <w:hideMark/>
          </w:tcPr>
          <w:p w14:paraId="2C0A7AE7" w14:textId="77777777" w:rsidR="00496D70" w:rsidRPr="002C6599" w:rsidRDefault="00496D70" w:rsidP="00496D70">
            <w:pPr>
              <w:spacing w:after="0" w:line="240" w:lineRule="auto"/>
              <w:rPr>
                <w:rFonts w:eastAsia="Times New Roman" w:cs="Calibri"/>
                <w:color w:val="000000"/>
              </w:rPr>
            </w:pPr>
            <w:r w:rsidRPr="002C6599">
              <w:rPr>
                <w:rFonts w:eastAsia="Times New Roman" w:cs="Calibri"/>
                <w:color w:val="000000"/>
              </w:rPr>
              <w:t>Število izrečenih sankcij za prekrške pri uporabnikih FFS</w:t>
            </w:r>
          </w:p>
        </w:tc>
        <w:tc>
          <w:tcPr>
            <w:tcW w:w="429" w:type="pct"/>
            <w:shd w:val="clear" w:color="auto" w:fill="auto"/>
            <w:noWrap/>
            <w:vAlign w:val="bottom"/>
            <w:hideMark/>
          </w:tcPr>
          <w:p w14:paraId="2919A9EA"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48</w:t>
            </w:r>
          </w:p>
        </w:tc>
        <w:tc>
          <w:tcPr>
            <w:tcW w:w="429" w:type="pct"/>
            <w:shd w:val="clear" w:color="auto" w:fill="auto"/>
            <w:noWrap/>
            <w:vAlign w:val="bottom"/>
            <w:hideMark/>
          </w:tcPr>
          <w:p w14:paraId="5898401C"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72</w:t>
            </w:r>
          </w:p>
        </w:tc>
        <w:tc>
          <w:tcPr>
            <w:tcW w:w="429" w:type="pct"/>
            <w:shd w:val="clear" w:color="auto" w:fill="auto"/>
            <w:noWrap/>
            <w:vAlign w:val="bottom"/>
            <w:hideMark/>
          </w:tcPr>
          <w:p w14:paraId="63E064A9"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61</w:t>
            </w:r>
          </w:p>
        </w:tc>
        <w:tc>
          <w:tcPr>
            <w:tcW w:w="429" w:type="pct"/>
            <w:shd w:val="clear" w:color="auto" w:fill="auto"/>
            <w:noWrap/>
            <w:vAlign w:val="bottom"/>
            <w:hideMark/>
          </w:tcPr>
          <w:p w14:paraId="32829637"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30</w:t>
            </w:r>
          </w:p>
        </w:tc>
        <w:tc>
          <w:tcPr>
            <w:tcW w:w="429" w:type="pct"/>
            <w:shd w:val="clear" w:color="auto" w:fill="auto"/>
            <w:noWrap/>
            <w:vAlign w:val="bottom"/>
            <w:hideMark/>
          </w:tcPr>
          <w:p w14:paraId="56C98842" w14:textId="7777777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14</w:t>
            </w:r>
          </w:p>
        </w:tc>
      </w:tr>
      <w:tr w:rsidR="00496D70" w:rsidRPr="002C6599" w14:paraId="638EB416" w14:textId="77777777" w:rsidTr="00F96327">
        <w:trPr>
          <w:trHeight w:val="290"/>
        </w:trPr>
        <w:tc>
          <w:tcPr>
            <w:tcW w:w="2855" w:type="pct"/>
            <w:shd w:val="clear" w:color="auto" w:fill="auto"/>
            <w:noWrap/>
            <w:vAlign w:val="bottom"/>
            <w:hideMark/>
          </w:tcPr>
          <w:p w14:paraId="379C5A8C" w14:textId="64F454BD" w:rsidR="00496D70" w:rsidRPr="002C6599" w:rsidRDefault="00F96327" w:rsidP="00496D70">
            <w:pPr>
              <w:spacing w:after="0" w:line="240" w:lineRule="auto"/>
              <w:rPr>
                <w:rFonts w:eastAsia="Times New Roman" w:cs="Calibri"/>
                <w:color w:val="000000"/>
              </w:rPr>
            </w:pPr>
            <w:r>
              <w:rPr>
                <w:rFonts w:eastAsia="Times New Roman" w:cs="Calibri"/>
                <w:color w:val="000000"/>
              </w:rPr>
              <w:t>Delež i</w:t>
            </w:r>
            <w:r w:rsidR="00E13AE9" w:rsidRPr="002C6599">
              <w:rPr>
                <w:rFonts w:eastAsia="Times New Roman" w:cs="Calibri"/>
                <w:color w:val="000000"/>
              </w:rPr>
              <w:t>zrečenih sankcij</w:t>
            </w:r>
          </w:p>
        </w:tc>
        <w:tc>
          <w:tcPr>
            <w:tcW w:w="429" w:type="pct"/>
            <w:shd w:val="clear" w:color="auto" w:fill="auto"/>
            <w:noWrap/>
            <w:vAlign w:val="bottom"/>
            <w:hideMark/>
          </w:tcPr>
          <w:p w14:paraId="044A8401" w14:textId="6AEF2835"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1,89</w:t>
            </w:r>
            <w:r w:rsidR="00F96327">
              <w:rPr>
                <w:rFonts w:eastAsia="Times New Roman" w:cs="Calibri"/>
                <w:color w:val="000000"/>
              </w:rPr>
              <w:t xml:space="preserve"> </w:t>
            </w:r>
            <w:r w:rsidR="00F96327">
              <w:rPr>
                <w:rFonts w:eastAsia="Times New Roman"/>
                <w:color w:val="000000"/>
              </w:rPr>
              <w:t>%</w:t>
            </w:r>
          </w:p>
        </w:tc>
        <w:tc>
          <w:tcPr>
            <w:tcW w:w="429" w:type="pct"/>
            <w:shd w:val="clear" w:color="auto" w:fill="auto"/>
            <w:noWrap/>
            <w:vAlign w:val="bottom"/>
            <w:hideMark/>
          </w:tcPr>
          <w:p w14:paraId="39B6D75B" w14:textId="6AA07CE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8,52</w:t>
            </w:r>
            <w:r w:rsidR="00F96327">
              <w:rPr>
                <w:rFonts w:eastAsia="Times New Roman" w:cs="Calibri"/>
                <w:color w:val="000000"/>
              </w:rPr>
              <w:t xml:space="preserve"> </w:t>
            </w:r>
            <w:r w:rsidR="00F96327">
              <w:rPr>
                <w:rFonts w:eastAsia="Times New Roman"/>
                <w:color w:val="000000"/>
              </w:rPr>
              <w:t>%</w:t>
            </w:r>
          </w:p>
        </w:tc>
        <w:tc>
          <w:tcPr>
            <w:tcW w:w="429" w:type="pct"/>
            <w:shd w:val="clear" w:color="auto" w:fill="auto"/>
            <w:noWrap/>
            <w:vAlign w:val="bottom"/>
            <w:hideMark/>
          </w:tcPr>
          <w:p w14:paraId="3670925B" w14:textId="4242D13F"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13,80</w:t>
            </w:r>
            <w:r w:rsidR="00F96327">
              <w:rPr>
                <w:rFonts w:eastAsia="Times New Roman" w:cs="Calibri"/>
                <w:color w:val="000000"/>
              </w:rPr>
              <w:t xml:space="preserve"> </w:t>
            </w:r>
            <w:r w:rsidR="00F96327">
              <w:rPr>
                <w:rFonts w:eastAsia="Times New Roman"/>
                <w:color w:val="000000"/>
              </w:rPr>
              <w:t>%</w:t>
            </w:r>
          </w:p>
        </w:tc>
        <w:tc>
          <w:tcPr>
            <w:tcW w:w="429" w:type="pct"/>
            <w:shd w:val="clear" w:color="auto" w:fill="auto"/>
            <w:noWrap/>
            <w:vAlign w:val="bottom"/>
            <w:hideMark/>
          </w:tcPr>
          <w:p w14:paraId="17AB6DCD" w14:textId="0C0EE017"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6,40</w:t>
            </w:r>
            <w:r w:rsidR="00F96327">
              <w:rPr>
                <w:rFonts w:eastAsia="Times New Roman" w:cs="Calibri"/>
                <w:color w:val="000000"/>
              </w:rPr>
              <w:t xml:space="preserve"> </w:t>
            </w:r>
            <w:r w:rsidR="00F96327">
              <w:rPr>
                <w:rFonts w:eastAsia="Times New Roman"/>
                <w:color w:val="000000"/>
              </w:rPr>
              <w:t>%</w:t>
            </w:r>
          </w:p>
        </w:tc>
        <w:tc>
          <w:tcPr>
            <w:tcW w:w="429" w:type="pct"/>
            <w:shd w:val="clear" w:color="auto" w:fill="auto"/>
            <w:noWrap/>
            <w:vAlign w:val="bottom"/>
            <w:hideMark/>
          </w:tcPr>
          <w:p w14:paraId="26A0028D" w14:textId="67F5154A" w:rsidR="00496D70" w:rsidRPr="002C6599" w:rsidRDefault="00496D70" w:rsidP="002C6599">
            <w:pPr>
              <w:spacing w:after="0" w:line="240" w:lineRule="auto"/>
              <w:jc w:val="center"/>
              <w:rPr>
                <w:rFonts w:eastAsia="Times New Roman" w:cs="Calibri"/>
                <w:color w:val="000000"/>
              </w:rPr>
            </w:pPr>
            <w:r w:rsidRPr="002C6599">
              <w:rPr>
                <w:rFonts w:eastAsia="Times New Roman" w:cs="Calibri"/>
                <w:color w:val="000000"/>
              </w:rPr>
              <w:t>1,51</w:t>
            </w:r>
            <w:r w:rsidR="00F96327">
              <w:rPr>
                <w:rFonts w:eastAsia="Times New Roman" w:cs="Calibri"/>
                <w:color w:val="000000"/>
              </w:rPr>
              <w:t xml:space="preserve"> </w:t>
            </w:r>
            <w:r w:rsidR="00F96327">
              <w:rPr>
                <w:rFonts w:eastAsia="Times New Roman"/>
                <w:color w:val="000000"/>
              </w:rPr>
              <w:t>%</w:t>
            </w:r>
          </w:p>
        </w:tc>
      </w:tr>
    </w:tbl>
    <w:p w14:paraId="78CDBFD0" w14:textId="4A80EC85" w:rsidR="006D681A" w:rsidRPr="002C6599" w:rsidRDefault="006D681A" w:rsidP="002C6599">
      <w:pPr>
        <w:pStyle w:val="Naslov3"/>
      </w:pPr>
      <w:bookmarkStart w:id="83" w:name="_Toc170816423"/>
      <w:r w:rsidRPr="002C6599">
        <w:t>Ekološka pridelava</w:t>
      </w:r>
      <w:bookmarkEnd w:id="83"/>
      <w:r w:rsidRPr="002C6599">
        <w:t xml:space="preserve"> </w:t>
      </w:r>
    </w:p>
    <w:p w14:paraId="3B512DE2" w14:textId="7890F684" w:rsidR="00940E4B" w:rsidRPr="003150A7" w:rsidRDefault="006D681A" w:rsidP="002C6599">
      <w:r w:rsidRPr="003150A7">
        <w:t xml:space="preserve">Ekološko kmetijstvo predstavlja obliko in način kmetovanja, ki počasi </w:t>
      </w:r>
      <w:r w:rsidR="00444805" w:rsidRPr="003150A7">
        <w:t xml:space="preserve">pridobiva </w:t>
      </w:r>
      <w:r w:rsidRPr="003150A7">
        <w:t xml:space="preserve">pomen v slovenskem kmetijskem prostoru. </w:t>
      </w:r>
      <w:r w:rsidR="00B46C0D" w:rsidRPr="003150A7">
        <w:t>Počasi se povečuje</w:t>
      </w:r>
      <w:r w:rsidR="002444D4" w:rsidRPr="003150A7">
        <w:t>ta</w:t>
      </w:r>
      <w:r w:rsidR="00B46C0D" w:rsidRPr="003150A7">
        <w:t xml:space="preserve"> delež ekoloških kmetij (</w:t>
      </w:r>
      <w:r w:rsidR="00DA2899" w:rsidRPr="003150A7">
        <w:t xml:space="preserve">za </w:t>
      </w:r>
      <w:r w:rsidR="00B46C0D" w:rsidRPr="003150A7">
        <w:t>2 % od leta 2012</w:t>
      </w:r>
      <w:r w:rsidR="003C73CD" w:rsidRPr="003150A7">
        <w:t xml:space="preserve"> do 2022</w:t>
      </w:r>
      <w:r w:rsidR="00B46C0D" w:rsidRPr="003150A7">
        <w:t>) in delež površin pod ekološko pridelavo (</w:t>
      </w:r>
      <w:r w:rsidR="00DA2899" w:rsidRPr="003150A7">
        <w:t xml:space="preserve">za </w:t>
      </w:r>
      <w:r w:rsidR="00B46C0D" w:rsidRPr="003150A7">
        <w:t>3,4 % od leta 2012</w:t>
      </w:r>
      <w:r w:rsidR="003C73CD" w:rsidRPr="003150A7">
        <w:t xml:space="preserve"> do 2022</w:t>
      </w:r>
      <w:r w:rsidR="00B46C0D" w:rsidRPr="003150A7">
        <w:t xml:space="preserve">). </w:t>
      </w:r>
    </w:p>
    <w:p w14:paraId="17E22682" w14:textId="0BE4D916" w:rsidR="0055572B" w:rsidRPr="002C6599" w:rsidRDefault="00DC3204" w:rsidP="00DC3204">
      <w:pPr>
        <w:pStyle w:val="Napis"/>
        <w:rPr>
          <w:rFonts w:cs="Arial"/>
          <w:sz w:val="20"/>
          <w:szCs w:val="20"/>
        </w:rPr>
      </w:pPr>
      <w:bookmarkStart w:id="84" w:name="_Toc149825612"/>
      <w:bookmarkStart w:id="85" w:name="_Toc152153156"/>
      <w:r w:rsidRPr="002C6599">
        <w:rPr>
          <w:rFonts w:cs="Arial"/>
          <w:sz w:val="20"/>
          <w:szCs w:val="20"/>
        </w:rPr>
        <w:t xml:space="preserve">Preglednica </w:t>
      </w:r>
      <w:r w:rsidRPr="002C6599">
        <w:rPr>
          <w:rFonts w:cs="Arial"/>
          <w:sz w:val="20"/>
          <w:szCs w:val="20"/>
        </w:rPr>
        <w:fldChar w:fldCharType="begin"/>
      </w:r>
      <w:r w:rsidRPr="002C6599">
        <w:rPr>
          <w:rFonts w:cs="Arial"/>
          <w:sz w:val="20"/>
          <w:szCs w:val="20"/>
        </w:rPr>
        <w:instrText xml:space="preserve"> SEQ Preglednica \* ARABIC </w:instrText>
      </w:r>
      <w:r w:rsidRPr="002C6599">
        <w:rPr>
          <w:rFonts w:cs="Arial"/>
          <w:sz w:val="20"/>
          <w:szCs w:val="20"/>
        </w:rPr>
        <w:fldChar w:fldCharType="separate"/>
      </w:r>
      <w:r w:rsidR="00DB7441">
        <w:rPr>
          <w:rFonts w:cs="Arial"/>
          <w:noProof/>
          <w:sz w:val="20"/>
          <w:szCs w:val="20"/>
        </w:rPr>
        <w:t>13</w:t>
      </w:r>
      <w:r w:rsidRPr="002C6599">
        <w:rPr>
          <w:rFonts w:cs="Arial"/>
          <w:sz w:val="20"/>
          <w:szCs w:val="20"/>
        </w:rPr>
        <w:fldChar w:fldCharType="end"/>
      </w:r>
      <w:r w:rsidR="0055572B" w:rsidRPr="002C6599">
        <w:rPr>
          <w:rFonts w:cs="Arial"/>
          <w:sz w:val="20"/>
          <w:szCs w:val="20"/>
        </w:rPr>
        <w:t>: Delež ekoloških kmetij in površin pod ekološko pridelavo v Sloveniji</w:t>
      </w:r>
      <w:bookmarkEnd w:id="84"/>
      <w:bookmarkEnd w:id="85"/>
      <w:r w:rsidR="00B11E33">
        <w:rPr>
          <w:rFonts w:cs="Arial"/>
          <w:sz w:val="20"/>
          <w:szCs w:val="20"/>
        </w:rPr>
        <w:t xml:space="preserve"> (Vir: </w:t>
      </w:r>
      <w:hyperlink r:id="rId19" w:history="1">
        <w:r w:rsidR="00B11E33">
          <w:rPr>
            <w:rStyle w:val="Hiperpovezava"/>
          </w:rPr>
          <w:t>SURS (stat.si)</w:t>
        </w:r>
      </w:hyperlink>
      <w:r w:rsidR="00B11E33">
        <w:t>)</w:t>
      </w:r>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642"/>
        <w:gridCol w:w="1129"/>
        <w:gridCol w:w="1294"/>
        <w:gridCol w:w="1294"/>
        <w:gridCol w:w="1129"/>
        <w:gridCol w:w="1129"/>
        <w:gridCol w:w="1129"/>
      </w:tblGrid>
      <w:tr w:rsidR="00B46C0D" w:rsidRPr="003150A7" w14:paraId="551898AF" w14:textId="77777777" w:rsidTr="002C6599">
        <w:trPr>
          <w:trHeight w:val="289"/>
        </w:trPr>
        <w:tc>
          <w:tcPr>
            <w:tcW w:w="1355" w:type="pct"/>
            <w:hideMark/>
          </w:tcPr>
          <w:p w14:paraId="2DC3F350" w14:textId="77777777" w:rsidR="00B46C0D" w:rsidRPr="003150A7" w:rsidRDefault="00B46C0D" w:rsidP="002C6599">
            <w:pPr>
              <w:pStyle w:val="Brezrazmikov"/>
            </w:pPr>
            <w:r w:rsidRPr="003150A7">
              <w:t> </w:t>
            </w:r>
          </w:p>
        </w:tc>
        <w:tc>
          <w:tcPr>
            <w:tcW w:w="579" w:type="pct"/>
            <w:vAlign w:val="center"/>
            <w:hideMark/>
          </w:tcPr>
          <w:p w14:paraId="515A1882" w14:textId="77777777" w:rsidR="00B46C0D" w:rsidRPr="002C6599" w:rsidRDefault="00B46C0D" w:rsidP="002C6599">
            <w:pPr>
              <w:pStyle w:val="Brezrazmikov"/>
              <w:jc w:val="center"/>
            </w:pPr>
            <w:r w:rsidRPr="002C6599">
              <w:t>2012</w:t>
            </w:r>
          </w:p>
        </w:tc>
        <w:tc>
          <w:tcPr>
            <w:tcW w:w="664" w:type="pct"/>
            <w:vAlign w:val="center"/>
            <w:hideMark/>
          </w:tcPr>
          <w:p w14:paraId="086B01E8" w14:textId="77777777" w:rsidR="00B46C0D" w:rsidRPr="002C6599" w:rsidRDefault="00B46C0D" w:rsidP="002C6599">
            <w:pPr>
              <w:pStyle w:val="Brezrazmikov"/>
              <w:jc w:val="center"/>
            </w:pPr>
            <w:r w:rsidRPr="002C6599">
              <w:t>2018</w:t>
            </w:r>
          </w:p>
        </w:tc>
        <w:tc>
          <w:tcPr>
            <w:tcW w:w="664" w:type="pct"/>
            <w:vAlign w:val="center"/>
            <w:hideMark/>
          </w:tcPr>
          <w:p w14:paraId="0C34CA1F" w14:textId="77777777" w:rsidR="00B46C0D" w:rsidRPr="002C6599" w:rsidRDefault="00B46C0D" w:rsidP="002C6599">
            <w:pPr>
              <w:pStyle w:val="Brezrazmikov"/>
              <w:jc w:val="center"/>
            </w:pPr>
            <w:r w:rsidRPr="002C6599">
              <w:t>2019</w:t>
            </w:r>
          </w:p>
        </w:tc>
        <w:tc>
          <w:tcPr>
            <w:tcW w:w="579" w:type="pct"/>
            <w:vAlign w:val="center"/>
            <w:hideMark/>
          </w:tcPr>
          <w:p w14:paraId="603ABA83" w14:textId="77777777" w:rsidR="00B46C0D" w:rsidRPr="002C6599" w:rsidRDefault="00B46C0D" w:rsidP="002C6599">
            <w:pPr>
              <w:pStyle w:val="Brezrazmikov"/>
              <w:jc w:val="center"/>
            </w:pPr>
            <w:r w:rsidRPr="002C6599">
              <w:t>2020</w:t>
            </w:r>
          </w:p>
        </w:tc>
        <w:tc>
          <w:tcPr>
            <w:tcW w:w="579" w:type="pct"/>
            <w:noWrap/>
            <w:vAlign w:val="center"/>
            <w:hideMark/>
          </w:tcPr>
          <w:p w14:paraId="481216B8" w14:textId="77777777" w:rsidR="00B46C0D" w:rsidRPr="002C6599" w:rsidRDefault="00B46C0D" w:rsidP="002C6599">
            <w:pPr>
              <w:pStyle w:val="Brezrazmikov"/>
              <w:jc w:val="center"/>
            </w:pPr>
            <w:r w:rsidRPr="002C6599">
              <w:t>2021</w:t>
            </w:r>
          </w:p>
        </w:tc>
        <w:tc>
          <w:tcPr>
            <w:tcW w:w="579" w:type="pct"/>
            <w:vAlign w:val="center"/>
            <w:hideMark/>
          </w:tcPr>
          <w:p w14:paraId="78FE7698" w14:textId="77777777" w:rsidR="00B46C0D" w:rsidRPr="002C6599" w:rsidRDefault="00B46C0D" w:rsidP="002C6599">
            <w:pPr>
              <w:pStyle w:val="Brezrazmikov"/>
              <w:jc w:val="center"/>
            </w:pPr>
            <w:r w:rsidRPr="002C6599">
              <w:t>2022</w:t>
            </w:r>
          </w:p>
        </w:tc>
      </w:tr>
      <w:tr w:rsidR="00B46C0D" w:rsidRPr="003150A7" w14:paraId="720900A3" w14:textId="77777777" w:rsidTr="002C6599">
        <w:trPr>
          <w:trHeight w:val="289"/>
        </w:trPr>
        <w:tc>
          <w:tcPr>
            <w:tcW w:w="1355" w:type="pct"/>
            <w:hideMark/>
          </w:tcPr>
          <w:p w14:paraId="2BA647F8" w14:textId="6115F6B3" w:rsidR="00B46C0D" w:rsidRPr="00C92805" w:rsidRDefault="00B46C0D" w:rsidP="002C6599">
            <w:pPr>
              <w:pStyle w:val="Brezrazmikov"/>
            </w:pPr>
            <w:r w:rsidRPr="00C92805">
              <w:t xml:space="preserve">Delež </w:t>
            </w:r>
            <w:proofErr w:type="spellStart"/>
            <w:r w:rsidRPr="00C92805">
              <w:t>eko</w:t>
            </w:r>
            <w:proofErr w:type="spellEnd"/>
            <w:r w:rsidRPr="00C92805">
              <w:t xml:space="preserve"> KMG </w:t>
            </w:r>
          </w:p>
        </w:tc>
        <w:tc>
          <w:tcPr>
            <w:tcW w:w="579" w:type="pct"/>
            <w:vAlign w:val="center"/>
            <w:hideMark/>
          </w:tcPr>
          <w:p w14:paraId="2523B921" w14:textId="5C2BBC92" w:rsidR="00B46C0D" w:rsidRPr="003150A7" w:rsidRDefault="00B46C0D" w:rsidP="002C6599">
            <w:pPr>
              <w:pStyle w:val="Brezrazmikov"/>
              <w:jc w:val="center"/>
            </w:pPr>
            <w:r w:rsidRPr="003150A7">
              <w:t>3,60</w:t>
            </w:r>
            <w:r w:rsidR="002C6599">
              <w:t xml:space="preserve"> </w:t>
            </w:r>
            <w:r w:rsidRPr="003150A7">
              <w:t>%</w:t>
            </w:r>
          </w:p>
        </w:tc>
        <w:tc>
          <w:tcPr>
            <w:tcW w:w="664" w:type="pct"/>
            <w:noWrap/>
            <w:vAlign w:val="center"/>
            <w:hideMark/>
          </w:tcPr>
          <w:p w14:paraId="6681FE21" w14:textId="49472C6A" w:rsidR="00B46C0D" w:rsidRPr="003150A7" w:rsidRDefault="00B46C0D" w:rsidP="002C6599">
            <w:pPr>
              <w:pStyle w:val="Brezrazmikov"/>
              <w:jc w:val="center"/>
            </w:pPr>
            <w:r w:rsidRPr="003150A7">
              <w:t>5,40</w:t>
            </w:r>
            <w:r w:rsidR="002C6599">
              <w:t xml:space="preserve"> </w:t>
            </w:r>
            <w:r w:rsidRPr="003150A7">
              <w:t>%</w:t>
            </w:r>
          </w:p>
        </w:tc>
        <w:tc>
          <w:tcPr>
            <w:tcW w:w="664" w:type="pct"/>
            <w:noWrap/>
            <w:vAlign w:val="center"/>
            <w:hideMark/>
          </w:tcPr>
          <w:p w14:paraId="23FF1B58" w14:textId="4A7FCB4E" w:rsidR="00B46C0D" w:rsidRPr="003150A7" w:rsidRDefault="00B46C0D" w:rsidP="002C6599">
            <w:pPr>
              <w:pStyle w:val="Brezrazmikov"/>
              <w:jc w:val="center"/>
            </w:pPr>
            <w:r w:rsidRPr="003150A7">
              <w:t>5,40</w:t>
            </w:r>
            <w:r w:rsidR="002C6599">
              <w:t xml:space="preserve"> </w:t>
            </w:r>
            <w:r w:rsidRPr="003150A7">
              <w:t>%</w:t>
            </w:r>
          </w:p>
        </w:tc>
        <w:tc>
          <w:tcPr>
            <w:tcW w:w="579" w:type="pct"/>
            <w:noWrap/>
            <w:vAlign w:val="center"/>
            <w:hideMark/>
          </w:tcPr>
          <w:p w14:paraId="0CC8D344" w14:textId="6233A617" w:rsidR="00B46C0D" w:rsidRPr="003150A7" w:rsidRDefault="00B46C0D" w:rsidP="002C6599">
            <w:pPr>
              <w:pStyle w:val="Brezrazmikov"/>
              <w:jc w:val="center"/>
            </w:pPr>
            <w:r w:rsidRPr="003150A7">
              <w:t>5,40</w:t>
            </w:r>
            <w:r w:rsidR="002C6599">
              <w:t xml:space="preserve"> </w:t>
            </w:r>
            <w:r w:rsidRPr="003150A7">
              <w:t>%</w:t>
            </w:r>
          </w:p>
        </w:tc>
        <w:tc>
          <w:tcPr>
            <w:tcW w:w="579" w:type="pct"/>
            <w:noWrap/>
            <w:vAlign w:val="center"/>
            <w:hideMark/>
          </w:tcPr>
          <w:p w14:paraId="0F5D9872" w14:textId="725A76B6" w:rsidR="00B46C0D" w:rsidRPr="003150A7" w:rsidRDefault="00B46C0D" w:rsidP="002C6599">
            <w:pPr>
              <w:pStyle w:val="Brezrazmikov"/>
              <w:jc w:val="center"/>
            </w:pPr>
            <w:r w:rsidRPr="003150A7">
              <w:t>5,50</w:t>
            </w:r>
            <w:r w:rsidR="002C6599">
              <w:t xml:space="preserve"> </w:t>
            </w:r>
            <w:r w:rsidRPr="003150A7">
              <w:t>%</w:t>
            </w:r>
          </w:p>
        </w:tc>
        <w:tc>
          <w:tcPr>
            <w:tcW w:w="579" w:type="pct"/>
            <w:noWrap/>
            <w:vAlign w:val="center"/>
            <w:hideMark/>
          </w:tcPr>
          <w:p w14:paraId="14ADFE7F" w14:textId="7C4E891E" w:rsidR="00B46C0D" w:rsidRPr="003150A7" w:rsidRDefault="00B46C0D" w:rsidP="002C6599">
            <w:pPr>
              <w:pStyle w:val="Brezrazmikov"/>
              <w:jc w:val="center"/>
            </w:pPr>
            <w:r w:rsidRPr="003150A7">
              <w:t>5,60</w:t>
            </w:r>
            <w:r w:rsidR="002C6599">
              <w:t xml:space="preserve"> </w:t>
            </w:r>
            <w:r w:rsidRPr="003150A7">
              <w:t>%</w:t>
            </w:r>
          </w:p>
        </w:tc>
      </w:tr>
      <w:tr w:rsidR="00B46C0D" w:rsidRPr="003150A7" w14:paraId="100354F3" w14:textId="77777777" w:rsidTr="002C6599">
        <w:trPr>
          <w:trHeight w:val="289"/>
        </w:trPr>
        <w:tc>
          <w:tcPr>
            <w:tcW w:w="1355" w:type="pct"/>
            <w:hideMark/>
          </w:tcPr>
          <w:p w14:paraId="5E6A5763" w14:textId="22A62D7C" w:rsidR="00B46C0D" w:rsidRPr="00C92805" w:rsidRDefault="00B46C0D" w:rsidP="002C6599">
            <w:pPr>
              <w:pStyle w:val="Brezrazmikov"/>
            </w:pPr>
            <w:r w:rsidRPr="00C92805">
              <w:t xml:space="preserve">Delež </w:t>
            </w:r>
            <w:proofErr w:type="spellStart"/>
            <w:r w:rsidRPr="00C92805">
              <w:t>eko</w:t>
            </w:r>
            <w:proofErr w:type="spellEnd"/>
            <w:r w:rsidRPr="00C92805">
              <w:t xml:space="preserve"> površin </w:t>
            </w:r>
          </w:p>
        </w:tc>
        <w:tc>
          <w:tcPr>
            <w:tcW w:w="579" w:type="pct"/>
            <w:vAlign w:val="center"/>
            <w:hideMark/>
          </w:tcPr>
          <w:p w14:paraId="30A759A4" w14:textId="14EE14AB" w:rsidR="00B46C0D" w:rsidRPr="003150A7" w:rsidRDefault="00B46C0D" w:rsidP="002C6599">
            <w:pPr>
              <w:pStyle w:val="Brezrazmikov"/>
              <w:jc w:val="center"/>
            </w:pPr>
            <w:r w:rsidRPr="003150A7">
              <w:t>7,60</w:t>
            </w:r>
            <w:r w:rsidR="002C6599">
              <w:t xml:space="preserve"> </w:t>
            </w:r>
            <w:r w:rsidRPr="003150A7">
              <w:t>%</w:t>
            </w:r>
          </w:p>
        </w:tc>
        <w:tc>
          <w:tcPr>
            <w:tcW w:w="664" w:type="pct"/>
            <w:vAlign w:val="center"/>
            <w:hideMark/>
          </w:tcPr>
          <w:p w14:paraId="1F26B8E7" w14:textId="0C9B9F9E" w:rsidR="00B46C0D" w:rsidRPr="003150A7" w:rsidRDefault="00B46C0D" w:rsidP="002C6599">
            <w:pPr>
              <w:pStyle w:val="Brezrazmikov"/>
              <w:jc w:val="center"/>
            </w:pPr>
            <w:r w:rsidRPr="003150A7">
              <w:t>10,02</w:t>
            </w:r>
            <w:r w:rsidR="002C6599">
              <w:t xml:space="preserve"> </w:t>
            </w:r>
            <w:r w:rsidRPr="003150A7">
              <w:t>%</w:t>
            </w:r>
          </w:p>
        </w:tc>
        <w:tc>
          <w:tcPr>
            <w:tcW w:w="664" w:type="pct"/>
            <w:vAlign w:val="center"/>
            <w:hideMark/>
          </w:tcPr>
          <w:p w14:paraId="2B9044F8" w14:textId="23A73F49" w:rsidR="00B46C0D" w:rsidRPr="003150A7" w:rsidRDefault="00B46C0D" w:rsidP="002C6599">
            <w:pPr>
              <w:pStyle w:val="Brezrazmikov"/>
              <w:jc w:val="center"/>
            </w:pPr>
            <w:r w:rsidRPr="003150A7">
              <w:t>10,40</w:t>
            </w:r>
            <w:r w:rsidR="002C6599">
              <w:t xml:space="preserve"> </w:t>
            </w:r>
            <w:r w:rsidRPr="003150A7">
              <w:t>%</w:t>
            </w:r>
          </w:p>
        </w:tc>
        <w:tc>
          <w:tcPr>
            <w:tcW w:w="579" w:type="pct"/>
            <w:vAlign w:val="center"/>
            <w:hideMark/>
          </w:tcPr>
          <w:p w14:paraId="58B2A9C5" w14:textId="7277A0A3" w:rsidR="00B46C0D" w:rsidRPr="003150A7" w:rsidRDefault="00B46C0D" w:rsidP="002C6599">
            <w:pPr>
              <w:pStyle w:val="Brezrazmikov"/>
              <w:jc w:val="center"/>
            </w:pPr>
            <w:r w:rsidRPr="003150A7">
              <w:t>11</w:t>
            </w:r>
            <w:r w:rsidR="002C6599">
              <w:t xml:space="preserve"> </w:t>
            </w:r>
            <w:r w:rsidRPr="003150A7">
              <w:t>%</w:t>
            </w:r>
          </w:p>
        </w:tc>
        <w:tc>
          <w:tcPr>
            <w:tcW w:w="579" w:type="pct"/>
            <w:vAlign w:val="center"/>
            <w:hideMark/>
          </w:tcPr>
          <w:p w14:paraId="5927D5F0" w14:textId="13891ABB" w:rsidR="00B46C0D" w:rsidRPr="003150A7" w:rsidRDefault="00B46C0D" w:rsidP="002C6599">
            <w:pPr>
              <w:pStyle w:val="Brezrazmikov"/>
              <w:jc w:val="center"/>
            </w:pPr>
            <w:r w:rsidRPr="003150A7">
              <w:t>11</w:t>
            </w:r>
            <w:r w:rsidR="002C6599">
              <w:t xml:space="preserve"> </w:t>
            </w:r>
            <w:r w:rsidRPr="003150A7">
              <w:t>%</w:t>
            </w:r>
          </w:p>
        </w:tc>
        <w:tc>
          <w:tcPr>
            <w:tcW w:w="579" w:type="pct"/>
            <w:vAlign w:val="center"/>
            <w:hideMark/>
          </w:tcPr>
          <w:p w14:paraId="68473D30" w14:textId="0DD34018" w:rsidR="00B46C0D" w:rsidRPr="003150A7" w:rsidRDefault="00B46C0D" w:rsidP="002C6599">
            <w:pPr>
              <w:pStyle w:val="Brezrazmikov"/>
              <w:jc w:val="center"/>
            </w:pPr>
            <w:r w:rsidRPr="003150A7">
              <w:t>11</w:t>
            </w:r>
            <w:r w:rsidR="002C6599">
              <w:t xml:space="preserve"> </w:t>
            </w:r>
            <w:r w:rsidRPr="003150A7">
              <w:t>%</w:t>
            </w:r>
          </w:p>
        </w:tc>
      </w:tr>
    </w:tbl>
    <w:p w14:paraId="1BD4C667" w14:textId="77777777" w:rsidR="006A55F5" w:rsidRDefault="006A55F5" w:rsidP="006A55F5">
      <w:pPr>
        <w:pStyle w:val="Brezrazmikov"/>
      </w:pPr>
    </w:p>
    <w:p w14:paraId="39DA3083" w14:textId="3C05BE66" w:rsidR="002D7851" w:rsidRPr="003150A7" w:rsidRDefault="00B46C0D" w:rsidP="002C6599">
      <w:r w:rsidRPr="003150A7">
        <w:t xml:space="preserve">Glede na počasno rast in </w:t>
      </w:r>
      <w:r w:rsidR="004A1E09" w:rsidRPr="003150A7">
        <w:t xml:space="preserve">glede na </w:t>
      </w:r>
      <w:r w:rsidRPr="003150A7">
        <w:t xml:space="preserve">zaveze EU iz Zelenega dogovora je </w:t>
      </w:r>
      <w:r w:rsidR="0055572B" w:rsidRPr="003150A7">
        <w:t>MKGP</w:t>
      </w:r>
      <w:r w:rsidRPr="003150A7">
        <w:t xml:space="preserve"> naročilo Anali</w:t>
      </w:r>
      <w:r w:rsidR="004A1E09" w:rsidRPr="003150A7">
        <w:t xml:space="preserve">zo trga z ekološkimi živili v Republiki Sloveniji </w:t>
      </w:r>
      <w:r w:rsidR="004A1E09" w:rsidRPr="003150A7">
        <w:rPr>
          <w:rStyle w:val="Sprotnaopomba-sklic"/>
          <w:rFonts w:cs="Arial"/>
        </w:rPr>
        <w:footnoteReference w:id="23"/>
      </w:r>
      <w:r w:rsidR="003C73CD" w:rsidRPr="003150A7">
        <w:t xml:space="preserve"> in za</w:t>
      </w:r>
      <w:r w:rsidR="0055572B" w:rsidRPr="003150A7">
        <w:t xml:space="preserve"> spodbujanje razvoja ekološke pridelave izdelavo Akcijskega načrta </w:t>
      </w:r>
      <w:r w:rsidR="00EB5465" w:rsidRPr="003150A7">
        <w:t xml:space="preserve">za razvoj ekološkega kmetijstva do leta 2027 </w:t>
      </w:r>
      <w:r w:rsidR="00EB5465" w:rsidRPr="003150A7">
        <w:rPr>
          <w:rStyle w:val="Sprotnaopomba-sklic"/>
          <w:rFonts w:cs="Arial"/>
        </w:rPr>
        <w:footnoteReference w:id="24"/>
      </w:r>
      <w:r w:rsidR="00EB5465" w:rsidRPr="003150A7">
        <w:t>. V pripravo je vključilo vse deležnike, z akcijskim načrtom pa uvaja vrsto ukrepov in spodbud za povečanje deleža kmetijskih površin pod ekološko pridelavo na 18</w:t>
      </w:r>
      <w:r w:rsidR="00561DC0">
        <w:t xml:space="preserve"> </w:t>
      </w:r>
      <w:r w:rsidR="00EB5465" w:rsidRPr="003150A7">
        <w:t xml:space="preserve">% vseh kmetijskih površin do leta 2027. </w:t>
      </w:r>
    </w:p>
    <w:p w14:paraId="4DC52F29" w14:textId="4AFF1CE5" w:rsidR="00C86AF7" w:rsidRPr="003150A7" w:rsidRDefault="00EC5FEA" w:rsidP="002C6599">
      <w:r w:rsidRPr="003150A7">
        <w:t xml:space="preserve">Trg ekoloških živil se je v </w:t>
      </w:r>
      <w:r w:rsidR="004A1E09" w:rsidRPr="003150A7">
        <w:t xml:space="preserve">Sloveniji v </w:t>
      </w:r>
      <w:r w:rsidRPr="003150A7">
        <w:t>zadnjem desetletju močno razvil in dosegal visoke letne rasti, od 10 do 15 % letno.</w:t>
      </w:r>
      <w:r w:rsidR="00C86AF7" w:rsidRPr="003150A7">
        <w:t xml:space="preserve"> Najpomembnejši prodajni kanal za ekološka živila so trgovske verige, kjer se proda večina vseh ekoloških živil. Tukaj še vedno močno prevladujejo uvožena ekološka živila, slovenskih je za okoli 15 %. </w:t>
      </w:r>
      <w:r w:rsidR="00A77B09" w:rsidRPr="003150A7">
        <w:t>S</w:t>
      </w:r>
      <w:r w:rsidR="00C86AF7" w:rsidRPr="003150A7">
        <w:t xml:space="preserve">lovenska ekološka živila </w:t>
      </w:r>
      <w:r w:rsidR="00A77B09" w:rsidRPr="003150A7">
        <w:t xml:space="preserve">so </w:t>
      </w:r>
      <w:r w:rsidR="00C86AF7" w:rsidRPr="003150A7">
        <w:t xml:space="preserve">kakovostna, vendar so cenovno dražja v primerjavi z uvoženimi ekološkimi živili, kar je problematično tako z vidika </w:t>
      </w:r>
      <w:r w:rsidR="00A77B09" w:rsidRPr="003150A7">
        <w:t xml:space="preserve">trgovine </w:t>
      </w:r>
      <w:r w:rsidR="00C86AF7" w:rsidRPr="003150A7">
        <w:t xml:space="preserve">kot tudi z vidika potrošnikov. </w:t>
      </w:r>
      <w:r w:rsidR="00C86AF7" w:rsidRPr="003150A7">
        <w:lastRenderedPageBreak/>
        <w:t xml:space="preserve">Ponudba je tudi preveč sezonsko vezana, ni oskrbe čez vse leto, kar dodatno pripomore k večjemu uvozu ekoloških živil iz tujine. Predvsem izstopa majhen obseg ponudbe slovenskega ekološkega sadja in zelenjave. </w:t>
      </w:r>
      <w:r w:rsidR="00A77B09" w:rsidRPr="003150A7">
        <w:t>Razlogi</w:t>
      </w:r>
      <w:r w:rsidR="00C86AF7" w:rsidRPr="003150A7">
        <w:t xml:space="preserve"> za takšno stanje </w:t>
      </w:r>
      <w:r w:rsidR="00A77B09" w:rsidRPr="003150A7">
        <w:t xml:space="preserve">so </w:t>
      </w:r>
      <w:r w:rsidR="00C86AF7" w:rsidRPr="003150A7">
        <w:t xml:space="preserve">predvsem v premajhni povezanosti med ekološkimi </w:t>
      </w:r>
      <w:r w:rsidR="00293CCE">
        <w:t>pridelovalci</w:t>
      </w:r>
      <w:r w:rsidR="00C86AF7" w:rsidRPr="003150A7">
        <w:t xml:space="preserve">, ki bi lahko </w:t>
      </w:r>
      <w:r w:rsidR="00A77B09" w:rsidRPr="003150A7">
        <w:t xml:space="preserve">s skupnim nastopom </w:t>
      </w:r>
      <w:r w:rsidR="00C86AF7" w:rsidRPr="003150A7">
        <w:t>zagotavljali večje količine ekoloških živil</w:t>
      </w:r>
      <w:r w:rsidR="00A77B09" w:rsidRPr="003150A7">
        <w:t xml:space="preserve"> in stalnejšo ponudbo. </w:t>
      </w:r>
    </w:p>
    <w:p w14:paraId="4032B2C6" w14:textId="1C2EA691" w:rsidR="00A23830" w:rsidRDefault="00C86AF7" w:rsidP="002C6599">
      <w:r w:rsidRPr="003150A7">
        <w:t xml:space="preserve">Za povečanje obsega ponudbe slovenskih ekoloških živil je zato ključno, da čim večje število trenutnih ekoloških kmetij ostane vključenih v ekološko </w:t>
      </w:r>
      <w:r w:rsidR="003377A7">
        <w:t>kontrolo</w:t>
      </w:r>
      <w:r w:rsidRPr="003150A7">
        <w:t xml:space="preserve">, obenem pa </w:t>
      </w:r>
      <w:r w:rsidR="00A77B09" w:rsidRPr="003150A7">
        <w:t xml:space="preserve">je treba </w:t>
      </w:r>
      <w:r w:rsidRPr="003150A7">
        <w:t xml:space="preserve">spodbuditi </w:t>
      </w:r>
      <w:r w:rsidR="003377A7">
        <w:t>preusmeritev</w:t>
      </w:r>
      <w:r w:rsidRPr="003150A7">
        <w:t xml:space="preserve"> novih (konvencionalnih) kmetij v ekološko </w:t>
      </w:r>
      <w:r w:rsidR="003377A7">
        <w:t>pridelavo</w:t>
      </w:r>
      <w:r w:rsidRPr="003150A7">
        <w:t xml:space="preserve">. Pri tem je za povečanje prometa s slovenskimi ekološkimi živili </w:t>
      </w:r>
      <w:r w:rsidR="00601829">
        <w:t xml:space="preserve">in kmetijskimi pridelki </w:t>
      </w:r>
      <w:r w:rsidRPr="003150A7">
        <w:t>zelo pomembno, da so te kmetije čim bolj tržno usmerjene.</w:t>
      </w:r>
      <w:bookmarkStart w:id="86" w:name="_12.__Delež"/>
      <w:bookmarkStart w:id="87" w:name="_Toc530382206"/>
      <w:bookmarkStart w:id="88" w:name="_Toc530382207"/>
      <w:bookmarkEnd w:id="86"/>
      <w:bookmarkEnd w:id="87"/>
      <w:bookmarkEnd w:id="88"/>
      <w:bookmarkEnd w:id="7"/>
      <w:bookmarkEnd w:id="8"/>
      <w:bookmarkEnd w:id="56"/>
    </w:p>
    <w:p w14:paraId="633D1B67" w14:textId="7B117CFE" w:rsidR="008B7D3B" w:rsidRPr="00601829" w:rsidRDefault="004C0A13" w:rsidP="00601829">
      <w:pPr>
        <w:pStyle w:val="Naslov3"/>
      </w:pPr>
      <w:bookmarkStart w:id="89" w:name="_Toc170816424"/>
      <w:r w:rsidRPr="00601829">
        <w:t>Poročilo o oceni rezultatov vseh izračunanih indikatorjev tveganja</w:t>
      </w:r>
      <w:bookmarkEnd w:id="89"/>
    </w:p>
    <w:p w14:paraId="56A8F04A" w14:textId="77777777" w:rsidR="008B7D3B" w:rsidRPr="00601829" w:rsidRDefault="008B7D3B" w:rsidP="00601829">
      <w:pPr>
        <w:rPr>
          <w:b/>
          <w:bCs/>
        </w:rPr>
      </w:pPr>
      <w:r w:rsidRPr="00601829">
        <w:rPr>
          <w:b/>
          <w:bCs/>
        </w:rPr>
        <w:t>Trend in napredek pri doseganju nacionalnih ciljev zmanjšanja tveganja zaradi rabe FFS</w:t>
      </w:r>
    </w:p>
    <w:p w14:paraId="5F04A703" w14:textId="78269E4E" w:rsidR="00E64E2F" w:rsidRPr="00340C39" w:rsidRDefault="008B7D3B" w:rsidP="00601829">
      <w:r w:rsidRPr="00340C39">
        <w:t xml:space="preserve">Poraba FFS v Sloveniji, ocenjena na podlagi prodaje FFS z izračunanim </w:t>
      </w:r>
      <w:r w:rsidRPr="003377A7">
        <w:rPr>
          <w:b/>
          <w:bCs/>
        </w:rPr>
        <w:t>kazalnikom tveganja 1</w:t>
      </w:r>
      <w:r w:rsidRPr="00340C39">
        <w:t xml:space="preserve"> po posameznih letih niha v odvisnosti od pojava škodljivih organizmov</w:t>
      </w:r>
      <w:r w:rsidR="00E64E2F">
        <w:t>, vendar upada</w:t>
      </w:r>
      <w:r w:rsidRPr="00340C39">
        <w:t>. Kazalnik 1 ima glede na začetno obdobje opazovanja (povprečje prodaje med leti 2011</w:t>
      </w:r>
      <w:r w:rsidR="000713B9">
        <w:t xml:space="preserve"> </w:t>
      </w:r>
      <w:r w:rsidR="00F96327">
        <w:t>–</w:t>
      </w:r>
      <w:r w:rsidR="000713B9">
        <w:t xml:space="preserve"> </w:t>
      </w:r>
      <w:r w:rsidRPr="00340C39">
        <w:t>2013, označeno s 100) trend upadanja in se je v letu 2021 zmanjšal za 32</w:t>
      </w:r>
      <w:r w:rsidR="000713B9">
        <w:t xml:space="preserve"> </w:t>
      </w:r>
      <w:r w:rsidRPr="00340C39">
        <w:t xml:space="preserve">%. </w:t>
      </w:r>
    </w:p>
    <w:p w14:paraId="172AA358" w14:textId="43661A82" w:rsidR="008B7D3B" w:rsidRDefault="008B7D3B" w:rsidP="00601829">
      <w:r w:rsidRPr="00340C39">
        <w:t xml:space="preserve">Po drugi strani se je </w:t>
      </w:r>
      <w:r w:rsidRPr="003377A7">
        <w:rPr>
          <w:b/>
          <w:bCs/>
        </w:rPr>
        <w:t>kazalnik tveganja 2</w:t>
      </w:r>
      <w:r w:rsidRPr="00340C39">
        <w:t xml:space="preserve"> v letu 2021 zvišal glede na začetno obdobje opazovanja za 105</w:t>
      </w:r>
      <w:r w:rsidR="00561DC0">
        <w:t xml:space="preserve"> </w:t>
      </w:r>
      <w:r w:rsidRPr="00340C39">
        <w:t>%. Razlog</w:t>
      </w:r>
      <w:r>
        <w:t xml:space="preserve">i so nepričakovani in prekomerni pojavi škodljivih organizmov, zapleten </w:t>
      </w:r>
      <w:r w:rsidR="00940E4B">
        <w:t xml:space="preserve">in dolgotrajen </w:t>
      </w:r>
      <w:r>
        <w:t xml:space="preserve">sistem redne registracije FFS, ki ne sledi tem pojavom, zaradi česar uporabniki zaprosijo za </w:t>
      </w:r>
      <w:r w:rsidR="00940E4B">
        <w:t>odobritev</w:t>
      </w:r>
      <w:r>
        <w:t xml:space="preserve"> dovoljenja za nujne uporabe FFS. Negativni vpliv klimatskih sprememb se odraža tudi v kmetijstvu, saj višja temperatura ozračja in nepredvidljivo vreme spodbujajo razvoj škodljivih organizmov. Poleg tega se zaradi prostega trga pojavlja vedno več novih škodljivih organizmov. Kljub temu je treba poudariti, da so količine prodanih FFS iz dovoljenj za izjemno uporabo </w:t>
      </w:r>
      <w:r w:rsidRPr="003377A7">
        <w:rPr>
          <w:b/>
          <w:bCs/>
        </w:rPr>
        <w:t>vključene v statistiko prodaje FFS</w:t>
      </w:r>
      <w:r>
        <w:t xml:space="preserve"> in kazalnik tveganja 1. Lahko ocenimo, da ima prodaja FFS v Sloveniji signifikanten trend upadanja. </w:t>
      </w:r>
    </w:p>
    <w:p w14:paraId="59C935DE" w14:textId="7C940214" w:rsidR="008B7D3B" w:rsidRDefault="008B7D3B" w:rsidP="00601829">
      <w:r>
        <w:t xml:space="preserve">Tudi prodaja FFS, ki vsebujejo </w:t>
      </w:r>
      <w:r w:rsidR="00EE0488" w:rsidRPr="00EE0488">
        <w:rPr>
          <w:b/>
          <w:bCs/>
        </w:rPr>
        <w:t xml:space="preserve">snovi - </w:t>
      </w:r>
      <w:r w:rsidRPr="00EE0488">
        <w:rPr>
          <w:b/>
          <w:bCs/>
        </w:rPr>
        <w:t>kandidatke za zamenjavo</w:t>
      </w:r>
      <w:r w:rsidR="000713B9" w:rsidRPr="000713B9">
        <w:t>,</w:t>
      </w:r>
      <w:r>
        <w:t xml:space="preserve"> ima trend upadanja, glede na izhodiščno obdobje opazovanja se je v letu 2021 zmanjšal za 9</w:t>
      </w:r>
      <w:r w:rsidR="000713B9">
        <w:t xml:space="preserve"> </w:t>
      </w:r>
      <w:r>
        <w:t>%. Tukaj je treba omeniti, da približno polovico prodaje teh snovi</w:t>
      </w:r>
      <w:r w:rsidR="00E64E2F">
        <w:t xml:space="preserve"> zavzemajo</w:t>
      </w:r>
      <w:r>
        <w:t xml:space="preserve"> pripravki na osnovi bakra, ki se uporabljajo tudi v ekološki pridelavi. Za prenehanje uporabe </w:t>
      </w:r>
      <w:r w:rsidR="000713B9">
        <w:t>FFS, ki vsebujejo baker,</w:t>
      </w:r>
      <w:r>
        <w:t xml:space="preserve"> bi se morale razviti učinkovite alternativne metode varstva rastlin. Sedaj dostopne alternativne metode, predvsem za ekološko pridelavo, niso dovolj učinkovite. </w:t>
      </w:r>
    </w:p>
    <w:p w14:paraId="6AF9DE5D" w14:textId="77777777" w:rsidR="008B7D3B" w:rsidRPr="00601829" w:rsidRDefault="008B7D3B" w:rsidP="00601829">
      <w:pPr>
        <w:pStyle w:val="Naslov3"/>
      </w:pPr>
      <w:bookmarkStart w:id="90" w:name="_Toc170816425"/>
      <w:r w:rsidRPr="00601829">
        <w:t>Trendi in napredek pri doseganju posrednih ciljev</w:t>
      </w:r>
      <w:bookmarkEnd w:id="90"/>
      <w:r w:rsidRPr="00601829">
        <w:t xml:space="preserve"> </w:t>
      </w:r>
    </w:p>
    <w:p w14:paraId="1F972404" w14:textId="492D0B65" w:rsidR="007B651A" w:rsidRDefault="008B7D3B" w:rsidP="00601829">
      <w:r>
        <w:t xml:space="preserve">V sistem </w:t>
      </w:r>
      <w:r w:rsidRPr="00731DB3">
        <w:rPr>
          <w:b/>
          <w:bCs/>
        </w:rPr>
        <w:t>dodatnega usposabljanja o FFS</w:t>
      </w:r>
      <w:r>
        <w:t xml:space="preserve"> so vključeni vsi uporabniki FFS, saj ta deluje v Sloveniji </w:t>
      </w:r>
      <w:r w:rsidRPr="00731DB3">
        <w:t>že dolga leta in je dobro razvit.</w:t>
      </w:r>
      <w:r w:rsidR="007B651A">
        <w:t xml:space="preserve"> Za podaljšanje veljavnosti izkaznice se</w:t>
      </w:r>
      <w:r w:rsidR="00940E4B">
        <w:t xml:space="preserve"> uporabniki FFS</w:t>
      </w:r>
      <w:r w:rsidR="007B651A">
        <w:t xml:space="preserve"> redno udeležujejo obnovitvenih usposabljanj, kjer se seznanijo z novostmi na področju in obnovijo svoje znanje. </w:t>
      </w:r>
    </w:p>
    <w:p w14:paraId="14CD727B" w14:textId="5520C142" w:rsidR="007B651A" w:rsidRDefault="008B7D3B" w:rsidP="00601829">
      <w:r>
        <w:t xml:space="preserve">Enako dolgo deluje tudi sistem </w:t>
      </w:r>
      <w:r w:rsidRPr="00261614">
        <w:rPr>
          <w:b/>
          <w:bCs/>
        </w:rPr>
        <w:t>pregledov naprav za nanašanje FFS</w:t>
      </w:r>
      <w:r>
        <w:t xml:space="preserve">, tudi tukaj ocenjujemo, da so v sistem pregledov in izdanih potrdil vključene vse naprave v uporabi. </w:t>
      </w:r>
      <w:r w:rsidR="007B651A">
        <w:t xml:space="preserve">Po uvedbi zakonsko obveznih pregledov naprav za nanašanje FFS se je tehnična brezhibnost naprav, pripeljanih na pregled, močno povečala. Še vedno se najdejo naprave, ki morajo najprej na popravilo in potrdilo </w:t>
      </w:r>
      <w:r w:rsidR="00D63FEB">
        <w:t>prejmejo šele na drugem pregledu. Vendar je uvedba pregledov naprav pozitivno vplivala na splošno kakovost teh naprav.</w:t>
      </w:r>
    </w:p>
    <w:p w14:paraId="0FCB2059" w14:textId="63CF4207" w:rsidR="008B7D3B" w:rsidRDefault="008B7D3B" w:rsidP="00601829">
      <w:r w:rsidRPr="006F47B9">
        <w:lastRenderedPageBreak/>
        <w:t xml:space="preserve">Ocenjujemo, da vsi uporabniki FFS </w:t>
      </w:r>
      <w:r w:rsidRPr="00261614">
        <w:rPr>
          <w:b/>
          <w:bCs/>
        </w:rPr>
        <w:t>redno uporabljajo nasvete in informacije javne službe</w:t>
      </w:r>
      <w:r w:rsidR="003377A7">
        <w:rPr>
          <w:b/>
          <w:bCs/>
        </w:rPr>
        <w:t xml:space="preserve"> kmetijskega svetovanja</w:t>
      </w:r>
      <w:r w:rsidRPr="006F47B9">
        <w:t xml:space="preserve"> in </w:t>
      </w:r>
      <w:r w:rsidRPr="00940E4B">
        <w:rPr>
          <w:b/>
          <w:bCs/>
        </w:rPr>
        <w:t>javne službe zdravstvenega varstva rastlin</w:t>
      </w:r>
      <w:r w:rsidRPr="006F47B9">
        <w:t>.</w:t>
      </w:r>
      <w:r w:rsidR="00D63FEB">
        <w:t xml:space="preserve"> Obe službi sta tesno povezani s prakso, delujeta že vrsto let in delo na svetovanju je dobro utečeno. Nasveti so uporabni in lahko dostopni. Pridelovalci o</w:t>
      </w:r>
      <w:r w:rsidRPr="006F47B9">
        <w:t xml:space="preserve">snovna načela </w:t>
      </w:r>
      <w:r w:rsidR="000713B9">
        <w:t>IVR</w:t>
      </w:r>
      <w:r w:rsidRPr="006F47B9">
        <w:t xml:space="preserve"> </w:t>
      </w:r>
      <w:r w:rsidR="00D63FEB">
        <w:t xml:space="preserve">redno </w:t>
      </w:r>
      <w:r w:rsidRPr="006F47B9">
        <w:t>uporabljajo</w:t>
      </w:r>
      <w:r w:rsidR="003377A7">
        <w:t>.</w:t>
      </w:r>
    </w:p>
    <w:p w14:paraId="774FEE3B" w14:textId="7444F2AA" w:rsidR="00A23830" w:rsidRDefault="003377A7" w:rsidP="00601829">
      <w:r>
        <w:t>Trend upadanja prodaje FFS, upadanja števila naprav za nanašanje FFS in upadanja števila veljavnih izkaznic za ravnanje s FFS je treba pozorno spremljati, saj morda ta trend pomeni, da se v R</w:t>
      </w:r>
      <w:r w:rsidR="00326E21">
        <w:t xml:space="preserve">epubliki </w:t>
      </w:r>
      <w:r>
        <w:t>S</w:t>
      </w:r>
      <w:r w:rsidR="00326E21">
        <w:t>loveniji</w:t>
      </w:r>
      <w:r>
        <w:t xml:space="preserve"> zmanjšuje </w:t>
      </w:r>
      <w:r w:rsidR="00E64E2F">
        <w:t xml:space="preserve">število pridelovalcev v </w:t>
      </w:r>
      <w:r>
        <w:t>intenzivn</w:t>
      </w:r>
      <w:r w:rsidR="00E64E2F">
        <w:t>i</w:t>
      </w:r>
      <w:r>
        <w:t xml:space="preserve"> kmetijsk</w:t>
      </w:r>
      <w:r w:rsidR="00E64E2F">
        <w:t>i</w:t>
      </w:r>
      <w:r>
        <w:t xml:space="preserve"> pridelav</w:t>
      </w:r>
      <w:r w:rsidR="00E64E2F">
        <w:t>i</w:t>
      </w:r>
      <w:r>
        <w:t xml:space="preserve">. </w:t>
      </w:r>
    </w:p>
    <w:p w14:paraId="7A5D6402" w14:textId="2F9B71C7" w:rsidR="007B651A" w:rsidRPr="003150A7" w:rsidRDefault="007B651A" w:rsidP="00601829">
      <w:r>
        <w:t xml:space="preserve">Število pridelovalcev v intenzivni kmetijski pridelavi pa se lahko zmanjša tudi na račun morebitnega povečanja števila pridelovalcev v ekološki pridelavi. </w:t>
      </w:r>
      <w:r w:rsidR="00D63FEB">
        <w:t>Pri tem je treba imeti v mislih, da Slovenija ni samooskrbna v pridelavi hrane in je močno odvisna od uvoza hrane, razen v pridelavi mleka in mesa.</w:t>
      </w:r>
    </w:p>
    <w:sectPr w:rsidR="007B651A" w:rsidRPr="003150A7" w:rsidSect="00502110">
      <w:footerReference w:type="default" r:id="rId20"/>
      <w:headerReference w:type="first" r:id="rId21"/>
      <w:footnotePr>
        <w:pos w:val="beneathText"/>
      </w:footnotePr>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777C" w14:textId="77777777" w:rsidR="00AB1BAC" w:rsidRDefault="00AB1BAC" w:rsidP="009B6EF4">
      <w:pPr>
        <w:spacing w:after="0" w:line="240" w:lineRule="auto"/>
      </w:pPr>
      <w:r>
        <w:separator/>
      </w:r>
    </w:p>
  </w:endnote>
  <w:endnote w:type="continuationSeparator" w:id="0">
    <w:p w14:paraId="627E7D68" w14:textId="77777777" w:rsidR="00AB1BAC" w:rsidRDefault="00AB1BAC" w:rsidP="009B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49417"/>
      <w:docPartObj>
        <w:docPartGallery w:val="Page Numbers (Bottom of Page)"/>
        <w:docPartUnique/>
      </w:docPartObj>
    </w:sdtPr>
    <w:sdtEndPr/>
    <w:sdtContent>
      <w:p w14:paraId="56807BC8" w14:textId="00FB8292" w:rsidR="00960783" w:rsidRDefault="00960783">
        <w:pPr>
          <w:pStyle w:val="Noga"/>
          <w:jc w:val="center"/>
        </w:pPr>
        <w:r>
          <w:fldChar w:fldCharType="begin"/>
        </w:r>
        <w:r>
          <w:instrText>PAGE   \* MERGEFORMAT</w:instrText>
        </w:r>
        <w:r>
          <w:fldChar w:fldCharType="separate"/>
        </w:r>
        <w:r w:rsidR="00FD404E">
          <w:rPr>
            <w:noProof/>
          </w:rPr>
          <w:t>20</w:t>
        </w:r>
        <w:r>
          <w:fldChar w:fldCharType="end"/>
        </w:r>
      </w:p>
    </w:sdtContent>
  </w:sdt>
  <w:p w14:paraId="1A1985D8" w14:textId="77777777" w:rsidR="00960783" w:rsidRDefault="009607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7348" w14:textId="77777777" w:rsidR="00AB1BAC" w:rsidRDefault="00AB1BAC" w:rsidP="009B6EF4">
      <w:pPr>
        <w:spacing w:after="0" w:line="240" w:lineRule="auto"/>
      </w:pPr>
      <w:r>
        <w:separator/>
      </w:r>
    </w:p>
  </w:footnote>
  <w:footnote w:type="continuationSeparator" w:id="0">
    <w:p w14:paraId="4280FC57" w14:textId="77777777" w:rsidR="00AB1BAC" w:rsidRDefault="00AB1BAC" w:rsidP="009B6EF4">
      <w:pPr>
        <w:spacing w:after="0" w:line="240" w:lineRule="auto"/>
      </w:pPr>
      <w:r>
        <w:continuationSeparator/>
      </w:r>
    </w:p>
  </w:footnote>
  <w:footnote w:id="1">
    <w:p w14:paraId="4CC7A972" w14:textId="731C1C6E" w:rsidR="00960783" w:rsidRPr="00535C80" w:rsidRDefault="00960783">
      <w:pPr>
        <w:pStyle w:val="Sprotnaopomba-besedilo"/>
        <w:rPr>
          <w:sz w:val="16"/>
          <w:szCs w:val="16"/>
        </w:rPr>
      </w:pPr>
      <w:r w:rsidRPr="00535C80">
        <w:rPr>
          <w:rStyle w:val="Sprotnaopomba-sklic"/>
          <w:sz w:val="16"/>
          <w:szCs w:val="16"/>
        </w:rPr>
        <w:footnoteRef/>
      </w:r>
      <w:r w:rsidRPr="00535C80">
        <w:rPr>
          <w:sz w:val="16"/>
          <w:szCs w:val="16"/>
        </w:rPr>
        <w:t xml:space="preserve"> </w:t>
      </w:r>
      <w:hyperlink r:id="rId1" w:history="1">
        <w:r w:rsidRPr="00535C80">
          <w:rPr>
            <w:rStyle w:val="Hiperpovezava"/>
            <w:sz w:val="16"/>
            <w:szCs w:val="16"/>
          </w:rPr>
          <w:t>http://www.uvhvvr.gov.si/si/delovna_podrocja/fitofarmacevtska_sredstva/nacionalni_akcijski_program/</w:t>
        </w:r>
      </w:hyperlink>
      <w:r w:rsidRPr="00535C80">
        <w:rPr>
          <w:sz w:val="16"/>
          <w:szCs w:val="16"/>
        </w:rPr>
        <w:t xml:space="preserve"> </w:t>
      </w:r>
    </w:p>
  </w:footnote>
  <w:footnote w:id="2">
    <w:p w14:paraId="77D2B028" w14:textId="77777777" w:rsidR="00960783" w:rsidRPr="00535C80" w:rsidRDefault="00960783" w:rsidP="00644B6B">
      <w:pPr>
        <w:spacing w:before="60" w:after="60" w:line="240" w:lineRule="auto"/>
        <w:contextualSpacing/>
        <w:rPr>
          <w:rFonts w:cs="Arial"/>
          <w:sz w:val="16"/>
          <w:szCs w:val="16"/>
        </w:rPr>
      </w:pPr>
      <w:r w:rsidRPr="00535C80">
        <w:rPr>
          <w:rStyle w:val="Sprotnaopomba-sklic"/>
          <w:sz w:val="16"/>
          <w:szCs w:val="16"/>
        </w:rPr>
        <w:footnoteRef/>
      </w:r>
      <w:r w:rsidRPr="00535C80">
        <w:rPr>
          <w:sz w:val="16"/>
          <w:szCs w:val="16"/>
        </w:rPr>
        <w:t xml:space="preserve"> </w:t>
      </w:r>
      <w:hyperlink r:id="rId2" w:history="1">
        <w:r w:rsidRPr="00535C80">
          <w:rPr>
            <w:rStyle w:val="Hiperpovezava"/>
            <w:rFonts w:cs="Arial"/>
            <w:sz w:val="16"/>
            <w:szCs w:val="16"/>
          </w:rPr>
          <w:t>https://ec.europa.eu/food/plant/pesticides/sustainable_use_pesticides_en</w:t>
        </w:r>
      </w:hyperlink>
      <w:r w:rsidRPr="00535C80">
        <w:rPr>
          <w:rFonts w:cs="Arial"/>
          <w:sz w:val="16"/>
          <w:szCs w:val="16"/>
        </w:rPr>
        <w:t xml:space="preserve"> </w:t>
      </w:r>
    </w:p>
    <w:p w14:paraId="31A5E89B" w14:textId="600A627C" w:rsidR="00960783" w:rsidRPr="00644B6B" w:rsidRDefault="00960783">
      <w:pPr>
        <w:pStyle w:val="Sprotnaopomba-besedilo"/>
      </w:pPr>
    </w:p>
  </w:footnote>
  <w:footnote w:id="3">
    <w:p w14:paraId="34D5EA83" w14:textId="00A1A28B" w:rsidR="00561DC0" w:rsidRDefault="00561DC0">
      <w:pPr>
        <w:pStyle w:val="Sprotnaopomba-besedilo"/>
      </w:pPr>
      <w:r w:rsidRPr="00561DC0">
        <w:rPr>
          <w:rStyle w:val="Sprotnaopomba-sklic"/>
          <w:sz w:val="16"/>
          <w:szCs w:val="16"/>
        </w:rPr>
        <w:footnoteRef/>
      </w:r>
      <w:r w:rsidRPr="00D712CD">
        <w:rPr>
          <w:rFonts w:cs="Arial"/>
          <w:color w:val="000000"/>
          <w:sz w:val="16"/>
          <w:szCs w:val="16"/>
        </w:rPr>
        <w:t>Uredba (ES) št. 1185/2009 Evropskega parlamenta in Sveta z dne 25. novembra 2009 o statističnih podatkih o pesticidih</w:t>
      </w:r>
      <w:r>
        <w:rPr>
          <w:rFonts w:cs="Arial"/>
          <w:color w:val="000000"/>
          <w:sz w:val="16"/>
          <w:szCs w:val="16"/>
        </w:rPr>
        <w:t xml:space="preserve"> (</w:t>
      </w:r>
      <w:hyperlink r:id="rId3" w:history="1">
        <w:r w:rsidRPr="00146000">
          <w:rPr>
            <w:rStyle w:val="Hiperpovezava"/>
            <w:rFonts w:cs="Arial"/>
            <w:sz w:val="16"/>
            <w:szCs w:val="16"/>
          </w:rPr>
          <w:t>https://eur-lex.europa.eu/legal-content/SL/ALL/?uri=CELEX%3A32009R1185</w:t>
        </w:r>
      </w:hyperlink>
      <w:r>
        <w:rPr>
          <w:rFonts w:cs="Arial"/>
          <w:color w:val="000000"/>
          <w:sz w:val="16"/>
          <w:szCs w:val="16"/>
        </w:rPr>
        <w:t xml:space="preserve"> )</w:t>
      </w:r>
    </w:p>
  </w:footnote>
  <w:footnote w:id="4">
    <w:p w14:paraId="06D4DC7F" w14:textId="115CC6F6" w:rsidR="009702FF" w:rsidRPr="007D0188" w:rsidRDefault="009702FF">
      <w:pPr>
        <w:pStyle w:val="Sprotnaopomba-besedilo"/>
        <w:rPr>
          <w:sz w:val="16"/>
          <w:szCs w:val="16"/>
        </w:rPr>
      </w:pPr>
      <w:r w:rsidRPr="007D0188">
        <w:rPr>
          <w:rStyle w:val="Sprotnaopomba-sklic"/>
          <w:sz w:val="16"/>
          <w:szCs w:val="16"/>
        </w:rPr>
        <w:footnoteRef/>
      </w:r>
      <w:r w:rsidRPr="007D0188">
        <w:rPr>
          <w:sz w:val="16"/>
          <w:szCs w:val="16"/>
        </w:rPr>
        <w:t xml:space="preserve"> </w:t>
      </w:r>
      <w:r w:rsidR="00670AA5">
        <w:rPr>
          <w:sz w:val="16"/>
          <w:szCs w:val="16"/>
        </w:rPr>
        <w:t>Podatki SURS o rabi FFS v kmetijstvu (za izbrane kmetijske kulture) so na voljo v podatkovni bazi SiStat (</w:t>
      </w:r>
      <w:hyperlink r:id="rId4" w:history="1">
        <w:r w:rsidR="00670AA5" w:rsidRPr="00146000">
          <w:rPr>
            <w:rStyle w:val="Hiperpovezava"/>
            <w:sz w:val="16"/>
            <w:szCs w:val="16"/>
          </w:rPr>
          <w:t>https://pxweb.stat.si/SiStat/sl</w:t>
        </w:r>
      </w:hyperlink>
      <w:r w:rsidR="00670AA5">
        <w:rPr>
          <w:sz w:val="16"/>
          <w:szCs w:val="16"/>
        </w:rPr>
        <w:t xml:space="preserve">, področje Kmetijstvo, gozdarstvo in ribištvo, podpodročje Proizvodne metode v kmetijstvu); komentar k zadnjim objavljenim podatkom za leto 2017 je bil objavljen na sletni strani SURS: </w:t>
      </w:r>
      <w:r w:rsidR="00670AA5" w:rsidRPr="00670AA5">
        <w:rPr>
          <w:sz w:val="16"/>
          <w:szCs w:val="16"/>
        </w:rPr>
        <w:t>https://www.stat.si/StatWeb/News/Index/8014</w:t>
      </w:r>
    </w:p>
  </w:footnote>
  <w:footnote w:id="5">
    <w:p w14:paraId="356C1F09" w14:textId="5991AC7F" w:rsidR="008836E1" w:rsidRPr="00561DC0" w:rsidRDefault="00130DBA" w:rsidP="003D3B0A">
      <w:pPr>
        <w:pStyle w:val="Sprotnaopomba-besedilo"/>
        <w:rPr>
          <w:rFonts w:cs="Arial"/>
          <w:color w:val="000000"/>
          <w:sz w:val="16"/>
          <w:szCs w:val="16"/>
        </w:rPr>
      </w:pPr>
      <w:r w:rsidRPr="007D0188">
        <w:rPr>
          <w:rStyle w:val="Sprotnaopomba-sklic"/>
          <w:sz w:val="16"/>
          <w:szCs w:val="16"/>
        </w:rPr>
        <w:footnoteRef/>
      </w:r>
      <w:r w:rsidRPr="007D0188">
        <w:rPr>
          <w:sz w:val="16"/>
          <w:szCs w:val="16"/>
        </w:rPr>
        <w:t xml:space="preserve"> </w:t>
      </w:r>
      <w:r w:rsidRPr="007D0188">
        <w:rPr>
          <w:rFonts w:cs="Arial"/>
          <w:color w:val="000000"/>
          <w:sz w:val="16"/>
          <w:szCs w:val="16"/>
        </w:rPr>
        <w:t>Izvedbena Uredba Komisije EU št 2023/564 z dne 10. marca 2023 glede vsebine in formata evidenc fitofarmacevtskih sredstev, ki jih vodijo poklicni uporabniki, v skladu z Uredbo (ES) št. 1107/2009 Evropskega parlamenta in Sveta (UL L št. 74 z dne 13. 3. 2023, str. 4)</w:t>
      </w:r>
    </w:p>
  </w:footnote>
  <w:footnote w:id="6">
    <w:p w14:paraId="44865AE4" w14:textId="77777777" w:rsidR="00561DC0" w:rsidRDefault="00561DC0" w:rsidP="00561DC0">
      <w:pPr>
        <w:pStyle w:val="Sprotnaopomba-besedilo"/>
        <w:rPr>
          <w:rFonts w:cs="Arial"/>
          <w:color w:val="000000"/>
          <w:sz w:val="16"/>
          <w:szCs w:val="16"/>
        </w:rPr>
      </w:pPr>
      <w:r w:rsidRPr="00561DC0">
        <w:rPr>
          <w:rStyle w:val="Sprotnaopomba-sklic"/>
          <w:sz w:val="16"/>
          <w:szCs w:val="16"/>
        </w:rPr>
        <w:footnoteRef/>
      </w:r>
      <w:r w:rsidRPr="00561DC0">
        <w:rPr>
          <w:sz w:val="18"/>
          <w:szCs w:val="18"/>
        </w:rPr>
        <w:t xml:space="preserve"> </w:t>
      </w:r>
      <w:r w:rsidRPr="003D3B0A">
        <w:rPr>
          <w:rFonts w:cs="Arial"/>
          <w:color w:val="000000"/>
          <w:sz w:val="16"/>
          <w:szCs w:val="16"/>
        </w:rPr>
        <w:t>UREDBA (EU) 2022/2379 EVROPSKEGA PARLAMENTA IN SVETA</w:t>
      </w:r>
      <w:r>
        <w:rPr>
          <w:rFonts w:cs="Arial"/>
          <w:color w:val="000000"/>
          <w:sz w:val="16"/>
          <w:szCs w:val="16"/>
        </w:rPr>
        <w:t xml:space="preserve"> </w:t>
      </w:r>
      <w:r w:rsidRPr="003D3B0A">
        <w:rPr>
          <w:rFonts w:cs="Arial"/>
          <w:color w:val="000000"/>
          <w:sz w:val="16"/>
          <w:szCs w:val="16"/>
        </w:rPr>
        <w:t>z dne 23. novembra 2022</w:t>
      </w:r>
      <w:r>
        <w:rPr>
          <w:rFonts w:cs="Arial"/>
          <w:color w:val="000000"/>
          <w:sz w:val="16"/>
          <w:szCs w:val="16"/>
        </w:rPr>
        <w:t xml:space="preserve"> </w:t>
      </w:r>
      <w:r w:rsidRPr="003D3B0A">
        <w:rPr>
          <w:rFonts w:cs="Arial"/>
          <w:color w:val="000000"/>
          <w:sz w:val="16"/>
          <w:szCs w:val="16"/>
        </w:rPr>
        <w:t>o statistiki kmetijskih vložkov in proizvodnje, spremembi Uredbe Komisije (ES) št. 617/2008 ter razveljavitvi uredb (ES) št. 1165/2008, (ES) št. 543/2009 in (ES) št. 1185/2009 Evropskega parlamenta in Sveta ter Direktive Sveta 96/16/ES</w:t>
      </w:r>
      <w:r>
        <w:rPr>
          <w:rFonts w:cs="Arial"/>
          <w:color w:val="000000"/>
          <w:sz w:val="16"/>
          <w:szCs w:val="16"/>
        </w:rPr>
        <w:t xml:space="preserve"> ter izvedbena uredba Komisije </w:t>
      </w:r>
      <w:r w:rsidRPr="003D3B0A">
        <w:rPr>
          <w:rFonts w:cs="Arial"/>
          <w:color w:val="000000"/>
          <w:sz w:val="16"/>
          <w:szCs w:val="16"/>
        </w:rPr>
        <w:t>Izvedbena uredba Komisije (EU) 2023/1537 z dne 25. julija 2023 o določitvi pravil za uporabo Uredbe (EU) 2022/2379 Evropskega parlamenta in Sveta glede statistike o uporabi fitofarmacevtskih sredstev, ki se med prehodno ureditvijo za obdobje 2025–2027 pošlje za referenčno leto 2026, in statistike o fitofarmacevtskih sredstvih, danih v promet</w:t>
      </w:r>
    </w:p>
    <w:p w14:paraId="210AD725" w14:textId="7159A8A8" w:rsidR="00561DC0" w:rsidRDefault="00561DC0">
      <w:pPr>
        <w:pStyle w:val="Sprotnaopomba-besedilo"/>
      </w:pPr>
    </w:p>
  </w:footnote>
  <w:footnote w:id="7">
    <w:p w14:paraId="07EE6A94" w14:textId="77777777" w:rsidR="00561DC0" w:rsidRPr="007D0188" w:rsidRDefault="00561DC0" w:rsidP="00561DC0">
      <w:pPr>
        <w:pStyle w:val="Sprotnaopomba-besedilo"/>
        <w:rPr>
          <w:sz w:val="16"/>
          <w:szCs w:val="16"/>
        </w:rPr>
      </w:pPr>
      <w:r w:rsidRPr="00561DC0">
        <w:rPr>
          <w:rStyle w:val="Sprotnaopomba-sklic"/>
          <w:sz w:val="16"/>
          <w:szCs w:val="16"/>
        </w:rPr>
        <w:footnoteRef/>
      </w:r>
      <w:r w:rsidRPr="00561DC0">
        <w:rPr>
          <w:sz w:val="16"/>
          <w:szCs w:val="16"/>
        </w:rPr>
        <w:t xml:space="preserve"> </w:t>
      </w:r>
      <w:r>
        <w:rPr>
          <w:rFonts w:cs="Arial"/>
          <w:color w:val="000000"/>
          <w:sz w:val="16"/>
          <w:szCs w:val="16"/>
        </w:rPr>
        <w:t xml:space="preserve">Podrobne informacije o metodologiji izračunanih kazalnikov tveganja so dostopne na spletni strani </w:t>
      </w:r>
      <w:hyperlink r:id="rId5" w:history="1">
        <w:r w:rsidRPr="00146000">
          <w:rPr>
            <w:rStyle w:val="Hiperpovezava"/>
            <w:rFonts w:cs="Arial"/>
            <w:sz w:val="16"/>
            <w:szCs w:val="16"/>
          </w:rPr>
          <w:t>https://www.gov.si/teme/usklajeni-kazalniki-tveganja-fitofarmacevtska-sredstva/</w:t>
        </w:r>
      </w:hyperlink>
      <w:r>
        <w:rPr>
          <w:rFonts w:cs="Arial"/>
          <w:color w:val="000000"/>
          <w:sz w:val="16"/>
          <w:szCs w:val="16"/>
        </w:rPr>
        <w:t xml:space="preserve"> </w:t>
      </w:r>
    </w:p>
    <w:p w14:paraId="4E23F179" w14:textId="607B53CE" w:rsidR="00561DC0" w:rsidRDefault="00561DC0">
      <w:pPr>
        <w:pStyle w:val="Sprotnaopomba-besedilo"/>
      </w:pPr>
    </w:p>
  </w:footnote>
  <w:footnote w:id="8">
    <w:p w14:paraId="2AD0121E" w14:textId="2DAAD02C" w:rsidR="00561DC0" w:rsidRPr="00561DC0" w:rsidRDefault="00561DC0" w:rsidP="00561DC0">
      <w:pPr>
        <w:rPr>
          <w:rFonts w:cs="Arial"/>
          <w:color w:val="000000"/>
          <w:sz w:val="16"/>
          <w:szCs w:val="16"/>
        </w:rPr>
      </w:pPr>
      <w:r>
        <w:rPr>
          <w:rStyle w:val="Sprotnaopomba-sklic"/>
        </w:rPr>
        <w:footnoteRef/>
      </w:r>
      <w:r>
        <w:t xml:space="preserve"> </w:t>
      </w:r>
      <w:r w:rsidRPr="002C2716">
        <w:rPr>
          <w:rFonts w:cs="Arial"/>
          <w:color w:val="000000"/>
          <w:sz w:val="16"/>
          <w:szCs w:val="16"/>
        </w:rPr>
        <w:t>SURS je za leto 2014 ocenil dejansko porabo FFS v kmetijstvu in ocenil delež prodanih FFS za</w:t>
      </w:r>
      <w:r>
        <w:t xml:space="preserve"> </w:t>
      </w:r>
      <w:r w:rsidRPr="002C2716">
        <w:rPr>
          <w:rFonts w:cs="Arial"/>
          <w:color w:val="000000"/>
          <w:sz w:val="16"/>
          <w:szCs w:val="16"/>
        </w:rPr>
        <w:t>namen uporabe v kmetijstvu (</w:t>
      </w:r>
      <w:hyperlink r:id="rId6" w:history="1">
        <w:r w:rsidRPr="002C2716">
          <w:rPr>
            <w:rFonts w:cs="Arial"/>
            <w:color w:val="000000"/>
            <w:sz w:val="16"/>
            <w:szCs w:val="16"/>
          </w:rPr>
          <w:t>https://www.stat.si/StatWeb/News/Index/6258</w:t>
        </w:r>
      </w:hyperlink>
      <w:r w:rsidRPr="002C2716">
        <w:rPr>
          <w:rFonts w:cs="Arial"/>
          <w:color w:val="000000"/>
          <w:sz w:val="16"/>
          <w:szCs w:val="16"/>
        </w:rPr>
        <w:t xml:space="preserve"> )</w:t>
      </w:r>
      <w:r>
        <w:rPr>
          <w:rFonts w:cs="Arial"/>
          <w:color w:val="000000"/>
          <w:sz w:val="16"/>
          <w:szCs w:val="16"/>
        </w:rPr>
        <w:t>. Za leto 2014 je bilo ocenjeno, da se je v kmetijstvu porabilo 71 % aktivnih snovi iz fungicidov, 56 % aktivnih snovi iz herbicidov in 65 % aktivnih snovi iz insekticidov glede na prodane FFS.</w:t>
      </w:r>
    </w:p>
  </w:footnote>
  <w:footnote w:id="9">
    <w:p w14:paraId="332623A2" w14:textId="6BF8DC64" w:rsidR="00566B7D" w:rsidRPr="004935E3" w:rsidRDefault="00566B7D">
      <w:pPr>
        <w:pStyle w:val="Sprotnaopomba-besedilo"/>
        <w:rPr>
          <w:sz w:val="16"/>
          <w:szCs w:val="16"/>
        </w:rPr>
      </w:pPr>
      <w:r>
        <w:rPr>
          <w:rStyle w:val="Sprotnaopomba-sklic"/>
        </w:rPr>
        <w:footnoteRef/>
      </w:r>
      <w:r>
        <w:t xml:space="preserve"> </w:t>
      </w:r>
      <w:r w:rsidRPr="004935E3">
        <w:rPr>
          <w:sz w:val="16"/>
          <w:szCs w:val="16"/>
        </w:rPr>
        <w:t>ARSO: Poročilo o okolju v Republiki Sloveniji 2022</w:t>
      </w:r>
    </w:p>
  </w:footnote>
  <w:footnote w:id="10">
    <w:p w14:paraId="77032D5F" w14:textId="3F35D160" w:rsidR="00B11E33" w:rsidRDefault="00B11E33">
      <w:pPr>
        <w:pStyle w:val="Sprotnaopomba-besedilo"/>
      </w:pPr>
      <w:r w:rsidRPr="00B11E33">
        <w:rPr>
          <w:rStyle w:val="Sprotnaopomba-sklic"/>
          <w:sz w:val="16"/>
          <w:szCs w:val="16"/>
        </w:rPr>
        <w:footnoteRef/>
      </w:r>
      <w:r w:rsidRPr="00B11E33">
        <w:rPr>
          <w:sz w:val="16"/>
          <w:szCs w:val="16"/>
        </w:rPr>
        <w:t xml:space="preserve"> Podatke se lahko pridobi na zaprosilo pri Upravi</w:t>
      </w:r>
    </w:p>
  </w:footnote>
  <w:footnote w:id="11">
    <w:p w14:paraId="273F6B6D" w14:textId="77777777" w:rsidR="00B11E33" w:rsidRDefault="00B11E33" w:rsidP="00B11E33">
      <w:pPr>
        <w:pStyle w:val="Sprotnaopomba-besedilo"/>
      </w:pPr>
      <w:r w:rsidRPr="00B11E33">
        <w:rPr>
          <w:rStyle w:val="Sprotnaopomba-sklic"/>
          <w:sz w:val="16"/>
          <w:szCs w:val="16"/>
        </w:rPr>
        <w:footnoteRef/>
      </w:r>
      <w:r w:rsidRPr="00B11E33">
        <w:rPr>
          <w:sz w:val="16"/>
          <w:szCs w:val="16"/>
        </w:rPr>
        <w:t xml:space="preserve"> Podatke se lahko pridobi na zaprosilo pri Upravi</w:t>
      </w:r>
    </w:p>
  </w:footnote>
  <w:footnote w:id="12">
    <w:p w14:paraId="5025A38F" w14:textId="77777777" w:rsidR="00043B49" w:rsidRPr="00436CD8" w:rsidRDefault="00043B49" w:rsidP="00043B49">
      <w:pPr>
        <w:pStyle w:val="Sprotnaopomba-besedilo"/>
        <w:rPr>
          <w:sz w:val="16"/>
          <w:szCs w:val="16"/>
        </w:rPr>
      </w:pPr>
      <w:r w:rsidRPr="00436CD8">
        <w:rPr>
          <w:rStyle w:val="Sprotnaopomba-sklic"/>
          <w:sz w:val="16"/>
          <w:szCs w:val="16"/>
        </w:rPr>
        <w:footnoteRef/>
      </w:r>
      <w:r w:rsidRPr="00436CD8">
        <w:rPr>
          <w:sz w:val="16"/>
          <w:szCs w:val="16"/>
        </w:rPr>
        <w:t xml:space="preserve"> </w:t>
      </w:r>
      <w:hyperlink r:id="rId7" w:history="1">
        <w:r w:rsidRPr="00436CD8">
          <w:rPr>
            <w:color w:val="0000FF"/>
            <w:sz w:val="16"/>
            <w:szCs w:val="16"/>
            <w:u w:val="single"/>
          </w:rPr>
          <w:t>Ostanki fitofarmacevtskih sredstev | GOV.SI</w:t>
        </w:r>
      </w:hyperlink>
    </w:p>
  </w:footnote>
  <w:footnote w:id="13">
    <w:p w14:paraId="2F5EC741" w14:textId="77777777" w:rsidR="00FE30D5" w:rsidRPr="002214F0" w:rsidRDefault="00FE30D5" w:rsidP="00FE30D5">
      <w:pPr>
        <w:pStyle w:val="Sprotnaopomba-besedilo"/>
        <w:rPr>
          <w:sz w:val="16"/>
          <w:szCs w:val="16"/>
        </w:rPr>
      </w:pPr>
      <w:r w:rsidRPr="002214F0">
        <w:rPr>
          <w:rStyle w:val="Sprotnaopomba-sklic"/>
          <w:sz w:val="16"/>
          <w:szCs w:val="16"/>
        </w:rPr>
        <w:footnoteRef/>
      </w:r>
      <w:r w:rsidRPr="002214F0">
        <w:rPr>
          <w:sz w:val="16"/>
          <w:szCs w:val="16"/>
        </w:rPr>
        <w:t xml:space="preserve"> </w:t>
      </w:r>
      <w:hyperlink r:id="rId8" w:history="1">
        <w:r w:rsidRPr="002214F0">
          <w:rPr>
            <w:rStyle w:val="Hiperpovezava"/>
            <w:sz w:val="16"/>
            <w:szCs w:val="16"/>
          </w:rPr>
          <w:t>mpv.si</w:t>
        </w:r>
      </w:hyperlink>
    </w:p>
  </w:footnote>
  <w:footnote w:id="14">
    <w:p w14:paraId="5FBF80CE" w14:textId="18D20530" w:rsidR="00C868EF" w:rsidRPr="00015CB7" w:rsidRDefault="00C868EF">
      <w:pPr>
        <w:pStyle w:val="Sprotnaopomba-besedilo"/>
        <w:rPr>
          <w:sz w:val="16"/>
          <w:szCs w:val="16"/>
        </w:rPr>
      </w:pPr>
      <w:r w:rsidRPr="00015CB7">
        <w:rPr>
          <w:rStyle w:val="Sprotnaopomba-sklic"/>
          <w:sz w:val="16"/>
          <w:szCs w:val="16"/>
        </w:rPr>
        <w:footnoteRef/>
      </w:r>
      <w:r w:rsidRPr="00015CB7">
        <w:rPr>
          <w:sz w:val="16"/>
          <w:szCs w:val="16"/>
        </w:rPr>
        <w:t xml:space="preserve"> </w:t>
      </w:r>
      <w:hyperlink r:id="rId9" w:history="1">
        <w:r w:rsidRPr="00015CB7">
          <w:rPr>
            <w:color w:val="0000FF"/>
            <w:sz w:val="16"/>
            <w:szCs w:val="16"/>
            <w:u w:val="single"/>
          </w:rPr>
          <w:t>Podzemne vode (gov.si)</w:t>
        </w:r>
      </w:hyperlink>
    </w:p>
  </w:footnote>
  <w:footnote w:id="15">
    <w:p w14:paraId="5D9CC04F" w14:textId="77777777" w:rsidR="00B11E33" w:rsidRDefault="00B11E33" w:rsidP="00B11E33">
      <w:pPr>
        <w:pStyle w:val="Sprotnaopomba-besedilo"/>
      </w:pPr>
      <w:r w:rsidRPr="00B11E33">
        <w:rPr>
          <w:rStyle w:val="Sprotnaopomba-sklic"/>
          <w:sz w:val="16"/>
          <w:szCs w:val="16"/>
        </w:rPr>
        <w:footnoteRef/>
      </w:r>
      <w:r w:rsidRPr="00B11E33">
        <w:rPr>
          <w:sz w:val="16"/>
          <w:szCs w:val="16"/>
        </w:rPr>
        <w:t xml:space="preserve"> Podatke se lahko pridobi na zaprosilo pri Upravi</w:t>
      </w:r>
    </w:p>
  </w:footnote>
  <w:footnote w:id="16">
    <w:p w14:paraId="4472E86F" w14:textId="77777777" w:rsidR="00B11E33" w:rsidRDefault="00B11E33" w:rsidP="00B11E33">
      <w:pPr>
        <w:pStyle w:val="Sprotnaopomba-besedilo"/>
      </w:pPr>
      <w:r w:rsidRPr="00B11E33">
        <w:rPr>
          <w:rStyle w:val="Sprotnaopomba-sklic"/>
          <w:sz w:val="16"/>
          <w:szCs w:val="16"/>
        </w:rPr>
        <w:footnoteRef/>
      </w:r>
      <w:r w:rsidRPr="00B11E33">
        <w:rPr>
          <w:sz w:val="16"/>
          <w:szCs w:val="16"/>
        </w:rPr>
        <w:t xml:space="preserve"> Podatke se lahko pridobi na zaprosilo pri Upravi</w:t>
      </w:r>
    </w:p>
  </w:footnote>
  <w:footnote w:id="17">
    <w:p w14:paraId="2787AD72" w14:textId="77777777" w:rsidR="00B11E33" w:rsidRDefault="00B11E33" w:rsidP="00B11E33">
      <w:pPr>
        <w:pStyle w:val="Sprotnaopomba-besedilo"/>
      </w:pPr>
      <w:r w:rsidRPr="00B11E33">
        <w:rPr>
          <w:rStyle w:val="Sprotnaopomba-sklic"/>
          <w:sz w:val="16"/>
          <w:szCs w:val="16"/>
        </w:rPr>
        <w:footnoteRef/>
      </w:r>
      <w:r w:rsidRPr="00B11E33">
        <w:rPr>
          <w:sz w:val="16"/>
          <w:szCs w:val="16"/>
        </w:rPr>
        <w:t xml:space="preserve"> Podatke se lahko pridobi na zaprosilo pri Upravi</w:t>
      </w:r>
    </w:p>
  </w:footnote>
  <w:footnote w:id="18">
    <w:p w14:paraId="60999496" w14:textId="77777777" w:rsidR="00C4266C" w:rsidRPr="00842FC7" w:rsidRDefault="00C4266C" w:rsidP="00C4266C">
      <w:pPr>
        <w:pStyle w:val="Sprotnaopomba-besedilo"/>
      </w:pPr>
      <w:r w:rsidRPr="00B11E33">
        <w:rPr>
          <w:rStyle w:val="Sprotnaopomba-sklic"/>
          <w:sz w:val="16"/>
          <w:szCs w:val="16"/>
        </w:rPr>
        <w:footnoteRef/>
      </w:r>
      <w:r w:rsidRPr="00B11E33">
        <w:rPr>
          <w:sz w:val="16"/>
          <w:szCs w:val="16"/>
        </w:rPr>
        <w:t xml:space="preserve"> </w:t>
      </w:r>
      <w:hyperlink r:id="rId10" w:history="1">
        <w:r w:rsidRPr="00B11E33">
          <w:rPr>
            <w:rStyle w:val="Hiperpovezava"/>
            <w:sz w:val="16"/>
            <w:szCs w:val="16"/>
          </w:rPr>
          <w:t>Integrirano varstvo rastlin - IVR</w:t>
        </w:r>
      </w:hyperlink>
    </w:p>
  </w:footnote>
  <w:footnote w:id="19">
    <w:p w14:paraId="63FE88D8" w14:textId="57EAC24D" w:rsidR="005733CF" w:rsidRPr="00132266" w:rsidRDefault="005733CF">
      <w:pPr>
        <w:pStyle w:val="Sprotnaopomba-besedilo"/>
        <w:rPr>
          <w:sz w:val="16"/>
          <w:szCs w:val="16"/>
        </w:rPr>
      </w:pPr>
      <w:r w:rsidRPr="00132266">
        <w:rPr>
          <w:rStyle w:val="Sprotnaopomba-sklic"/>
          <w:sz w:val="16"/>
          <w:szCs w:val="16"/>
        </w:rPr>
        <w:footnoteRef/>
      </w:r>
      <w:r w:rsidRPr="00132266">
        <w:rPr>
          <w:sz w:val="16"/>
          <w:szCs w:val="16"/>
        </w:rPr>
        <w:t xml:space="preserve"> </w:t>
      </w:r>
      <w:hyperlink r:id="rId11" w:history="1">
        <w:r w:rsidRPr="00132266">
          <w:rPr>
            <w:color w:val="0000FF"/>
            <w:sz w:val="16"/>
            <w:szCs w:val="16"/>
            <w:u w:val="single"/>
          </w:rPr>
          <w:t>PROGNOSTIČNA OBVESTILA (gov.si)</w:t>
        </w:r>
      </w:hyperlink>
    </w:p>
  </w:footnote>
  <w:footnote w:id="20">
    <w:p w14:paraId="12E3AA71" w14:textId="061F2DBD" w:rsidR="006522DC" w:rsidRPr="00132266" w:rsidRDefault="006522DC">
      <w:pPr>
        <w:pStyle w:val="Sprotnaopomba-besedilo"/>
        <w:rPr>
          <w:sz w:val="16"/>
          <w:szCs w:val="16"/>
        </w:rPr>
      </w:pPr>
      <w:r w:rsidRPr="00132266">
        <w:rPr>
          <w:rStyle w:val="Sprotnaopomba-sklic"/>
          <w:sz w:val="16"/>
          <w:szCs w:val="16"/>
        </w:rPr>
        <w:footnoteRef/>
      </w:r>
      <w:r w:rsidRPr="00132266">
        <w:rPr>
          <w:sz w:val="16"/>
          <w:szCs w:val="16"/>
        </w:rPr>
        <w:t xml:space="preserve"> </w:t>
      </w:r>
      <w:hyperlink r:id="rId12" w:history="1">
        <w:r w:rsidRPr="00132266">
          <w:rPr>
            <w:color w:val="0000FF"/>
            <w:sz w:val="16"/>
            <w:szCs w:val="16"/>
            <w:u w:val="single"/>
          </w:rPr>
          <w:t>Pest Monitoring and Forecasting - Trapview - Integrated Pest Management</w:t>
        </w:r>
      </w:hyperlink>
    </w:p>
  </w:footnote>
  <w:footnote w:id="21">
    <w:p w14:paraId="701AD725" w14:textId="6A8EFBA2" w:rsidR="006522DC" w:rsidRPr="006522DC" w:rsidRDefault="006522DC">
      <w:pPr>
        <w:pStyle w:val="Sprotnaopomba-besedilo"/>
      </w:pPr>
      <w:r w:rsidRPr="00132266">
        <w:rPr>
          <w:rStyle w:val="Sprotnaopomba-sklic"/>
          <w:sz w:val="16"/>
          <w:szCs w:val="16"/>
        </w:rPr>
        <w:footnoteRef/>
      </w:r>
      <w:r w:rsidRPr="00132266">
        <w:rPr>
          <w:sz w:val="16"/>
          <w:szCs w:val="16"/>
        </w:rPr>
        <w:t xml:space="preserve"> </w:t>
      </w:r>
      <w:hyperlink r:id="rId13" w:anchor=":~:text=Javna%20slu%C5%BEba%20zdravstvenega%20varstva%20rastlin%20izvaja%20naloge%20s,varstvenim%20ukrepom%20za%20obvladovanje%20bolezni%20in%20%C5%A1kodljivcev%20rastlin." w:history="1">
        <w:r w:rsidRPr="00132266">
          <w:rPr>
            <w:color w:val="0000FF"/>
            <w:sz w:val="16"/>
            <w:szCs w:val="16"/>
            <w:u w:val="single"/>
          </w:rPr>
          <w:t>Agrometeorološki portal Slovenije (gov.si)</w:t>
        </w:r>
      </w:hyperlink>
    </w:p>
  </w:footnote>
  <w:footnote w:id="22">
    <w:p w14:paraId="066E51F7" w14:textId="77777777" w:rsidR="00B11E33" w:rsidRDefault="00B11E33" w:rsidP="00B11E33">
      <w:pPr>
        <w:pStyle w:val="Sprotnaopomba-besedilo"/>
      </w:pPr>
      <w:r w:rsidRPr="00B11E33">
        <w:rPr>
          <w:rStyle w:val="Sprotnaopomba-sklic"/>
          <w:sz w:val="16"/>
          <w:szCs w:val="16"/>
        </w:rPr>
        <w:footnoteRef/>
      </w:r>
      <w:r w:rsidRPr="00B11E33">
        <w:rPr>
          <w:sz w:val="16"/>
          <w:szCs w:val="16"/>
        </w:rPr>
        <w:t xml:space="preserve"> Podatke se lahko pridobi na zaprosilo pri Upravi</w:t>
      </w:r>
    </w:p>
  </w:footnote>
  <w:footnote w:id="23">
    <w:p w14:paraId="3FA72F61" w14:textId="77777777" w:rsidR="004A1E09" w:rsidRPr="00601829" w:rsidRDefault="004A1E09" w:rsidP="004A1E09">
      <w:pPr>
        <w:pStyle w:val="Sprotnaopomba-besedilo"/>
        <w:rPr>
          <w:sz w:val="16"/>
          <w:szCs w:val="16"/>
        </w:rPr>
      </w:pPr>
      <w:r w:rsidRPr="00601829">
        <w:rPr>
          <w:rStyle w:val="Sprotnaopomba-sklic"/>
          <w:sz w:val="16"/>
          <w:szCs w:val="16"/>
        </w:rPr>
        <w:footnoteRef/>
      </w:r>
      <w:r w:rsidRPr="00601829">
        <w:rPr>
          <w:sz w:val="16"/>
          <w:szCs w:val="16"/>
        </w:rPr>
        <w:t xml:space="preserve"> IRSA: Analiza trga z ekološkimi živili v Republiki Sloveniji, 2022</w:t>
      </w:r>
    </w:p>
  </w:footnote>
  <w:footnote w:id="24">
    <w:p w14:paraId="2B4F7423" w14:textId="2F58D9F6" w:rsidR="00EB5465" w:rsidRPr="00EB5465" w:rsidRDefault="00EB5465">
      <w:pPr>
        <w:pStyle w:val="Sprotnaopomba-besedilo"/>
      </w:pPr>
      <w:r w:rsidRPr="00601829">
        <w:rPr>
          <w:rStyle w:val="Sprotnaopomba-sklic"/>
          <w:sz w:val="16"/>
          <w:szCs w:val="16"/>
        </w:rPr>
        <w:footnoteRef/>
      </w:r>
      <w:r w:rsidRPr="00601829">
        <w:rPr>
          <w:sz w:val="16"/>
          <w:szCs w:val="16"/>
        </w:rPr>
        <w:t xml:space="preserve"> MKPG: Akcijski načrt za razvoj ekološkega kmetijstva do leta 2027,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A3F" w14:textId="77777777" w:rsidR="00960783" w:rsidRDefault="00960783">
    <w:pPr>
      <w:pStyle w:val="Glava"/>
    </w:pPr>
    <w:r>
      <w:rPr>
        <w:noProof/>
      </w:rPr>
      <w:drawing>
        <wp:inline distT="0" distB="0" distL="0" distR="0" wp14:anchorId="143AD36F" wp14:editId="6899D414">
          <wp:extent cx="6300439" cy="2135299"/>
          <wp:effectExtent l="0" t="0" r="5715" b="0"/>
          <wp:docPr id="1" name="Slika 1" descr="http://portal.uvhvvr.sigov.si/int/html_uvhvvr/predloge/MKO_Veterinarska%20uprava%20R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al.uvhvvr.sigov.si/int/html_uvhvvr/predloge/MKO_Veterinarska%20uprava%20RS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604" cy="2152300"/>
                  </a:xfrm>
                  <a:prstGeom prst="rect">
                    <a:avLst/>
                  </a:prstGeom>
                  <a:noFill/>
                  <a:ln>
                    <a:noFill/>
                  </a:ln>
                </pic:spPr>
              </pic:pic>
            </a:graphicData>
          </a:graphic>
        </wp:inline>
      </w:drawing>
    </w:r>
  </w:p>
  <w:p w14:paraId="34CF26D8" w14:textId="77777777" w:rsidR="00960783" w:rsidRDefault="009607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1209"/>
    <w:multiLevelType w:val="hybridMultilevel"/>
    <w:tmpl w:val="54000A6A"/>
    <w:lvl w:ilvl="0" w:tplc="06FC64E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76D574D"/>
    <w:multiLevelType w:val="hybridMultilevel"/>
    <w:tmpl w:val="EDDE1048"/>
    <w:lvl w:ilvl="0" w:tplc="06FC64E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B84DB0"/>
    <w:multiLevelType w:val="hybridMultilevel"/>
    <w:tmpl w:val="6AEE846C"/>
    <w:lvl w:ilvl="0" w:tplc="06FC64E6">
      <w:start w:val="2"/>
      <w:numFmt w:val="bullet"/>
      <w:lvlText w:val="-"/>
      <w:lvlJc w:val="left"/>
      <w:pPr>
        <w:ind w:left="11" w:hanging="360"/>
      </w:pPr>
      <w:rPr>
        <w:rFonts w:ascii="Arial" w:eastAsia="Times New Roman" w:hAnsi="Arial" w:cs="Arial" w:hint="default"/>
      </w:rPr>
    </w:lvl>
    <w:lvl w:ilvl="1" w:tplc="04240003" w:tentative="1">
      <w:start w:val="1"/>
      <w:numFmt w:val="bullet"/>
      <w:lvlText w:val="o"/>
      <w:lvlJc w:val="left"/>
      <w:pPr>
        <w:ind w:left="731" w:hanging="360"/>
      </w:pPr>
      <w:rPr>
        <w:rFonts w:ascii="Courier New" w:hAnsi="Courier New" w:cs="Courier New" w:hint="default"/>
      </w:rPr>
    </w:lvl>
    <w:lvl w:ilvl="2" w:tplc="04240005" w:tentative="1">
      <w:start w:val="1"/>
      <w:numFmt w:val="bullet"/>
      <w:lvlText w:val=""/>
      <w:lvlJc w:val="left"/>
      <w:pPr>
        <w:ind w:left="1451" w:hanging="360"/>
      </w:pPr>
      <w:rPr>
        <w:rFonts w:ascii="Wingdings" w:hAnsi="Wingdings" w:hint="default"/>
      </w:rPr>
    </w:lvl>
    <w:lvl w:ilvl="3" w:tplc="04240001" w:tentative="1">
      <w:start w:val="1"/>
      <w:numFmt w:val="bullet"/>
      <w:lvlText w:val=""/>
      <w:lvlJc w:val="left"/>
      <w:pPr>
        <w:ind w:left="2171" w:hanging="360"/>
      </w:pPr>
      <w:rPr>
        <w:rFonts w:ascii="Symbol" w:hAnsi="Symbol" w:hint="default"/>
      </w:rPr>
    </w:lvl>
    <w:lvl w:ilvl="4" w:tplc="04240003" w:tentative="1">
      <w:start w:val="1"/>
      <w:numFmt w:val="bullet"/>
      <w:lvlText w:val="o"/>
      <w:lvlJc w:val="left"/>
      <w:pPr>
        <w:ind w:left="2891" w:hanging="360"/>
      </w:pPr>
      <w:rPr>
        <w:rFonts w:ascii="Courier New" w:hAnsi="Courier New" w:cs="Courier New" w:hint="default"/>
      </w:rPr>
    </w:lvl>
    <w:lvl w:ilvl="5" w:tplc="04240005" w:tentative="1">
      <w:start w:val="1"/>
      <w:numFmt w:val="bullet"/>
      <w:lvlText w:val=""/>
      <w:lvlJc w:val="left"/>
      <w:pPr>
        <w:ind w:left="3611" w:hanging="360"/>
      </w:pPr>
      <w:rPr>
        <w:rFonts w:ascii="Wingdings" w:hAnsi="Wingdings" w:hint="default"/>
      </w:rPr>
    </w:lvl>
    <w:lvl w:ilvl="6" w:tplc="04240001" w:tentative="1">
      <w:start w:val="1"/>
      <w:numFmt w:val="bullet"/>
      <w:lvlText w:val=""/>
      <w:lvlJc w:val="left"/>
      <w:pPr>
        <w:ind w:left="4331" w:hanging="360"/>
      </w:pPr>
      <w:rPr>
        <w:rFonts w:ascii="Symbol" w:hAnsi="Symbol" w:hint="default"/>
      </w:rPr>
    </w:lvl>
    <w:lvl w:ilvl="7" w:tplc="04240003" w:tentative="1">
      <w:start w:val="1"/>
      <w:numFmt w:val="bullet"/>
      <w:lvlText w:val="o"/>
      <w:lvlJc w:val="left"/>
      <w:pPr>
        <w:ind w:left="5051" w:hanging="360"/>
      </w:pPr>
      <w:rPr>
        <w:rFonts w:ascii="Courier New" w:hAnsi="Courier New" w:cs="Courier New" w:hint="default"/>
      </w:rPr>
    </w:lvl>
    <w:lvl w:ilvl="8" w:tplc="04240005" w:tentative="1">
      <w:start w:val="1"/>
      <w:numFmt w:val="bullet"/>
      <w:lvlText w:val=""/>
      <w:lvlJc w:val="left"/>
      <w:pPr>
        <w:ind w:left="5771" w:hanging="360"/>
      </w:pPr>
      <w:rPr>
        <w:rFonts w:ascii="Wingdings" w:hAnsi="Wingdings" w:hint="default"/>
      </w:rPr>
    </w:lvl>
  </w:abstractNum>
  <w:abstractNum w:abstractNumId="3" w15:restartNumberingAfterBreak="0">
    <w:nsid w:val="26430328"/>
    <w:multiLevelType w:val="hybridMultilevel"/>
    <w:tmpl w:val="20BE96BE"/>
    <w:lvl w:ilvl="0" w:tplc="243EC18E">
      <w:start w:val="2"/>
      <w:numFmt w:val="bullet"/>
      <w:lvlText w:val=""/>
      <w:lvlJc w:val="left"/>
      <w:pPr>
        <w:ind w:left="360" w:hanging="360"/>
      </w:pPr>
      <w:rPr>
        <w:rFonts w:ascii="Symbol" w:eastAsiaTheme="minorHAnsi" w:hAnsi="Symbol"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CFD168C"/>
    <w:multiLevelType w:val="hybridMultilevel"/>
    <w:tmpl w:val="54EAE7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614CBC"/>
    <w:multiLevelType w:val="hybridMultilevel"/>
    <w:tmpl w:val="3CECAD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385636"/>
    <w:multiLevelType w:val="hybridMultilevel"/>
    <w:tmpl w:val="E1BA20B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484951ED"/>
    <w:multiLevelType w:val="hybridMultilevel"/>
    <w:tmpl w:val="C9FEAF4A"/>
    <w:lvl w:ilvl="0" w:tplc="C298E1C8">
      <w:start w:val="1"/>
      <w:numFmt w:val="bullet"/>
      <w:pStyle w:val="zamik1"/>
      <w:lvlText w:val="­"/>
      <w:lvlJc w:val="left"/>
      <w:pPr>
        <w:ind w:left="360" w:hanging="360"/>
      </w:pPr>
      <w:rPr>
        <w:rFonts w:ascii="Times New Roman" w:hAnsi="Times New Roman" w:hint="default"/>
        <w:b w:val="0"/>
        <w:i w:val="0"/>
        <w:sz w:val="24"/>
        <w:szCs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A4942CB"/>
    <w:multiLevelType w:val="hybridMultilevel"/>
    <w:tmpl w:val="630095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0745114"/>
    <w:multiLevelType w:val="hybridMultilevel"/>
    <w:tmpl w:val="4716ACF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4181D93"/>
    <w:multiLevelType w:val="hybridMultilevel"/>
    <w:tmpl w:val="8EA6E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6206DA3"/>
    <w:multiLevelType w:val="hybridMultilevel"/>
    <w:tmpl w:val="902A37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B37497A"/>
    <w:multiLevelType w:val="hybridMultilevel"/>
    <w:tmpl w:val="361E7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DD63F96"/>
    <w:multiLevelType w:val="hybridMultilevel"/>
    <w:tmpl w:val="34D42BB4"/>
    <w:lvl w:ilvl="0" w:tplc="AB7057D6">
      <w:start w:val="1"/>
      <w:numFmt w:val="upp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num w:numId="1" w16cid:durableId="1318532049">
    <w:abstractNumId w:val="7"/>
  </w:num>
  <w:num w:numId="2" w16cid:durableId="151145831">
    <w:abstractNumId w:val="5"/>
  </w:num>
  <w:num w:numId="3" w16cid:durableId="799227783">
    <w:abstractNumId w:val="13"/>
  </w:num>
  <w:num w:numId="4" w16cid:durableId="1131434512">
    <w:abstractNumId w:val="11"/>
  </w:num>
  <w:num w:numId="5" w16cid:durableId="1481849891">
    <w:abstractNumId w:val="8"/>
  </w:num>
  <w:num w:numId="6" w16cid:durableId="1885828660">
    <w:abstractNumId w:val="9"/>
  </w:num>
  <w:num w:numId="7" w16cid:durableId="1357657766">
    <w:abstractNumId w:val="4"/>
  </w:num>
  <w:num w:numId="8" w16cid:durableId="1498612862">
    <w:abstractNumId w:val="10"/>
  </w:num>
  <w:num w:numId="9" w16cid:durableId="1842770937">
    <w:abstractNumId w:val="2"/>
  </w:num>
  <w:num w:numId="10" w16cid:durableId="883299576">
    <w:abstractNumId w:val="3"/>
  </w:num>
  <w:num w:numId="11" w16cid:durableId="1408649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0663737">
    <w:abstractNumId w:val="12"/>
  </w:num>
  <w:num w:numId="13" w16cid:durableId="96221355">
    <w:abstractNumId w:val="1"/>
  </w:num>
  <w:num w:numId="14" w16cid:durableId="1554452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85"/>
    <w:rsid w:val="0000095E"/>
    <w:rsid w:val="00000A2F"/>
    <w:rsid w:val="00001700"/>
    <w:rsid w:val="00001CA1"/>
    <w:rsid w:val="00003213"/>
    <w:rsid w:val="00004268"/>
    <w:rsid w:val="000052A0"/>
    <w:rsid w:val="00005B7C"/>
    <w:rsid w:val="00010B40"/>
    <w:rsid w:val="00010CCD"/>
    <w:rsid w:val="00012806"/>
    <w:rsid w:val="00013898"/>
    <w:rsid w:val="0001449A"/>
    <w:rsid w:val="00015240"/>
    <w:rsid w:val="00015A1F"/>
    <w:rsid w:val="00015CB7"/>
    <w:rsid w:val="00015CDC"/>
    <w:rsid w:val="00020E77"/>
    <w:rsid w:val="00023ED0"/>
    <w:rsid w:val="000246AA"/>
    <w:rsid w:val="00027120"/>
    <w:rsid w:val="00027E6E"/>
    <w:rsid w:val="00031203"/>
    <w:rsid w:val="0003183D"/>
    <w:rsid w:val="00032116"/>
    <w:rsid w:val="00033A43"/>
    <w:rsid w:val="000352E1"/>
    <w:rsid w:val="000361B7"/>
    <w:rsid w:val="0004269D"/>
    <w:rsid w:val="00043B49"/>
    <w:rsid w:val="00043F80"/>
    <w:rsid w:val="00045618"/>
    <w:rsid w:val="00051B45"/>
    <w:rsid w:val="00052154"/>
    <w:rsid w:val="00052AD8"/>
    <w:rsid w:val="00053787"/>
    <w:rsid w:val="0005414A"/>
    <w:rsid w:val="00055C09"/>
    <w:rsid w:val="000562FA"/>
    <w:rsid w:val="00057162"/>
    <w:rsid w:val="0006166B"/>
    <w:rsid w:val="0006188D"/>
    <w:rsid w:val="00066489"/>
    <w:rsid w:val="00066C59"/>
    <w:rsid w:val="00070751"/>
    <w:rsid w:val="00070C21"/>
    <w:rsid w:val="000713B9"/>
    <w:rsid w:val="00071461"/>
    <w:rsid w:val="00080594"/>
    <w:rsid w:val="000808E8"/>
    <w:rsid w:val="000819A1"/>
    <w:rsid w:val="00083517"/>
    <w:rsid w:val="0008586F"/>
    <w:rsid w:val="00086899"/>
    <w:rsid w:val="0008696C"/>
    <w:rsid w:val="000909F0"/>
    <w:rsid w:val="00093604"/>
    <w:rsid w:val="0009466F"/>
    <w:rsid w:val="0009699D"/>
    <w:rsid w:val="00096AEA"/>
    <w:rsid w:val="00097215"/>
    <w:rsid w:val="00097853"/>
    <w:rsid w:val="00097890"/>
    <w:rsid w:val="000A1A36"/>
    <w:rsid w:val="000A1EE2"/>
    <w:rsid w:val="000A2F00"/>
    <w:rsid w:val="000A340B"/>
    <w:rsid w:val="000A45F1"/>
    <w:rsid w:val="000A507F"/>
    <w:rsid w:val="000A5199"/>
    <w:rsid w:val="000A5590"/>
    <w:rsid w:val="000A56CE"/>
    <w:rsid w:val="000A5792"/>
    <w:rsid w:val="000B0167"/>
    <w:rsid w:val="000B02CF"/>
    <w:rsid w:val="000B04DE"/>
    <w:rsid w:val="000B057B"/>
    <w:rsid w:val="000B1F0A"/>
    <w:rsid w:val="000B26DA"/>
    <w:rsid w:val="000B4A6A"/>
    <w:rsid w:val="000B4FEF"/>
    <w:rsid w:val="000B590E"/>
    <w:rsid w:val="000B6183"/>
    <w:rsid w:val="000B79D5"/>
    <w:rsid w:val="000C0493"/>
    <w:rsid w:val="000C2458"/>
    <w:rsid w:val="000C3EA7"/>
    <w:rsid w:val="000C465D"/>
    <w:rsid w:val="000C5C49"/>
    <w:rsid w:val="000C71FD"/>
    <w:rsid w:val="000C7811"/>
    <w:rsid w:val="000D1CFC"/>
    <w:rsid w:val="000D2557"/>
    <w:rsid w:val="000D26F7"/>
    <w:rsid w:val="000D2DEB"/>
    <w:rsid w:val="000D3614"/>
    <w:rsid w:val="000D50FB"/>
    <w:rsid w:val="000D5A29"/>
    <w:rsid w:val="000E0151"/>
    <w:rsid w:val="000E05B8"/>
    <w:rsid w:val="000E0AA7"/>
    <w:rsid w:val="000E110D"/>
    <w:rsid w:val="000E1980"/>
    <w:rsid w:val="000E222C"/>
    <w:rsid w:val="000E45DD"/>
    <w:rsid w:val="000E5399"/>
    <w:rsid w:val="000E56D9"/>
    <w:rsid w:val="000E576E"/>
    <w:rsid w:val="000E5E74"/>
    <w:rsid w:val="000F21F4"/>
    <w:rsid w:val="000F2FB0"/>
    <w:rsid w:val="000F309A"/>
    <w:rsid w:val="000F5692"/>
    <w:rsid w:val="00100884"/>
    <w:rsid w:val="0010213F"/>
    <w:rsid w:val="001037C8"/>
    <w:rsid w:val="00107687"/>
    <w:rsid w:val="00107F24"/>
    <w:rsid w:val="00110784"/>
    <w:rsid w:val="00111704"/>
    <w:rsid w:val="001122E9"/>
    <w:rsid w:val="00114243"/>
    <w:rsid w:val="00114BAF"/>
    <w:rsid w:val="001163B5"/>
    <w:rsid w:val="001168FC"/>
    <w:rsid w:val="00117441"/>
    <w:rsid w:val="00117A85"/>
    <w:rsid w:val="00120456"/>
    <w:rsid w:val="001208A4"/>
    <w:rsid w:val="00122B61"/>
    <w:rsid w:val="00123E94"/>
    <w:rsid w:val="0012463E"/>
    <w:rsid w:val="0012477E"/>
    <w:rsid w:val="00124CE2"/>
    <w:rsid w:val="00124EA0"/>
    <w:rsid w:val="001307F8"/>
    <w:rsid w:val="00130DBA"/>
    <w:rsid w:val="00132266"/>
    <w:rsid w:val="00133D58"/>
    <w:rsid w:val="00134DB7"/>
    <w:rsid w:val="00137601"/>
    <w:rsid w:val="00140FC3"/>
    <w:rsid w:val="00142129"/>
    <w:rsid w:val="00144451"/>
    <w:rsid w:val="00144EE4"/>
    <w:rsid w:val="001456BC"/>
    <w:rsid w:val="00145985"/>
    <w:rsid w:val="0014664F"/>
    <w:rsid w:val="001468B6"/>
    <w:rsid w:val="001472AA"/>
    <w:rsid w:val="001504B6"/>
    <w:rsid w:val="00151A13"/>
    <w:rsid w:val="00152F66"/>
    <w:rsid w:val="00153228"/>
    <w:rsid w:val="0015324E"/>
    <w:rsid w:val="001542C8"/>
    <w:rsid w:val="00155E87"/>
    <w:rsid w:val="00161F71"/>
    <w:rsid w:val="00162F31"/>
    <w:rsid w:val="001632AA"/>
    <w:rsid w:val="00166112"/>
    <w:rsid w:val="001671F4"/>
    <w:rsid w:val="00170079"/>
    <w:rsid w:val="00170BB9"/>
    <w:rsid w:val="001718F1"/>
    <w:rsid w:val="001729E3"/>
    <w:rsid w:val="00173F29"/>
    <w:rsid w:val="00174121"/>
    <w:rsid w:val="00175D77"/>
    <w:rsid w:val="001764E2"/>
    <w:rsid w:val="0017705D"/>
    <w:rsid w:val="00181BAD"/>
    <w:rsid w:val="001850B7"/>
    <w:rsid w:val="001868A7"/>
    <w:rsid w:val="001917E6"/>
    <w:rsid w:val="00192953"/>
    <w:rsid w:val="00192D6A"/>
    <w:rsid w:val="001930CC"/>
    <w:rsid w:val="00193F5C"/>
    <w:rsid w:val="001947CE"/>
    <w:rsid w:val="0019503F"/>
    <w:rsid w:val="00195A69"/>
    <w:rsid w:val="001A0481"/>
    <w:rsid w:val="001A0C03"/>
    <w:rsid w:val="001A428B"/>
    <w:rsid w:val="001A4BC5"/>
    <w:rsid w:val="001A4E4D"/>
    <w:rsid w:val="001A4E6F"/>
    <w:rsid w:val="001A72FB"/>
    <w:rsid w:val="001A7A37"/>
    <w:rsid w:val="001B1166"/>
    <w:rsid w:val="001B1167"/>
    <w:rsid w:val="001B19CF"/>
    <w:rsid w:val="001B1AEF"/>
    <w:rsid w:val="001B3957"/>
    <w:rsid w:val="001B5017"/>
    <w:rsid w:val="001B5130"/>
    <w:rsid w:val="001B5CC7"/>
    <w:rsid w:val="001B720B"/>
    <w:rsid w:val="001B7899"/>
    <w:rsid w:val="001C020E"/>
    <w:rsid w:val="001C2DCD"/>
    <w:rsid w:val="001C4691"/>
    <w:rsid w:val="001C48FA"/>
    <w:rsid w:val="001C4A4E"/>
    <w:rsid w:val="001C53E2"/>
    <w:rsid w:val="001C65DC"/>
    <w:rsid w:val="001C66A1"/>
    <w:rsid w:val="001D217F"/>
    <w:rsid w:val="001D2ED0"/>
    <w:rsid w:val="001D62F4"/>
    <w:rsid w:val="001D7CCB"/>
    <w:rsid w:val="001E1886"/>
    <w:rsid w:val="001E2D86"/>
    <w:rsid w:val="001E3BCD"/>
    <w:rsid w:val="001E4117"/>
    <w:rsid w:val="001E523B"/>
    <w:rsid w:val="001F000B"/>
    <w:rsid w:val="001F11FE"/>
    <w:rsid w:val="001F1531"/>
    <w:rsid w:val="001F1BAA"/>
    <w:rsid w:val="001F4A75"/>
    <w:rsid w:val="001F50A0"/>
    <w:rsid w:val="001F5472"/>
    <w:rsid w:val="001F5CAB"/>
    <w:rsid w:val="001F6317"/>
    <w:rsid w:val="001F6712"/>
    <w:rsid w:val="001F7521"/>
    <w:rsid w:val="002002B1"/>
    <w:rsid w:val="0020054E"/>
    <w:rsid w:val="00201684"/>
    <w:rsid w:val="00206323"/>
    <w:rsid w:val="00207350"/>
    <w:rsid w:val="00211C05"/>
    <w:rsid w:val="00211FB3"/>
    <w:rsid w:val="0021283E"/>
    <w:rsid w:val="002135B9"/>
    <w:rsid w:val="00214AB7"/>
    <w:rsid w:val="00215852"/>
    <w:rsid w:val="002159B5"/>
    <w:rsid w:val="00220DD5"/>
    <w:rsid w:val="002210F0"/>
    <w:rsid w:val="002214F0"/>
    <w:rsid w:val="00221DF3"/>
    <w:rsid w:val="002231D8"/>
    <w:rsid w:val="002233FA"/>
    <w:rsid w:val="00226698"/>
    <w:rsid w:val="00227117"/>
    <w:rsid w:val="0022729F"/>
    <w:rsid w:val="002312DD"/>
    <w:rsid w:val="0023248F"/>
    <w:rsid w:val="00232591"/>
    <w:rsid w:val="00232A4E"/>
    <w:rsid w:val="00233B98"/>
    <w:rsid w:val="00234E7C"/>
    <w:rsid w:val="00236E78"/>
    <w:rsid w:val="00237B54"/>
    <w:rsid w:val="00240C60"/>
    <w:rsid w:val="00240D63"/>
    <w:rsid w:val="002435D1"/>
    <w:rsid w:val="00244479"/>
    <w:rsid w:val="002444D4"/>
    <w:rsid w:val="00244703"/>
    <w:rsid w:val="0024486A"/>
    <w:rsid w:val="00245456"/>
    <w:rsid w:val="00245D30"/>
    <w:rsid w:val="00245E2C"/>
    <w:rsid w:val="00252839"/>
    <w:rsid w:val="00252C72"/>
    <w:rsid w:val="002536B7"/>
    <w:rsid w:val="0025458B"/>
    <w:rsid w:val="00254D97"/>
    <w:rsid w:val="00255F76"/>
    <w:rsid w:val="00256D7D"/>
    <w:rsid w:val="0025714A"/>
    <w:rsid w:val="0025756D"/>
    <w:rsid w:val="00260AC7"/>
    <w:rsid w:val="00260F49"/>
    <w:rsid w:val="00261614"/>
    <w:rsid w:val="00261A8D"/>
    <w:rsid w:val="00262306"/>
    <w:rsid w:val="00262F5D"/>
    <w:rsid w:val="00262FEE"/>
    <w:rsid w:val="002630AD"/>
    <w:rsid w:val="002639BA"/>
    <w:rsid w:val="00265F2F"/>
    <w:rsid w:val="002671E3"/>
    <w:rsid w:val="00270A64"/>
    <w:rsid w:val="00271F4C"/>
    <w:rsid w:val="00273A30"/>
    <w:rsid w:val="00273CEC"/>
    <w:rsid w:val="002743D9"/>
    <w:rsid w:val="00274C14"/>
    <w:rsid w:val="00274E95"/>
    <w:rsid w:val="0027514C"/>
    <w:rsid w:val="00275350"/>
    <w:rsid w:val="00276B24"/>
    <w:rsid w:val="00277E6B"/>
    <w:rsid w:val="00277F56"/>
    <w:rsid w:val="002824F8"/>
    <w:rsid w:val="002826AB"/>
    <w:rsid w:val="002828E4"/>
    <w:rsid w:val="0028336E"/>
    <w:rsid w:val="002837D6"/>
    <w:rsid w:val="00285C36"/>
    <w:rsid w:val="00286BDE"/>
    <w:rsid w:val="00290217"/>
    <w:rsid w:val="002914A6"/>
    <w:rsid w:val="00293CCE"/>
    <w:rsid w:val="0029421F"/>
    <w:rsid w:val="00294D53"/>
    <w:rsid w:val="002A2EB4"/>
    <w:rsid w:val="002A464A"/>
    <w:rsid w:val="002A4B17"/>
    <w:rsid w:val="002A53C4"/>
    <w:rsid w:val="002A5706"/>
    <w:rsid w:val="002A6B6A"/>
    <w:rsid w:val="002A6C92"/>
    <w:rsid w:val="002B1130"/>
    <w:rsid w:val="002B420F"/>
    <w:rsid w:val="002B570E"/>
    <w:rsid w:val="002B5909"/>
    <w:rsid w:val="002B5B5E"/>
    <w:rsid w:val="002B694E"/>
    <w:rsid w:val="002B7536"/>
    <w:rsid w:val="002C1E30"/>
    <w:rsid w:val="002C38D1"/>
    <w:rsid w:val="002C5689"/>
    <w:rsid w:val="002C60EE"/>
    <w:rsid w:val="002C6599"/>
    <w:rsid w:val="002C732E"/>
    <w:rsid w:val="002C7C3B"/>
    <w:rsid w:val="002D1519"/>
    <w:rsid w:val="002D15FF"/>
    <w:rsid w:val="002D315C"/>
    <w:rsid w:val="002D5087"/>
    <w:rsid w:val="002D5BD0"/>
    <w:rsid w:val="002D68E4"/>
    <w:rsid w:val="002D6BF5"/>
    <w:rsid w:val="002D715B"/>
    <w:rsid w:val="002D7851"/>
    <w:rsid w:val="002E01FC"/>
    <w:rsid w:val="002E11D4"/>
    <w:rsid w:val="002E2EDD"/>
    <w:rsid w:val="002E3EEF"/>
    <w:rsid w:val="002E4093"/>
    <w:rsid w:val="002E4A7B"/>
    <w:rsid w:val="002E501B"/>
    <w:rsid w:val="002E57D3"/>
    <w:rsid w:val="002E5EE9"/>
    <w:rsid w:val="002E75B8"/>
    <w:rsid w:val="002E7768"/>
    <w:rsid w:val="002E7A37"/>
    <w:rsid w:val="002F008C"/>
    <w:rsid w:val="002F1E0E"/>
    <w:rsid w:val="002F1F70"/>
    <w:rsid w:val="002F22A5"/>
    <w:rsid w:val="002F22CE"/>
    <w:rsid w:val="002F3AA2"/>
    <w:rsid w:val="002F49A7"/>
    <w:rsid w:val="002F6F80"/>
    <w:rsid w:val="00300595"/>
    <w:rsid w:val="003007D1"/>
    <w:rsid w:val="003014ED"/>
    <w:rsid w:val="00302386"/>
    <w:rsid w:val="00303F09"/>
    <w:rsid w:val="0030422C"/>
    <w:rsid w:val="00304275"/>
    <w:rsid w:val="0030562A"/>
    <w:rsid w:val="00306840"/>
    <w:rsid w:val="0031042F"/>
    <w:rsid w:val="00310502"/>
    <w:rsid w:val="003115F2"/>
    <w:rsid w:val="00313FA4"/>
    <w:rsid w:val="00314F5F"/>
    <w:rsid w:val="003150A7"/>
    <w:rsid w:val="00316387"/>
    <w:rsid w:val="0031648E"/>
    <w:rsid w:val="00316CC8"/>
    <w:rsid w:val="003170C8"/>
    <w:rsid w:val="003211B4"/>
    <w:rsid w:val="00321CC9"/>
    <w:rsid w:val="00321FE3"/>
    <w:rsid w:val="003228A0"/>
    <w:rsid w:val="00323A54"/>
    <w:rsid w:val="00324028"/>
    <w:rsid w:val="003244B6"/>
    <w:rsid w:val="00325044"/>
    <w:rsid w:val="00326E21"/>
    <w:rsid w:val="0032742E"/>
    <w:rsid w:val="00327608"/>
    <w:rsid w:val="003276A7"/>
    <w:rsid w:val="00327943"/>
    <w:rsid w:val="00330E93"/>
    <w:rsid w:val="003323A9"/>
    <w:rsid w:val="00333F33"/>
    <w:rsid w:val="00335C8A"/>
    <w:rsid w:val="00336175"/>
    <w:rsid w:val="00336C82"/>
    <w:rsid w:val="00336F27"/>
    <w:rsid w:val="00337117"/>
    <w:rsid w:val="00337349"/>
    <w:rsid w:val="003377A7"/>
    <w:rsid w:val="003379D3"/>
    <w:rsid w:val="00337D89"/>
    <w:rsid w:val="00340487"/>
    <w:rsid w:val="00340BED"/>
    <w:rsid w:val="00340C39"/>
    <w:rsid w:val="00345508"/>
    <w:rsid w:val="00352010"/>
    <w:rsid w:val="00352815"/>
    <w:rsid w:val="003539D0"/>
    <w:rsid w:val="00354763"/>
    <w:rsid w:val="003549FD"/>
    <w:rsid w:val="00355B1D"/>
    <w:rsid w:val="0035625E"/>
    <w:rsid w:val="003573FC"/>
    <w:rsid w:val="0036040E"/>
    <w:rsid w:val="00361841"/>
    <w:rsid w:val="00361D04"/>
    <w:rsid w:val="0036307E"/>
    <w:rsid w:val="0036383D"/>
    <w:rsid w:val="00363904"/>
    <w:rsid w:val="00366843"/>
    <w:rsid w:val="003678B1"/>
    <w:rsid w:val="0037037E"/>
    <w:rsid w:val="003713AC"/>
    <w:rsid w:val="003715FF"/>
    <w:rsid w:val="003730FA"/>
    <w:rsid w:val="00373D86"/>
    <w:rsid w:val="00376B37"/>
    <w:rsid w:val="00376F69"/>
    <w:rsid w:val="003779B3"/>
    <w:rsid w:val="00380239"/>
    <w:rsid w:val="003833C2"/>
    <w:rsid w:val="00383FF4"/>
    <w:rsid w:val="00386339"/>
    <w:rsid w:val="00386852"/>
    <w:rsid w:val="00387D94"/>
    <w:rsid w:val="00390C72"/>
    <w:rsid w:val="00391C24"/>
    <w:rsid w:val="00392E47"/>
    <w:rsid w:val="0039337B"/>
    <w:rsid w:val="003933FD"/>
    <w:rsid w:val="0039360E"/>
    <w:rsid w:val="003949D7"/>
    <w:rsid w:val="00396017"/>
    <w:rsid w:val="00396655"/>
    <w:rsid w:val="0039665E"/>
    <w:rsid w:val="00396953"/>
    <w:rsid w:val="003973F7"/>
    <w:rsid w:val="003A1200"/>
    <w:rsid w:val="003A2C18"/>
    <w:rsid w:val="003A3470"/>
    <w:rsid w:val="003A34F9"/>
    <w:rsid w:val="003A369F"/>
    <w:rsid w:val="003A3CF2"/>
    <w:rsid w:val="003B0000"/>
    <w:rsid w:val="003B0223"/>
    <w:rsid w:val="003B1EA6"/>
    <w:rsid w:val="003B2195"/>
    <w:rsid w:val="003B2879"/>
    <w:rsid w:val="003B3002"/>
    <w:rsid w:val="003B31C3"/>
    <w:rsid w:val="003B5374"/>
    <w:rsid w:val="003B5E9D"/>
    <w:rsid w:val="003B7C9A"/>
    <w:rsid w:val="003C2A19"/>
    <w:rsid w:val="003C4C01"/>
    <w:rsid w:val="003C572F"/>
    <w:rsid w:val="003C7362"/>
    <w:rsid w:val="003C73CD"/>
    <w:rsid w:val="003C7A95"/>
    <w:rsid w:val="003C7DC3"/>
    <w:rsid w:val="003D138E"/>
    <w:rsid w:val="003D23A7"/>
    <w:rsid w:val="003D3549"/>
    <w:rsid w:val="003D3B0A"/>
    <w:rsid w:val="003D47F9"/>
    <w:rsid w:val="003D4976"/>
    <w:rsid w:val="003D4FB6"/>
    <w:rsid w:val="003D53FB"/>
    <w:rsid w:val="003D5F0F"/>
    <w:rsid w:val="003D60A0"/>
    <w:rsid w:val="003D6AB3"/>
    <w:rsid w:val="003D6CCE"/>
    <w:rsid w:val="003D76AF"/>
    <w:rsid w:val="003E00AE"/>
    <w:rsid w:val="003E1DA0"/>
    <w:rsid w:val="003E3DE8"/>
    <w:rsid w:val="003E5DBA"/>
    <w:rsid w:val="003E65FD"/>
    <w:rsid w:val="003E7211"/>
    <w:rsid w:val="003F0E46"/>
    <w:rsid w:val="003F22E1"/>
    <w:rsid w:val="003F28E8"/>
    <w:rsid w:val="003F2CBF"/>
    <w:rsid w:val="003F2D93"/>
    <w:rsid w:val="003F3AE2"/>
    <w:rsid w:val="003F3CED"/>
    <w:rsid w:val="003F48AA"/>
    <w:rsid w:val="003F53BA"/>
    <w:rsid w:val="003F55EB"/>
    <w:rsid w:val="003F573A"/>
    <w:rsid w:val="003F5B15"/>
    <w:rsid w:val="003F6153"/>
    <w:rsid w:val="003F6447"/>
    <w:rsid w:val="004008B6"/>
    <w:rsid w:val="00401F37"/>
    <w:rsid w:val="00403524"/>
    <w:rsid w:val="004035C5"/>
    <w:rsid w:val="00403932"/>
    <w:rsid w:val="0040403C"/>
    <w:rsid w:val="00405296"/>
    <w:rsid w:val="00405DAC"/>
    <w:rsid w:val="00405DC5"/>
    <w:rsid w:val="00405E19"/>
    <w:rsid w:val="00407D00"/>
    <w:rsid w:val="004109A0"/>
    <w:rsid w:val="00411EED"/>
    <w:rsid w:val="00413E17"/>
    <w:rsid w:val="0041512F"/>
    <w:rsid w:val="00416BA1"/>
    <w:rsid w:val="00416F61"/>
    <w:rsid w:val="00417F90"/>
    <w:rsid w:val="00420B60"/>
    <w:rsid w:val="00420C8B"/>
    <w:rsid w:val="00422939"/>
    <w:rsid w:val="00422A43"/>
    <w:rsid w:val="00423D0D"/>
    <w:rsid w:val="00423DCD"/>
    <w:rsid w:val="00426900"/>
    <w:rsid w:val="00427866"/>
    <w:rsid w:val="00427C1C"/>
    <w:rsid w:val="004318FC"/>
    <w:rsid w:val="00431A1D"/>
    <w:rsid w:val="00431D61"/>
    <w:rsid w:val="00432541"/>
    <w:rsid w:val="00432C19"/>
    <w:rsid w:val="0043303F"/>
    <w:rsid w:val="00434675"/>
    <w:rsid w:val="004346E7"/>
    <w:rsid w:val="00434AAF"/>
    <w:rsid w:val="0043591C"/>
    <w:rsid w:val="0043621F"/>
    <w:rsid w:val="00436CD8"/>
    <w:rsid w:val="00437FBF"/>
    <w:rsid w:val="00442420"/>
    <w:rsid w:val="00442D56"/>
    <w:rsid w:val="004434C3"/>
    <w:rsid w:val="00444805"/>
    <w:rsid w:val="00446611"/>
    <w:rsid w:val="004472B9"/>
    <w:rsid w:val="004512D4"/>
    <w:rsid w:val="00452F69"/>
    <w:rsid w:val="00453234"/>
    <w:rsid w:val="0045324A"/>
    <w:rsid w:val="00453F48"/>
    <w:rsid w:val="004544E7"/>
    <w:rsid w:val="00454E73"/>
    <w:rsid w:val="00455460"/>
    <w:rsid w:val="00455C4B"/>
    <w:rsid w:val="004659B5"/>
    <w:rsid w:val="0047043A"/>
    <w:rsid w:val="00471B30"/>
    <w:rsid w:val="00472991"/>
    <w:rsid w:val="00473022"/>
    <w:rsid w:val="004734D5"/>
    <w:rsid w:val="00474902"/>
    <w:rsid w:val="00476134"/>
    <w:rsid w:val="00477787"/>
    <w:rsid w:val="00482401"/>
    <w:rsid w:val="00483AD9"/>
    <w:rsid w:val="00485051"/>
    <w:rsid w:val="004854A1"/>
    <w:rsid w:val="0048567C"/>
    <w:rsid w:val="00485E81"/>
    <w:rsid w:val="0048669F"/>
    <w:rsid w:val="00492A90"/>
    <w:rsid w:val="004935E3"/>
    <w:rsid w:val="004956C3"/>
    <w:rsid w:val="00495793"/>
    <w:rsid w:val="00495EC8"/>
    <w:rsid w:val="00496619"/>
    <w:rsid w:val="00496D70"/>
    <w:rsid w:val="004A0201"/>
    <w:rsid w:val="004A0297"/>
    <w:rsid w:val="004A1E09"/>
    <w:rsid w:val="004A20B0"/>
    <w:rsid w:val="004A3B8E"/>
    <w:rsid w:val="004A40A0"/>
    <w:rsid w:val="004A516C"/>
    <w:rsid w:val="004B1475"/>
    <w:rsid w:val="004B2BDF"/>
    <w:rsid w:val="004B4692"/>
    <w:rsid w:val="004B67D5"/>
    <w:rsid w:val="004B720C"/>
    <w:rsid w:val="004C058E"/>
    <w:rsid w:val="004C0A13"/>
    <w:rsid w:val="004C0BEF"/>
    <w:rsid w:val="004C10CA"/>
    <w:rsid w:val="004C2415"/>
    <w:rsid w:val="004C2AA4"/>
    <w:rsid w:val="004C2E5B"/>
    <w:rsid w:val="004C38CF"/>
    <w:rsid w:val="004C3FE1"/>
    <w:rsid w:val="004C4559"/>
    <w:rsid w:val="004C4CD1"/>
    <w:rsid w:val="004C6D44"/>
    <w:rsid w:val="004C7E6D"/>
    <w:rsid w:val="004D0952"/>
    <w:rsid w:val="004D1525"/>
    <w:rsid w:val="004D1C10"/>
    <w:rsid w:val="004D230E"/>
    <w:rsid w:val="004D2542"/>
    <w:rsid w:val="004D477A"/>
    <w:rsid w:val="004D665D"/>
    <w:rsid w:val="004D7275"/>
    <w:rsid w:val="004E1D8B"/>
    <w:rsid w:val="004E31E3"/>
    <w:rsid w:val="004E495B"/>
    <w:rsid w:val="004E49F8"/>
    <w:rsid w:val="004E5B17"/>
    <w:rsid w:val="004E7479"/>
    <w:rsid w:val="004E75FF"/>
    <w:rsid w:val="004F0088"/>
    <w:rsid w:val="004F0C36"/>
    <w:rsid w:val="004F1CDE"/>
    <w:rsid w:val="004F25A5"/>
    <w:rsid w:val="004F3723"/>
    <w:rsid w:val="004F3D33"/>
    <w:rsid w:val="004F6840"/>
    <w:rsid w:val="004F6FC3"/>
    <w:rsid w:val="004F738C"/>
    <w:rsid w:val="00500377"/>
    <w:rsid w:val="00500B76"/>
    <w:rsid w:val="00500F38"/>
    <w:rsid w:val="00501453"/>
    <w:rsid w:val="00502110"/>
    <w:rsid w:val="00502A9A"/>
    <w:rsid w:val="0050495B"/>
    <w:rsid w:val="005052EE"/>
    <w:rsid w:val="00512A00"/>
    <w:rsid w:val="00514EFD"/>
    <w:rsid w:val="00516927"/>
    <w:rsid w:val="00522A9E"/>
    <w:rsid w:val="0052386A"/>
    <w:rsid w:val="00523AD3"/>
    <w:rsid w:val="00525E75"/>
    <w:rsid w:val="005305A8"/>
    <w:rsid w:val="005320D6"/>
    <w:rsid w:val="00532264"/>
    <w:rsid w:val="0053332A"/>
    <w:rsid w:val="00533ABD"/>
    <w:rsid w:val="00533B7B"/>
    <w:rsid w:val="00534E06"/>
    <w:rsid w:val="00535C80"/>
    <w:rsid w:val="00535DA8"/>
    <w:rsid w:val="00535E8C"/>
    <w:rsid w:val="00537AAC"/>
    <w:rsid w:val="005473AB"/>
    <w:rsid w:val="0055095B"/>
    <w:rsid w:val="00551508"/>
    <w:rsid w:val="00551AD0"/>
    <w:rsid w:val="0055438C"/>
    <w:rsid w:val="005544E9"/>
    <w:rsid w:val="0055572B"/>
    <w:rsid w:val="005567BB"/>
    <w:rsid w:val="0055736D"/>
    <w:rsid w:val="00557BDC"/>
    <w:rsid w:val="00561A2E"/>
    <w:rsid w:val="00561DC0"/>
    <w:rsid w:val="00562096"/>
    <w:rsid w:val="0056224E"/>
    <w:rsid w:val="005624C2"/>
    <w:rsid w:val="00562E60"/>
    <w:rsid w:val="0056568C"/>
    <w:rsid w:val="00565D8F"/>
    <w:rsid w:val="005662A6"/>
    <w:rsid w:val="00566737"/>
    <w:rsid w:val="00566B7D"/>
    <w:rsid w:val="00571107"/>
    <w:rsid w:val="00572184"/>
    <w:rsid w:val="0057281D"/>
    <w:rsid w:val="005733CF"/>
    <w:rsid w:val="00573434"/>
    <w:rsid w:val="00574993"/>
    <w:rsid w:val="005766B2"/>
    <w:rsid w:val="00577FCB"/>
    <w:rsid w:val="005803FF"/>
    <w:rsid w:val="00581468"/>
    <w:rsid w:val="00581792"/>
    <w:rsid w:val="00584B11"/>
    <w:rsid w:val="00585F6F"/>
    <w:rsid w:val="005878E1"/>
    <w:rsid w:val="00590BC6"/>
    <w:rsid w:val="005910CB"/>
    <w:rsid w:val="00592BEC"/>
    <w:rsid w:val="005934D4"/>
    <w:rsid w:val="00595DD6"/>
    <w:rsid w:val="00596704"/>
    <w:rsid w:val="00597265"/>
    <w:rsid w:val="005A33C9"/>
    <w:rsid w:val="005A3AE0"/>
    <w:rsid w:val="005A3C71"/>
    <w:rsid w:val="005A414B"/>
    <w:rsid w:val="005A4D55"/>
    <w:rsid w:val="005A6032"/>
    <w:rsid w:val="005A74EB"/>
    <w:rsid w:val="005B2CE5"/>
    <w:rsid w:val="005B2E68"/>
    <w:rsid w:val="005B2FF3"/>
    <w:rsid w:val="005B4290"/>
    <w:rsid w:val="005B55E7"/>
    <w:rsid w:val="005B5EAE"/>
    <w:rsid w:val="005B6130"/>
    <w:rsid w:val="005B6991"/>
    <w:rsid w:val="005C1616"/>
    <w:rsid w:val="005C291B"/>
    <w:rsid w:val="005C7A4C"/>
    <w:rsid w:val="005D1579"/>
    <w:rsid w:val="005D34D7"/>
    <w:rsid w:val="005D3AC4"/>
    <w:rsid w:val="005D5C65"/>
    <w:rsid w:val="005D6A41"/>
    <w:rsid w:val="005E0DFF"/>
    <w:rsid w:val="005E0F9D"/>
    <w:rsid w:val="005E147D"/>
    <w:rsid w:val="005E19E9"/>
    <w:rsid w:val="005E5121"/>
    <w:rsid w:val="005E6395"/>
    <w:rsid w:val="005E6DD9"/>
    <w:rsid w:val="005E7147"/>
    <w:rsid w:val="005E7E49"/>
    <w:rsid w:val="005F009C"/>
    <w:rsid w:val="005F0A36"/>
    <w:rsid w:val="005F1BB7"/>
    <w:rsid w:val="005F47BB"/>
    <w:rsid w:val="005F53F3"/>
    <w:rsid w:val="005F5B92"/>
    <w:rsid w:val="005F6414"/>
    <w:rsid w:val="00600E05"/>
    <w:rsid w:val="006014AA"/>
    <w:rsid w:val="00601829"/>
    <w:rsid w:val="00602A71"/>
    <w:rsid w:val="00602CBE"/>
    <w:rsid w:val="006037AD"/>
    <w:rsid w:val="00612ADE"/>
    <w:rsid w:val="0061338F"/>
    <w:rsid w:val="00614AFB"/>
    <w:rsid w:val="00616FF0"/>
    <w:rsid w:val="006171A5"/>
    <w:rsid w:val="00620A2F"/>
    <w:rsid w:val="00621322"/>
    <w:rsid w:val="00622297"/>
    <w:rsid w:val="00624A1C"/>
    <w:rsid w:val="00625126"/>
    <w:rsid w:val="006251CD"/>
    <w:rsid w:val="0062579A"/>
    <w:rsid w:val="00626633"/>
    <w:rsid w:val="0062688B"/>
    <w:rsid w:val="00630901"/>
    <w:rsid w:val="00631F4E"/>
    <w:rsid w:val="00633079"/>
    <w:rsid w:val="006331AD"/>
    <w:rsid w:val="006355E4"/>
    <w:rsid w:val="00636E7F"/>
    <w:rsid w:val="0064183F"/>
    <w:rsid w:val="00642F98"/>
    <w:rsid w:val="00644B6B"/>
    <w:rsid w:val="00647583"/>
    <w:rsid w:val="0065022B"/>
    <w:rsid w:val="00651669"/>
    <w:rsid w:val="006522B6"/>
    <w:rsid w:val="006522DC"/>
    <w:rsid w:val="0065469D"/>
    <w:rsid w:val="00654B6F"/>
    <w:rsid w:val="006552BA"/>
    <w:rsid w:val="006553A1"/>
    <w:rsid w:val="00655813"/>
    <w:rsid w:val="00657C68"/>
    <w:rsid w:val="00661413"/>
    <w:rsid w:val="00663078"/>
    <w:rsid w:val="00670AA5"/>
    <w:rsid w:val="006723C8"/>
    <w:rsid w:val="00673338"/>
    <w:rsid w:val="00674515"/>
    <w:rsid w:val="00674617"/>
    <w:rsid w:val="00675C16"/>
    <w:rsid w:val="006770D5"/>
    <w:rsid w:val="0067746B"/>
    <w:rsid w:val="00677EA0"/>
    <w:rsid w:val="006817A4"/>
    <w:rsid w:val="0068325A"/>
    <w:rsid w:val="00683E73"/>
    <w:rsid w:val="006840BD"/>
    <w:rsid w:val="006851C7"/>
    <w:rsid w:val="0068758D"/>
    <w:rsid w:val="00692691"/>
    <w:rsid w:val="00692D0C"/>
    <w:rsid w:val="00693C5C"/>
    <w:rsid w:val="0069478A"/>
    <w:rsid w:val="006947F0"/>
    <w:rsid w:val="00695558"/>
    <w:rsid w:val="006A0A5A"/>
    <w:rsid w:val="006A126F"/>
    <w:rsid w:val="006A239F"/>
    <w:rsid w:val="006A2B43"/>
    <w:rsid w:val="006A2F2F"/>
    <w:rsid w:val="006A4542"/>
    <w:rsid w:val="006A55F5"/>
    <w:rsid w:val="006A60DE"/>
    <w:rsid w:val="006B1A98"/>
    <w:rsid w:val="006B28D3"/>
    <w:rsid w:val="006B39E7"/>
    <w:rsid w:val="006B3D5A"/>
    <w:rsid w:val="006B3EBA"/>
    <w:rsid w:val="006B4EC9"/>
    <w:rsid w:val="006B500C"/>
    <w:rsid w:val="006B5186"/>
    <w:rsid w:val="006B63C6"/>
    <w:rsid w:val="006B6DF3"/>
    <w:rsid w:val="006B7607"/>
    <w:rsid w:val="006B7E81"/>
    <w:rsid w:val="006C2321"/>
    <w:rsid w:val="006C256A"/>
    <w:rsid w:val="006C2B4B"/>
    <w:rsid w:val="006C44B6"/>
    <w:rsid w:val="006C582D"/>
    <w:rsid w:val="006C5B16"/>
    <w:rsid w:val="006C5F1C"/>
    <w:rsid w:val="006C6E21"/>
    <w:rsid w:val="006D0CB4"/>
    <w:rsid w:val="006D117E"/>
    <w:rsid w:val="006D2BD6"/>
    <w:rsid w:val="006D3789"/>
    <w:rsid w:val="006D4C0F"/>
    <w:rsid w:val="006D681A"/>
    <w:rsid w:val="006E0A98"/>
    <w:rsid w:val="006E1F2E"/>
    <w:rsid w:val="006E23B3"/>
    <w:rsid w:val="006E3CF5"/>
    <w:rsid w:val="006E4597"/>
    <w:rsid w:val="006E45CC"/>
    <w:rsid w:val="006E54DE"/>
    <w:rsid w:val="006E632C"/>
    <w:rsid w:val="006E7132"/>
    <w:rsid w:val="006F0487"/>
    <w:rsid w:val="006F0C6F"/>
    <w:rsid w:val="006F1ADA"/>
    <w:rsid w:val="006F286C"/>
    <w:rsid w:val="006F2C2F"/>
    <w:rsid w:val="006F3A42"/>
    <w:rsid w:val="006F47B9"/>
    <w:rsid w:val="006F4DB2"/>
    <w:rsid w:val="006F5C70"/>
    <w:rsid w:val="006F6DBE"/>
    <w:rsid w:val="007002AB"/>
    <w:rsid w:val="0070170A"/>
    <w:rsid w:val="007056D1"/>
    <w:rsid w:val="00706AE8"/>
    <w:rsid w:val="00706BE1"/>
    <w:rsid w:val="007125B9"/>
    <w:rsid w:val="00712ABE"/>
    <w:rsid w:val="00713480"/>
    <w:rsid w:val="00713E81"/>
    <w:rsid w:val="007144B2"/>
    <w:rsid w:val="00714CC9"/>
    <w:rsid w:val="00715287"/>
    <w:rsid w:val="00717926"/>
    <w:rsid w:val="00720138"/>
    <w:rsid w:val="00720358"/>
    <w:rsid w:val="00720808"/>
    <w:rsid w:val="00720DAD"/>
    <w:rsid w:val="007220DD"/>
    <w:rsid w:val="007224AB"/>
    <w:rsid w:val="007225EB"/>
    <w:rsid w:val="007230A9"/>
    <w:rsid w:val="00723107"/>
    <w:rsid w:val="0072448C"/>
    <w:rsid w:val="00725509"/>
    <w:rsid w:val="00725757"/>
    <w:rsid w:val="00726907"/>
    <w:rsid w:val="00726B52"/>
    <w:rsid w:val="00727277"/>
    <w:rsid w:val="0073068F"/>
    <w:rsid w:val="00730C2E"/>
    <w:rsid w:val="007318C4"/>
    <w:rsid w:val="00731DB3"/>
    <w:rsid w:val="00734145"/>
    <w:rsid w:val="00734978"/>
    <w:rsid w:val="00735008"/>
    <w:rsid w:val="00735592"/>
    <w:rsid w:val="00735FD1"/>
    <w:rsid w:val="0073768C"/>
    <w:rsid w:val="007378C3"/>
    <w:rsid w:val="00737BDC"/>
    <w:rsid w:val="00737F01"/>
    <w:rsid w:val="00742429"/>
    <w:rsid w:val="00743E20"/>
    <w:rsid w:val="007444D2"/>
    <w:rsid w:val="00745077"/>
    <w:rsid w:val="007452FA"/>
    <w:rsid w:val="0074706E"/>
    <w:rsid w:val="007478E1"/>
    <w:rsid w:val="00747A02"/>
    <w:rsid w:val="00751B4E"/>
    <w:rsid w:val="0075322F"/>
    <w:rsid w:val="007538C4"/>
    <w:rsid w:val="00753B11"/>
    <w:rsid w:val="00754D55"/>
    <w:rsid w:val="007559A1"/>
    <w:rsid w:val="00756454"/>
    <w:rsid w:val="00760A5D"/>
    <w:rsid w:val="00763737"/>
    <w:rsid w:val="00763BF9"/>
    <w:rsid w:val="00764B14"/>
    <w:rsid w:val="00765496"/>
    <w:rsid w:val="007658F4"/>
    <w:rsid w:val="007672EF"/>
    <w:rsid w:val="007703A2"/>
    <w:rsid w:val="007706E4"/>
    <w:rsid w:val="00770DFF"/>
    <w:rsid w:val="007733A9"/>
    <w:rsid w:val="007737DA"/>
    <w:rsid w:val="007757F0"/>
    <w:rsid w:val="00777796"/>
    <w:rsid w:val="00780902"/>
    <w:rsid w:val="007826B3"/>
    <w:rsid w:val="00784426"/>
    <w:rsid w:val="0078534E"/>
    <w:rsid w:val="00793803"/>
    <w:rsid w:val="007944C0"/>
    <w:rsid w:val="00794C83"/>
    <w:rsid w:val="00795828"/>
    <w:rsid w:val="0079595B"/>
    <w:rsid w:val="007971FD"/>
    <w:rsid w:val="007A0833"/>
    <w:rsid w:val="007A0A4E"/>
    <w:rsid w:val="007A1464"/>
    <w:rsid w:val="007A2916"/>
    <w:rsid w:val="007A41BB"/>
    <w:rsid w:val="007A6267"/>
    <w:rsid w:val="007A7E77"/>
    <w:rsid w:val="007A7FCB"/>
    <w:rsid w:val="007B0794"/>
    <w:rsid w:val="007B0CFD"/>
    <w:rsid w:val="007B0D2E"/>
    <w:rsid w:val="007B1165"/>
    <w:rsid w:val="007B2BDD"/>
    <w:rsid w:val="007B2D17"/>
    <w:rsid w:val="007B2E4F"/>
    <w:rsid w:val="007B3A7F"/>
    <w:rsid w:val="007B3E01"/>
    <w:rsid w:val="007B3EF6"/>
    <w:rsid w:val="007B651A"/>
    <w:rsid w:val="007B7189"/>
    <w:rsid w:val="007B7CF3"/>
    <w:rsid w:val="007C0B81"/>
    <w:rsid w:val="007C0FFF"/>
    <w:rsid w:val="007C293D"/>
    <w:rsid w:val="007C40A6"/>
    <w:rsid w:val="007C4CD3"/>
    <w:rsid w:val="007C5437"/>
    <w:rsid w:val="007C5953"/>
    <w:rsid w:val="007D0188"/>
    <w:rsid w:val="007D50E1"/>
    <w:rsid w:val="007D5588"/>
    <w:rsid w:val="007D6CE6"/>
    <w:rsid w:val="007E240A"/>
    <w:rsid w:val="007E298C"/>
    <w:rsid w:val="007E507D"/>
    <w:rsid w:val="007F5E58"/>
    <w:rsid w:val="007F6129"/>
    <w:rsid w:val="007F7B55"/>
    <w:rsid w:val="007F7BC8"/>
    <w:rsid w:val="008037E6"/>
    <w:rsid w:val="00803F9E"/>
    <w:rsid w:val="008049E7"/>
    <w:rsid w:val="0080729D"/>
    <w:rsid w:val="00807A59"/>
    <w:rsid w:val="0081058C"/>
    <w:rsid w:val="00812312"/>
    <w:rsid w:val="00814DBE"/>
    <w:rsid w:val="00815208"/>
    <w:rsid w:val="008161CC"/>
    <w:rsid w:val="008162A9"/>
    <w:rsid w:val="00821998"/>
    <w:rsid w:val="00821D09"/>
    <w:rsid w:val="0082260C"/>
    <w:rsid w:val="00823DDD"/>
    <w:rsid w:val="00825CDB"/>
    <w:rsid w:val="008276AE"/>
    <w:rsid w:val="00832232"/>
    <w:rsid w:val="00832312"/>
    <w:rsid w:val="008326F0"/>
    <w:rsid w:val="00833CCA"/>
    <w:rsid w:val="008342EC"/>
    <w:rsid w:val="008342F3"/>
    <w:rsid w:val="0083605E"/>
    <w:rsid w:val="00840371"/>
    <w:rsid w:val="00842B18"/>
    <w:rsid w:val="00842FC7"/>
    <w:rsid w:val="008436CE"/>
    <w:rsid w:val="00844612"/>
    <w:rsid w:val="00844E62"/>
    <w:rsid w:val="00844FB8"/>
    <w:rsid w:val="00845546"/>
    <w:rsid w:val="0084587B"/>
    <w:rsid w:val="00853110"/>
    <w:rsid w:val="0085326C"/>
    <w:rsid w:val="0085367F"/>
    <w:rsid w:val="00854DA1"/>
    <w:rsid w:val="00856896"/>
    <w:rsid w:val="00856ABA"/>
    <w:rsid w:val="0085733D"/>
    <w:rsid w:val="008576AF"/>
    <w:rsid w:val="00861532"/>
    <w:rsid w:val="00861F11"/>
    <w:rsid w:val="00863B49"/>
    <w:rsid w:val="00863F67"/>
    <w:rsid w:val="0086661D"/>
    <w:rsid w:val="00870274"/>
    <w:rsid w:val="00871125"/>
    <w:rsid w:val="00871811"/>
    <w:rsid w:val="00871DB1"/>
    <w:rsid w:val="008739E2"/>
    <w:rsid w:val="00873BA1"/>
    <w:rsid w:val="008742E4"/>
    <w:rsid w:val="008763A2"/>
    <w:rsid w:val="00876498"/>
    <w:rsid w:val="00877555"/>
    <w:rsid w:val="00881A90"/>
    <w:rsid w:val="008835A8"/>
    <w:rsid w:val="008836E1"/>
    <w:rsid w:val="00885193"/>
    <w:rsid w:val="00885DB2"/>
    <w:rsid w:val="008860C9"/>
    <w:rsid w:val="00886271"/>
    <w:rsid w:val="008863B1"/>
    <w:rsid w:val="008872A6"/>
    <w:rsid w:val="00887680"/>
    <w:rsid w:val="00890E03"/>
    <w:rsid w:val="0089304C"/>
    <w:rsid w:val="00893291"/>
    <w:rsid w:val="0089370E"/>
    <w:rsid w:val="0089622C"/>
    <w:rsid w:val="00896665"/>
    <w:rsid w:val="0089748C"/>
    <w:rsid w:val="008A1FF8"/>
    <w:rsid w:val="008A30D7"/>
    <w:rsid w:val="008A6A99"/>
    <w:rsid w:val="008A74D2"/>
    <w:rsid w:val="008B14F1"/>
    <w:rsid w:val="008B3263"/>
    <w:rsid w:val="008B349D"/>
    <w:rsid w:val="008B7D3B"/>
    <w:rsid w:val="008C21BD"/>
    <w:rsid w:val="008C3660"/>
    <w:rsid w:val="008C393E"/>
    <w:rsid w:val="008C5E2E"/>
    <w:rsid w:val="008C68DF"/>
    <w:rsid w:val="008D079A"/>
    <w:rsid w:val="008D1F7B"/>
    <w:rsid w:val="008D20D7"/>
    <w:rsid w:val="008D2F26"/>
    <w:rsid w:val="008D3FA2"/>
    <w:rsid w:val="008D5B46"/>
    <w:rsid w:val="008D5CF8"/>
    <w:rsid w:val="008D63B0"/>
    <w:rsid w:val="008D6CE9"/>
    <w:rsid w:val="008D7A40"/>
    <w:rsid w:val="008E14A3"/>
    <w:rsid w:val="008E18F2"/>
    <w:rsid w:val="008E283D"/>
    <w:rsid w:val="008E2E55"/>
    <w:rsid w:val="008E7885"/>
    <w:rsid w:val="008F21B3"/>
    <w:rsid w:val="008F460E"/>
    <w:rsid w:val="008F6CC4"/>
    <w:rsid w:val="008F72D0"/>
    <w:rsid w:val="00901B39"/>
    <w:rsid w:val="00903743"/>
    <w:rsid w:val="00903EEE"/>
    <w:rsid w:val="00904E62"/>
    <w:rsid w:val="00905710"/>
    <w:rsid w:val="00905CAD"/>
    <w:rsid w:val="00907725"/>
    <w:rsid w:val="0091096C"/>
    <w:rsid w:val="00912937"/>
    <w:rsid w:val="0091293C"/>
    <w:rsid w:val="00912FA5"/>
    <w:rsid w:val="00913341"/>
    <w:rsid w:val="00913D9B"/>
    <w:rsid w:val="009153EF"/>
    <w:rsid w:val="00916C2B"/>
    <w:rsid w:val="00916FAE"/>
    <w:rsid w:val="00917929"/>
    <w:rsid w:val="009205E2"/>
    <w:rsid w:val="00920F63"/>
    <w:rsid w:val="00921284"/>
    <w:rsid w:val="0092232A"/>
    <w:rsid w:val="00924918"/>
    <w:rsid w:val="009263A7"/>
    <w:rsid w:val="009315AF"/>
    <w:rsid w:val="009316E6"/>
    <w:rsid w:val="00931F80"/>
    <w:rsid w:val="0093380C"/>
    <w:rsid w:val="00933D7D"/>
    <w:rsid w:val="00933F09"/>
    <w:rsid w:val="00935918"/>
    <w:rsid w:val="00936FEF"/>
    <w:rsid w:val="00940E4B"/>
    <w:rsid w:val="009417A1"/>
    <w:rsid w:val="009439F1"/>
    <w:rsid w:val="00943D11"/>
    <w:rsid w:val="009442E5"/>
    <w:rsid w:val="009458F9"/>
    <w:rsid w:val="009460D7"/>
    <w:rsid w:val="00946987"/>
    <w:rsid w:val="0095110B"/>
    <w:rsid w:val="00952534"/>
    <w:rsid w:val="00952A77"/>
    <w:rsid w:val="0095423A"/>
    <w:rsid w:val="0095466D"/>
    <w:rsid w:val="0095573F"/>
    <w:rsid w:val="00960783"/>
    <w:rsid w:val="00961FFF"/>
    <w:rsid w:val="00962080"/>
    <w:rsid w:val="0096288A"/>
    <w:rsid w:val="00963208"/>
    <w:rsid w:val="00965F3E"/>
    <w:rsid w:val="009664E2"/>
    <w:rsid w:val="0096716E"/>
    <w:rsid w:val="009702FF"/>
    <w:rsid w:val="009704CA"/>
    <w:rsid w:val="009707C7"/>
    <w:rsid w:val="009718C6"/>
    <w:rsid w:val="00972EFA"/>
    <w:rsid w:val="00973CED"/>
    <w:rsid w:val="00974A7C"/>
    <w:rsid w:val="0097612C"/>
    <w:rsid w:val="00976730"/>
    <w:rsid w:val="00977D33"/>
    <w:rsid w:val="00982A0C"/>
    <w:rsid w:val="009833A3"/>
    <w:rsid w:val="00986056"/>
    <w:rsid w:val="009861FF"/>
    <w:rsid w:val="00987452"/>
    <w:rsid w:val="009908E5"/>
    <w:rsid w:val="00990CBB"/>
    <w:rsid w:val="00990CFF"/>
    <w:rsid w:val="00991291"/>
    <w:rsid w:val="00992650"/>
    <w:rsid w:val="00993F4B"/>
    <w:rsid w:val="00995B8A"/>
    <w:rsid w:val="00997BD5"/>
    <w:rsid w:val="009A0394"/>
    <w:rsid w:val="009A0967"/>
    <w:rsid w:val="009A0A0A"/>
    <w:rsid w:val="009A186B"/>
    <w:rsid w:val="009A3356"/>
    <w:rsid w:val="009A3F14"/>
    <w:rsid w:val="009A4DF6"/>
    <w:rsid w:val="009A4ECA"/>
    <w:rsid w:val="009A7FD0"/>
    <w:rsid w:val="009B0687"/>
    <w:rsid w:val="009B14ED"/>
    <w:rsid w:val="009B4707"/>
    <w:rsid w:val="009B4D80"/>
    <w:rsid w:val="009B5ADD"/>
    <w:rsid w:val="009B6EF4"/>
    <w:rsid w:val="009C2FD9"/>
    <w:rsid w:val="009C458C"/>
    <w:rsid w:val="009C5DF7"/>
    <w:rsid w:val="009C6851"/>
    <w:rsid w:val="009C6D49"/>
    <w:rsid w:val="009C7E2A"/>
    <w:rsid w:val="009D19AC"/>
    <w:rsid w:val="009D3D31"/>
    <w:rsid w:val="009D51A9"/>
    <w:rsid w:val="009D586F"/>
    <w:rsid w:val="009D5F9C"/>
    <w:rsid w:val="009D795C"/>
    <w:rsid w:val="009E0AC7"/>
    <w:rsid w:val="009E0C4B"/>
    <w:rsid w:val="009E1369"/>
    <w:rsid w:val="009E2EC5"/>
    <w:rsid w:val="009E3587"/>
    <w:rsid w:val="009E5D19"/>
    <w:rsid w:val="009E6376"/>
    <w:rsid w:val="009F0156"/>
    <w:rsid w:val="009F0C95"/>
    <w:rsid w:val="009F0CAA"/>
    <w:rsid w:val="009F1DF1"/>
    <w:rsid w:val="009F2661"/>
    <w:rsid w:val="009F2F51"/>
    <w:rsid w:val="009F330F"/>
    <w:rsid w:val="009F3946"/>
    <w:rsid w:val="009F3FC6"/>
    <w:rsid w:val="009F5748"/>
    <w:rsid w:val="009F57AD"/>
    <w:rsid w:val="009F67DB"/>
    <w:rsid w:val="009F6A12"/>
    <w:rsid w:val="009F7E2E"/>
    <w:rsid w:val="00A00871"/>
    <w:rsid w:val="00A03E28"/>
    <w:rsid w:val="00A063F6"/>
    <w:rsid w:val="00A104ED"/>
    <w:rsid w:val="00A10A25"/>
    <w:rsid w:val="00A10B17"/>
    <w:rsid w:val="00A12003"/>
    <w:rsid w:val="00A16839"/>
    <w:rsid w:val="00A171EA"/>
    <w:rsid w:val="00A17F82"/>
    <w:rsid w:val="00A205AD"/>
    <w:rsid w:val="00A212BB"/>
    <w:rsid w:val="00A223D2"/>
    <w:rsid w:val="00A23830"/>
    <w:rsid w:val="00A241CC"/>
    <w:rsid w:val="00A2482C"/>
    <w:rsid w:val="00A24882"/>
    <w:rsid w:val="00A2495C"/>
    <w:rsid w:val="00A249CC"/>
    <w:rsid w:val="00A25422"/>
    <w:rsid w:val="00A256E4"/>
    <w:rsid w:val="00A2750A"/>
    <w:rsid w:val="00A34D05"/>
    <w:rsid w:val="00A35852"/>
    <w:rsid w:val="00A35DBF"/>
    <w:rsid w:val="00A3769B"/>
    <w:rsid w:val="00A37D37"/>
    <w:rsid w:val="00A37D7B"/>
    <w:rsid w:val="00A37F08"/>
    <w:rsid w:val="00A406CA"/>
    <w:rsid w:val="00A42B5B"/>
    <w:rsid w:val="00A43E19"/>
    <w:rsid w:val="00A44968"/>
    <w:rsid w:val="00A44CB0"/>
    <w:rsid w:val="00A500B5"/>
    <w:rsid w:val="00A52A0A"/>
    <w:rsid w:val="00A544B5"/>
    <w:rsid w:val="00A54776"/>
    <w:rsid w:val="00A56F5A"/>
    <w:rsid w:val="00A57E59"/>
    <w:rsid w:val="00A607DB"/>
    <w:rsid w:val="00A60B08"/>
    <w:rsid w:val="00A60BF0"/>
    <w:rsid w:val="00A60C27"/>
    <w:rsid w:val="00A61BAA"/>
    <w:rsid w:val="00A61D70"/>
    <w:rsid w:val="00A61FD6"/>
    <w:rsid w:val="00A631E9"/>
    <w:rsid w:val="00A6324A"/>
    <w:rsid w:val="00A633F6"/>
    <w:rsid w:val="00A6495B"/>
    <w:rsid w:val="00A66842"/>
    <w:rsid w:val="00A66C29"/>
    <w:rsid w:val="00A678E5"/>
    <w:rsid w:val="00A71B40"/>
    <w:rsid w:val="00A71CF6"/>
    <w:rsid w:val="00A728B5"/>
    <w:rsid w:val="00A73ED2"/>
    <w:rsid w:val="00A74AE3"/>
    <w:rsid w:val="00A77B09"/>
    <w:rsid w:val="00A77D25"/>
    <w:rsid w:val="00A802CF"/>
    <w:rsid w:val="00A80381"/>
    <w:rsid w:val="00A8081B"/>
    <w:rsid w:val="00A80977"/>
    <w:rsid w:val="00A80F91"/>
    <w:rsid w:val="00A81088"/>
    <w:rsid w:val="00A822F5"/>
    <w:rsid w:val="00A8668F"/>
    <w:rsid w:val="00A86FC2"/>
    <w:rsid w:val="00A910D9"/>
    <w:rsid w:val="00A92605"/>
    <w:rsid w:val="00A926FA"/>
    <w:rsid w:val="00A95722"/>
    <w:rsid w:val="00A96AC8"/>
    <w:rsid w:val="00A975DB"/>
    <w:rsid w:val="00AA1214"/>
    <w:rsid w:val="00AA3820"/>
    <w:rsid w:val="00AA4671"/>
    <w:rsid w:val="00AA4AAF"/>
    <w:rsid w:val="00AA554B"/>
    <w:rsid w:val="00AA6D86"/>
    <w:rsid w:val="00AA782B"/>
    <w:rsid w:val="00AB0D6B"/>
    <w:rsid w:val="00AB1BAC"/>
    <w:rsid w:val="00AB1C8D"/>
    <w:rsid w:val="00AB4B8E"/>
    <w:rsid w:val="00AB65F9"/>
    <w:rsid w:val="00AB6DCE"/>
    <w:rsid w:val="00AB7831"/>
    <w:rsid w:val="00AC0278"/>
    <w:rsid w:val="00AC0CEF"/>
    <w:rsid w:val="00AC1893"/>
    <w:rsid w:val="00AC1944"/>
    <w:rsid w:val="00AC52B8"/>
    <w:rsid w:val="00AC5859"/>
    <w:rsid w:val="00AC6161"/>
    <w:rsid w:val="00AC6963"/>
    <w:rsid w:val="00AD078F"/>
    <w:rsid w:val="00AD19C1"/>
    <w:rsid w:val="00AD54A1"/>
    <w:rsid w:val="00AD556B"/>
    <w:rsid w:val="00AD560B"/>
    <w:rsid w:val="00AD7348"/>
    <w:rsid w:val="00AD7CBB"/>
    <w:rsid w:val="00AD7CE3"/>
    <w:rsid w:val="00AE02A1"/>
    <w:rsid w:val="00AE0F36"/>
    <w:rsid w:val="00AF0BD0"/>
    <w:rsid w:val="00AF1C00"/>
    <w:rsid w:val="00AF31A6"/>
    <w:rsid w:val="00AF5C56"/>
    <w:rsid w:val="00AF635E"/>
    <w:rsid w:val="00AF77D2"/>
    <w:rsid w:val="00AF7AA2"/>
    <w:rsid w:val="00AF7D27"/>
    <w:rsid w:val="00B0128F"/>
    <w:rsid w:val="00B014A7"/>
    <w:rsid w:val="00B041D7"/>
    <w:rsid w:val="00B045C3"/>
    <w:rsid w:val="00B04E50"/>
    <w:rsid w:val="00B057B5"/>
    <w:rsid w:val="00B07963"/>
    <w:rsid w:val="00B1001D"/>
    <w:rsid w:val="00B10AA6"/>
    <w:rsid w:val="00B11790"/>
    <w:rsid w:val="00B11E33"/>
    <w:rsid w:val="00B15191"/>
    <w:rsid w:val="00B16F5B"/>
    <w:rsid w:val="00B204CB"/>
    <w:rsid w:val="00B21501"/>
    <w:rsid w:val="00B21931"/>
    <w:rsid w:val="00B21E6F"/>
    <w:rsid w:val="00B227C3"/>
    <w:rsid w:val="00B23409"/>
    <w:rsid w:val="00B24EAD"/>
    <w:rsid w:val="00B25796"/>
    <w:rsid w:val="00B26413"/>
    <w:rsid w:val="00B272D0"/>
    <w:rsid w:val="00B34180"/>
    <w:rsid w:val="00B354F7"/>
    <w:rsid w:val="00B37195"/>
    <w:rsid w:val="00B373B0"/>
    <w:rsid w:val="00B40748"/>
    <w:rsid w:val="00B4213A"/>
    <w:rsid w:val="00B4238B"/>
    <w:rsid w:val="00B4248E"/>
    <w:rsid w:val="00B42545"/>
    <w:rsid w:val="00B42AD7"/>
    <w:rsid w:val="00B42F9C"/>
    <w:rsid w:val="00B436C6"/>
    <w:rsid w:val="00B44084"/>
    <w:rsid w:val="00B441E9"/>
    <w:rsid w:val="00B4593B"/>
    <w:rsid w:val="00B464C6"/>
    <w:rsid w:val="00B46C0D"/>
    <w:rsid w:val="00B47F47"/>
    <w:rsid w:val="00B50A92"/>
    <w:rsid w:val="00B51EA5"/>
    <w:rsid w:val="00B5542D"/>
    <w:rsid w:val="00B5740B"/>
    <w:rsid w:val="00B57482"/>
    <w:rsid w:val="00B61C78"/>
    <w:rsid w:val="00B64623"/>
    <w:rsid w:val="00B64920"/>
    <w:rsid w:val="00B6507F"/>
    <w:rsid w:val="00B665E7"/>
    <w:rsid w:val="00B66C8F"/>
    <w:rsid w:val="00B67035"/>
    <w:rsid w:val="00B67D4B"/>
    <w:rsid w:val="00B700F3"/>
    <w:rsid w:val="00B70CE6"/>
    <w:rsid w:val="00B716F6"/>
    <w:rsid w:val="00B7219E"/>
    <w:rsid w:val="00B72482"/>
    <w:rsid w:val="00B74007"/>
    <w:rsid w:val="00B753DA"/>
    <w:rsid w:val="00B758E4"/>
    <w:rsid w:val="00B77451"/>
    <w:rsid w:val="00B77D5C"/>
    <w:rsid w:val="00B805D2"/>
    <w:rsid w:val="00B808F9"/>
    <w:rsid w:val="00B81329"/>
    <w:rsid w:val="00B842B7"/>
    <w:rsid w:val="00B8452D"/>
    <w:rsid w:val="00B879E3"/>
    <w:rsid w:val="00B90FE1"/>
    <w:rsid w:val="00B921D0"/>
    <w:rsid w:val="00B92661"/>
    <w:rsid w:val="00B92EC8"/>
    <w:rsid w:val="00B95A50"/>
    <w:rsid w:val="00B95BA3"/>
    <w:rsid w:val="00B975FE"/>
    <w:rsid w:val="00B97AEA"/>
    <w:rsid w:val="00BA193F"/>
    <w:rsid w:val="00BA2403"/>
    <w:rsid w:val="00BA24EA"/>
    <w:rsid w:val="00BA74B3"/>
    <w:rsid w:val="00BB249E"/>
    <w:rsid w:val="00BB2642"/>
    <w:rsid w:val="00BB395B"/>
    <w:rsid w:val="00BB582C"/>
    <w:rsid w:val="00BB5FAD"/>
    <w:rsid w:val="00BC0145"/>
    <w:rsid w:val="00BC0BF8"/>
    <w:rsid w:val="00BC122D"/>
    <w:rsid w:val="00BC15F5"/>
    <w:rsid w:val="00BC1A0C"/>
    <w:rsid w:val="00BC4B30"/>
    <w:rsid w:val="00BC4F98"/>
    <w:rsid w:val="00BC54F4"/>
    <w:rsid w:val="00BC7954"/>
    <w:rsid w:val="00BD1F2F"/>
    <w:rsid w:val="00BD314D"/>
    <w:rsid w:val="00BD3B8B"/>
    <w:rsid w:val="00BD4521"/>
    <w:rsid w:val="00BD779B"/>
    <w:rsid w:val="00BD7E08"/>
    <w:rsid w:val="00BE027B"/>
    <w:rsid w:val="00BE08A0"/>
    <w:rsid w:val="00BE2C15"/>
    <w:rsid w:val="00BE402D"/>
    <w:rsid w:val="00BE41B0"/>
    <w:rsid w:val="00BE4BE9"/>
    <w:rsid w:val="00BE5BB7"/>
    <w:rsid w:val="00BE5C08"/>
    <w:rsid w:val="00BE6E54"/>
    <w:rsid w:val="00BE772D"/>
    <w:rsid w:val="00BF144B"/>
    <w:rsid w:val="00BF1E8A"/>
    <w:rsid w:val="00BF44A6"/>
    <w:rsid w:val="00BF6F3D"/>
    <w:rsid w:val="00C01831"/>
    <w:rsid w:val="00C0242E"/>
    <w:rsid w:val="00C042F5"/>
    <w:rsid w:val="00C056FB"/>
    <w:rsid w:val="00C057E0"/>
    <w:rsid w:val="00C05A06"/>
    <w:rsid w:val="00C05F72"/>
    <w:rsid w:val="00C062AE"/>
    <w:rsid w:val="00C0667A"/>
    <w:rsid w:val="00C068E9"/>
    <w:rsid w:val="00C07084"/>
    <w:rsid w:val="00C0716D"/>
    <w:rsid w:val="00C07874"/>
    <w:rsid w:val="00C079C9"/>
    <w:rsid w:val="00C1029E"/>
    <w:rsid w:val="00C10CF3"/>
    <w:rsid w:val="00C11134"/>
    <w:rsid w:val="00C117AD"/>
    <w:rsid w:val="00C124A3"/>
    <w:rsid w:val="00C12CD6"/>
    <w:rsid w:val="00C1447E"/>
    <w:rsid w:val="00C1585F"/>
    <w:rsid w:val="00C15AEB"/>
    <w:rsid w:val="00C16484"/>
    <w:rsid w:val="00C16A51"/>
    <w:rsid w:val="00C17854"/>
    <w:rsid w:val="00C17F11"/>
    <w:rsid w:val="00C17F4E"/>
    <w:rsid w:val="00C200A1"/>
    <w:rsid w:val="00C210B9"/>
    <w:rsid w:val="00C2269A"/>
    <w:rsid w:val="00C22BD9"/>
    <w:rsid w:val="00C237A4"/>
    <w:rsid w:val="00C23802"/>
    <w:rsid w:val="00C23AA8"/>
    <w:rsid w:val="00C2407F"/>
    <w:rsid w:val="00C24A3B"/>
    <w:rsid w:val="00C257B0"/>
    <w:rsid w:val="00C25A89"/>
    <w:rsid w:val="00C261C2"/>
    <w:rsid w:val="00C26F7B"/>
    <w:rsid w:val="00C317D4"/>
    <w:rsid w:val="00C34974"/>
    <w:rsid w:val="00C34DD4"/>
    <w:rsid w:val="00C371D7"/>
    <w:rsid w:val="00C41F23"/>
    <w:rsid w:val="00C42606"/>
    <w:rsid w:val="00C4266C"/>
    <w:rsid w:val="00C42BD6"/>
    <w:rsid w:val="00C447BA"/>
    <w:rsid w:val="00C450A6"/>
    <w:rsid w:val="00C462C6"/>
    <w:rsid w:val="00C5265D"/>
    <w:rsid w:val="00C5307A"/>
    <w:rsid w:val="00C530CB"/>
    <w:rsid w:val="00C53B87"/>
    <w:rsid w:val="00C54684"/>
    <w:rsid w:val="00C550C6"/>
    <w:rsid w:val="00C55CE4"/>
    <w:rsid w:val="00C62634"/>
    <w:rsid w:val="00C642A7"/>
    <w:rsid w:val="00C654AA"/>
    <w:rsid w:val="00C65819"/>
    <w:rsid w:val="00C66C5B"/>
    <w:rsid w:val="00C67C81"/>
    <w:rsid w:val="00C70924"/>
    <w:rsid w:val="00C70A1D"/>
    <w:rsid w:val="00C70ACF"/>
    <w:rsid w:val="00C717E1"/>
    <w:rsid w:val="00C727FD"/>
    <w:rsid w:val="00C7420E"/>
    <w:rsid w:val="00C744BC"/>
    <w:rsid w:val="00C7488B"/>
    <w:rsid w:val="00C7659E"/>
    <w:rsid w:val="00C76E3B"/>
    <w:rsid w:val="00C81629"/>
    <w:rsid w:val="00C8198B"/>
    <w:rsid w:val="00C834EC"/>
    <w:rsid w:val="00C8494E"/>
    <w:rsid w:val="00C85569"/>
    <w:rsid w:val="00C85C15"/>
    <w:rsid w:val="00C868EF"/>
    <w:rsid w:val="00C86AF7"/>
    <w:rsid w:val="00C873D4"/>
    <w:rsid w:val="00C87BB5"/>
    <w:rsid w:val="00C90AD3"/>
    <w:rsid w:val="00C91351"/>
    <w:rsid w:val="00C9181A"/>
    <w:rsid w:val="00C92805"/>
    <w:rsid w:val="00C930CE"/>
    <w:rsid w:val="00C93642"/>
    <w:rsid w:val="00C9520E"/>
    <w:rsid w:val="00C9725D"/>
    <w:rsid w:val="00CA13D5"/>
    <w:rsid w:val="00CA29CE"/>
    <w:rsid w:val="00CA590B"/>
    <w:rsid w:val="00CA6CE6"/>
    <w:rsid w:val="00CA7320"/>
    <w:rsid w:val="00CA7BE4"/>
    <w:rsid w:val="00CA7D2F"/>
    <w:rsid w:val="00CA7EBF"/>
    <w:rsid w:val="00CB02E8"/>
    <w:rsid w:val="00CB1401"/>
    <w:rsid w:val="00CB2DB8"/>
    <w:rsid w:val="00CB52BC"/>
    <w:rsid w:val="00CB60A7"/>
    <w:rsid w:val="00CB77B5"/>
    <w:rsid w:val="00CC1434"/>
    <w:rsid w:val="00CC1FC4"/>
    <w:rsid w:val="00CC2311"/>
    <w:rsid w:val="00CC4B67"/>
    <w:rsid w:val="00CC6E95"/>
    <w:rsid w:val="00CC7F22"/>
    <w:rsid w:val="00CD10D9"/>
    <w:rsid w:val="00CD2E02"/>
    <w:rsid w:val="00CD5752"/>
    <w:rsid w:val="00CD5A14"/>
    <w:rsid w:val="00CD7BDB"/>
    <w:rsid w:val="00CD7ECD"/>
    <w:rsid w:val="00CE13D0"/>
    <w:rsid w:val="00CE288F"/>
    <w:rsid w:val="00CE2AAD"/>
    <w:rsid w:val="00CE6BC4"/>
    <w:rsid w:val="00CF05FD"/>
    <w:rsid w:val="00CF0869"/>
    <w:rsid w:val="00CF1F3F"/>
    <w:rsid w:val="00CF41FB"/>
    <w:rsid w:val="00CF4BCC"/>
    <w:rsid w:val="00CF51D4"/>
    <w:rsid w:val="00CF74F2"/>
    <w:rsid w:val="00D016A9"/>
    <w:rsid w:val="00D016CE"/>
    <w:rsid w:val="00D01A61"/>
    <w:rsid w:val="00D04280"/>
    <w:rsid w:val="00D06A19"/>
    <w:rsid w:val="00D07EDB"/>
    <w:rsid w:val="00D1000D"/>
    <w:rsid w:val="00D112EE"/>
    <w:rsid w:val="00D13EBB"/>
    <w:rsid w:val="00D14068"/>
    <w:rsid w:val="00D15926"/>
    <w:rsid w:val="00D16728"/>
    <w:rsid w:val="00D169A3"/>
    <w:rsid w:val="00D16DCB"/>
    <w:rsid w:val="00D23FFA"/>
    <w:rsid w:val="00D24AE7"/>
    <w:rsid w:val="00D25B6C"/>
    <w:rsid w:val="00D25F87"/>
    <w:rsid w:val="00D31B74"/>
    <w:rsid w:val="00D324E5"/>
    <w:rsid w:val="00D3289F"/>
    <w:rsid w:val="00D3381C"/>
    <w:rsid w:val="00D33FA8"/>
    <w:rsid w:val="00D3494D"/>
    <w:rsid w:val="00D34E9F"/>
    <w:rsid w:val="00D35104"/>
    <w:rsid w:val="00D35355"/>
    <w:rsid w:val="00D36B27"/>
    <w:rsid w:val="00D36D07"/>
    <w:rsid w:val="00D37C4D"/>
    <w:rsid w:val="00D422E0"/>
    <w:rsid w:val="00D42B01"/>
    <w:rsid w:val="00D441ED"/>
    <w:rsid w:val="00D45096"/>
    <w:rsid w:val="00D50776"/>
    <w:rsid w:val="00D51B01"/>
    <w:rsid w:val="00D51B6C"/>
    <w:rsid w:val="00D548EE"/>
    <w:rsid w:val="00D551D2"/>
    <w:rsid w:val="00D56C84"/>
    <w:rsid w:val="00D570AB"/>
    <w:rsid w:val="00D5763B"/>
    <w:rsid w:val="00D60352"/>
    <w:rsid w:val="00D607F2"/>
    <w:rsid w:val="00D63FEB"/>
    <w:rsid w:val="00D64949"/>
    <w:rsid w:val="00D66105"/>
    <w:rsid w:val="00D664E5"/>
    <w:rsid w:val="00D6677C"/>
    <w:rsid w:val="00D66ABF"/>
    <w:rsid w:val="00D712CD"/>
    <w:rsid w:val="00D72AB0"/>
    <w:rsid w:val="00D73D07"/>
    <w:rsid w:val="00D748F7"/>
    <w:rsid w:val="00D74AAD"/>
    <w:rsid w:val="00D76BC4"/>
    <w:rsid w:val="00D76E7A"/>
    <w:rsid w:val="00D80317"/>
    <w:rsid w:val="00D80DBE"/>
    <w:rsid w:val="00D81240"/>
    <w:rsid w:val="00D813FC"/>
    <w:rsid w:val="00D81AAF"/>
    <w:rsid w:val="00D824B1"/>
    <w:rsid w:val="00D828A0"/>
    <w:rsid w:val="00D82C47"/>
    <w:rsid w:val="00D83167"/>
    <w:rsid w:val="00D832DF"/>
    <w:rsid w:val="00D833EE"/>
    <w:rsid w:val="00D8353B"/>
    <w:rsid w:val="00D8399B"/>
    <w:rsid w:val="00D850E4"/>
    <w:rsid w:val="00D853B7"/>
    <w:rsid w:val="00D867ED"/>
    <w:rsid w:val="00D8733E"/>
    <w:rsid w:val="00D902E9"/>
    <w:rsid w:val="00D90CF7"/>
    <w:rsid w:val="00D90EFA"/>
    <w:rsid w:val="00D9264B"/>
    <w:rsid w:val="00D92DD0"/>
    <w:rsid w:val="00D92E9D"/>
    <w:rsid w:val="00D93943"/>
    <w:rsid w:val="00D94D5F"/>
    <w:rsid w:val="00D96AF1"/>
    <w:rsid w:val="00D97AB9"/>
    <w:rsid w:val="00DA0E04"/>
    <w:rsid w:val="00DA1005"/>
    <w:rsid w:val="00DA111E"/>
    <w:rsid w:val="00DA15D6"/>
    <w:rsid w:val="00DA2226"/>
    <w:rsid w:val="00DA2899"/>
    <w:rsid w:val="00DA2F06"/>
    <w:rsid w:val="00DA3736"/>
    <w:rsid w:val="00DA3C72"/>
    <w:rsid w:val="00DA6737"/>
    <w:rsid w:val="00DA7136"/>
    <w:rsid w:val="00DB0AE6"/>
    <w:rsid w:val="00DB0CD2"/>
    <w:rsid w:val="00DB1C32"/>
    <w:rsid w:val="00DB1E29"/>
    <w:rsid w:val="00DB2A52"/>
    <w:rsid w:val="00DB314D"/>
    <w:rsid w:val="00DB3656"/>
    <w:rsid w:val="00DB64D3"/>
    <w:rsid w:val="00DB7441"/>
    <w:rsid w:val="00DB7964"/>
    <w:rsid w:val="00DC0302"/>
    <w:rsid w:val="00DC2DFD"/>
    <w:rsid w:val="00DC3204"/>
    <w:rsid w:val="00DC4EB3"/>
    <w:rsid w:val="00DC63D1"/>
    <w:rsid w:val="00DD0793"/>
    <w:rsid w:val="00DD36C2"/>
    <w:rsid w:val="00DD3A6A"/>
    <w:rsid w:val="00DD5853"/>
    <w:rsid w:val="00DD63AB"/>
    <w:rsid w:val="00DD687C"/>
    <w:rsid w:val="00DD6A9B"/>
    <w:rsid w:val="00DE0A32"/>
    <w:rsid w:val="00DE0A67"/>
    <w:rsid w:val="00DE1992"/>
    <w:rsid w:val="00DE3729"/>
    <w:rsid w:val="00DE3E32"/>
    <w:rsid w:val="00DE418B"/>
    <w:rsid w:val="00DE5976"/>
    <w:rsid w:val="00DE5E08"/>
    <w:rsid w:val="00DF0ACE"/>
    <w:rsid w:val="00DF114A"/>
    <w:rsid w:val="00DF2507"/>
    <w:rsid w:val="00DF284F"/>
    <w:rsid w:val="00DF6B71"/>
    <w:rsid w:val="00DF6F22"/>
    <w:rsid w:val="00DF7014"/>
    <w:rsid w:val="00DF78B0"/>
    <w:rsid w:val="00E0001D"/>
    <w:rsid w:val="00E00CAE"/>
    <w:rsid w:val="00E00FE8"/>
    <w:rsid w:val="00E0471C"/>
    <w:rsid w:val="00E10609"/>
    <w:rsid w:val="00E109CF"/>
    <w:rsid w:val="00E10FE3"/>
    <w:rsid w:val="00E13AE9"/>
    <w:rsid w:val="00E1431A"/>
    <w:rsid w:val="00E14BC0"/>
    <w:rsid w:val="00E15140"/>
    <w:rsid w:val="00E15948"/>
    <w:rsid w:val="00E1712B"/>
    <w:rsid w:val="00E175B8"/>
    <w:rsid w:val="00E22A84"/>
    <w:rsid w:val="00E24DA7"/>
    <w:rsid w:val="00E30627"/>
    <w:rsid w:val="00E30E69"/>
    <w:rsid w:val="00E33144"/>
    <w:rsid w:val="00E33962"/>
    <w:rsid w:val="00E33B7B"/>
    <w:rsid w:val="00E34808"/>
    <w:rsid w:val="00E35231"/>
    <w:rsid w:val="00E35DF2"/>
    <w:rsid w:val="00E365A1"/>
    <w:rsid w:val="00E37788"/>
    <w:rsid w:val="00E41045"/>
    <w:rsid w:val="00E41866"/>
    <w:rsid w:val="00E427F6"/>
    <w:rsid w:val="00E43489"/>
    <w:rsid w:val="00E449BD"/>
    <w:rsid w:val="00E44E76"/>
    <w:rsid w:val="00E44FE8"/>
    <w:rsid w:val="00E4561A"/>
    <w:rsid w:val="00E45E9F"/>
    <w:rsid w:val="00E503A3"/>
    <w:rsid w:val="00E520E4"/>
    <w:rsid w:val="00E54326"/>
    <w:rsid w:val="00E558EF"/>
    <w:rsid w:val="00E57D57"/>
    <w:rsid w:val="00E6191A"/>
    <w:rsid w:val="00E6217D"/>
    <w:rsid w:val="00E63184"/>
    <w:rsid w:val="00E64E2F"/>
    <w:rsid w:val="00E651AF"/>
    <w:rsid w:val="00E6787B"/>
    <w:rsid w:val="00E67BBF"/>
    <w:rsid w:val="00E712BC"/>
    <w:rsid w:val="00E745DB"/>
    <w:rsid w:val="00E75B61"/>
    <w:rsid w:val="00E7750E"/>
    <w:rsid w:val="00E775F0"/>
    <w:rsid w:val="00E807AF"/>
    <w:rsid w:val="00E80A4D"/>
    <w:rsid w:val="00E814AD"/>
    <w:rsid w:val="00E81CA4"/>
    <w:rsid w:val="00E82A1A"/>
    <w:rsid w:val="00E82D13"/>
    <w:rsid w:val="00E82E2B"/>
    <w:rsid w:val="00E84083"/>
    <w:rsid w:val="00E8659D"/>
    <w:rsid w:val="00E86F38"/>
    <w:rsid w:val="00E87DA2"/>
    <w:rsid w:val="00E87DAB"/>
    <w:rsid w:val="00E917EC"/>
    <w:rsid w:val="00E92A79"/>
    <w:rsid w:val="00E92CD6"/>
    <w:rsid w:val="00E9751F"/>
    <w:rsid w:val="00E97AF3"/>
    <w:rsid w:val="00EA0370"/>
    <w:rsid w:val="00EA03B3"/>
    <w:rsid w:val="00EA1296"/>
    <w:rsid w:val="00EA212B"/>
    <w:rsid w:val="00EA3E65"/>
    <w:rsid w:val="00EA42FD"/>
    <w:rsid w:val="00EA4CF4"/>
    <w:rsid w:val="00EA66F7"/>
    <w:rsid w:val="00EA7D82"/>
    <w:rsid w:val="00EB0461"/>
    <w:rsid w:val="00EB142D"/>
    <w:rsid w:val="00EB19E6"/>
    <w:rsid w:val="00EB3062"/>
    <w:rsid w:val="00EB5465"/>
    <w:rsid w:val="00EB5EE7"/>
    <w:rsid w:val="00EC29B5"/>
    <w:rsid w:val="00EC4C50"/>
    <w:rsid w:val="00EC4EA7"/>
    <w:rsid w:val="00EC5867"/>
    <w:rsid w:val="00EC5FEA"/>
    <w:rsid w:val="00EC7757"/>
    <w:rsid w:val="00EC77B2"/>
    <w:rsid w:val="00EC7F20"/>
    <w:rsid w:val="00ED1D78"/>
    <w:rsid w:val="00ED2A3B"/>
    <w:rsid w:val="00ED2B63"/>
    <w:rsid w:val="00ED2BBD"/>
    <w:rsid w:val="00ED362A"/>
    <w:rsid w:val="00ED3635"/>
    <w:rsid w:val="00ED5A3C"/>
    <w:rsid w:val="00ED5DF2"/>
    <w:rsid w:val="00ED5E78"/>
    <w:rsid w:val="00ED5F24"/>
    <w:rsid w:val="00ED66DD"/>
    <w:rsid w:val="00ED6E70"/>
    <w:rsid w:val="00ED7611"/>
    <w:rsid w:val="00EE0488"/>
    <w:rsid w:val="00EE09A8"/>
    <w:rsid w:val="00EE0F57"/>
    <w:rsid w:val="00EE142F"/>
    <w:rsid w:val="00EE564E"/>
    <w:rsid w:val="00EE5866"/>
    <w:rsid w:val="00EE6472"/>
    <w:rsid w:val="00EE651A"/>
    <w:rsid w:val="00EF0794"/>
    <w:rsid w:val="00EF0DE6"/>
    <w:rsid w:val="00EF15ED"/>
    <w:rsid w:val="00EF2999"/>
    <w:rsid w:val="00EF2DE8"/>
    <w:rsid w:val="00EF3AD8"/>
    <w:rsid w:val="00EF4D70"/>
    <w:rsid w:val="00EF4DD5"/>
    <w:rsid w:val="00EF6D42"/>
    <w:rsid w:val="00F03666"/>
    <w:rsid w:val="00F04183"/>
    <w:rsid w:val="00F04382"/>
    <w:rsid w:val="00F05A0F"/>
    <w:rsid w:val="00F0715C"/>
    <w:rsid w:val="00F11845"/>
    <w:rsid w:val="00F12B5A"/>
    <w:rsid w:val="00F1324A"/>
    <w:rsid w:val="00F14B73"/>
    <w:rsid w:val="00F15096"/>
    <w:rsid w:val="00F16FF0"/>
    <w:rsid w:val="00F22972"/>
    <w:rsid w:val="00F23C8B"/>
    <w:rsid w:val="00F24278"/>
    <w:rsid w:val="00F2439B"/>
    <w:rsid w:val="00F267BA"/>
    <w:rsid w:val="00F27F19"/>
    <w:rsid w:val="00F30CA9"/>
    <w:rsid w:val="00F31C93"/>
    <w:rsid w:val="00F32611"/>
    <w:rsid w:val="00F3291B"/>
    <w:rsid w:val="00F349C2"/>
    <w:rsid w:val="00F34EEB"/>
    <w:rsid w:val="00F3582D"/>
    <w:rsid w:val="00F377B9"/>
    <w:rsid w:val="00F41744"/>
    <w:rsid w:val="00F41BD7"/>
    <w:rsid w:val="00F42338"/>
    <w:rsid w:val="00F4288D"/>
    <w:rsid w:val="00F42E8E"/>
    <w:rsid w:val="00F431F2"/>
    <w:rsid w:val="00F434D1"/>
    <w:rsid w:val="00F47D20"/>
    <w:rsid w:val="00F5090D"/>
    <w:rsid w:val="00F509F3"/>
    <w:rsid w:val="00F51772"/>
    <w:rsid w:val="00F520DD"/>
    <w:rsid w:val="00F5269F"/>
    <w:rsid w:val="00F52A79"/>
    <w:rsid w:val="00F54233"/>
    <w:rsid w:val="00F54811"/>
    <w:rsid w:val="00F54F4D"/>
    <w:rsid w:val="00F56774"/>
    <w:rsid w:val="00F56CA6"/>
    <w:rsid w:val="00F57399"/>
    <w:rsid w:val="00F574B2"/>
    <w:rsid w:val="00F603AD"/>
    <w:rsid w:val="00F603B6"/>
    <w:rsid w:val="00F61344"/>
    <w:rsid w:val="00F61ED6"/>
    <w:rsid w:val="00F63715"/>
    <w:rsid w:val="00F63D0F"/>
    <w:rsid w:val="00F64ABA"/>
    <w:rsid w:val="00F654D4"/>
    <w:rsid w:val="00F70B1F"/>
    <w:rsid w:val="00F71672"/>
    <w:rsid w:val="00F7258A"/>
    <w:rsid w:val="00F764F2"/>
    <w:rsid w:val="00F769F2"/>
    <w:rsid w:val="00F803DA"/>
    <w:rsid w:val="00F80CC6"/>
    <w:rsid w:val="00F82950"/>
    <w:rsid w:val="00F83B7B"/>
    <w:rsid w:val="00F91A70"/>
    <w:rsid w:val="00F92FA6"/>
    <w:rsid w:val="00F9332B"/>
    <w:rsid w:val="00F93E2E"/>
    <w:rsid w:val="00F94ACC"/>
    <w:rsid w:val="00F957F4"/>
    <w:rsid w:val="00F96205"/>
    <w:rsid w:val="00F96327"/>
    <w:rsid w:val="00F96A32"/>
    <w:rsid w:val="00F97B78"/>
    <w:rsid w:val="00F97D1B"/>
    <w:rsid w:val="00FA08ED"/>
    <w:rsid w:val="00FA0D46"/>
    <w:rsid w:val="00FA0EAF"/>
    <w:rsid w:val="00FA1590"/>
    <w:rsid w:val="00FA2DE1"/>
    <w:rsid w:val="00FA467C"/>
    <w:rsid w:val="00FA4D1B"/>
    <w:rsid w:val="00FA5FF2"/>
    <w:rsid w:val="00FA72DC"/>
    <w:rsid w:val="00FA7785"/>
    <w:rsid w:val="00FB1728"/>
    <w:rsid w:val="00FB25B9"/>
    <w:rsid w:val="00FB3533"/>
    <w:rsid w:val="00FB3F2F"/>
    <w:rsid w:val="00FB417C"/>
    <w:rsid w:val="00FB440E"/>
    <w:rsid w:val="00FB45E9"/>
    <w:rsid w:val="00FB4F71"/>
    <w:rsid w:val="00FB5884"/>
    <w:rsid w:val="00FB6F66"/>
    <w:rsid w:val="00FB77FC"/>
    <w:rsid w:val="00FC0187"/>
    <w:rsid w:val="00FC070C"/>
    <w:rsid w:val="00FC141D"/>
    <w:rsid w:val="00FC25AE"/>
    <w:rsid w:val="00FC375F"/>
    <w:rsid w:val="00FC39FF"/>
    <w:rsid w:val="00FC4BBF"/>
    <w:rsid w:val="00FC554E"/>
    <w:rsid w:val="00FD02BF"/>
    <w:rsid w:val="00FD03BF"/>
    <w:rsid w:val="00FD093A"/>
    <w:rsid w:val="00FD1147"/>
    <w:rsid w:val="00FD2BFB"/>
    <w:rsid w:val="00FD404E"/>
    <w:rsid w:val="00FD48E3"/>
    <w:rsid w:val="00FD49FC"/>
    <w:rsid w:val="00FD642A"/>
    <w:rsid w:val="00FE0678"/>
    <w:rsid w:val="00FE1144"/>
    <w:rsid w:val="00FE1461"/>
    <w:rsid w:val="00FE2113"/>
    <w:rsid w:val="00FE2F46"/>
    <w:rsid w:val="00FE30D5"/>
    <w:rsid w:val="00FE5C44"/>
    <w:rsid w:val="00FF0757"/>
    <w:rsid w:val="00FF2AD5"/>
    <w:rsid w:val="00FF2F6F"/>
    <w:rsid w:val="00FF3B8B"/>
    <w:rsid w:val="00FF4731"/>
    <w:rsid w:val="00FF5CB6"/>
    <w:rsid w:val="00FF5F7E"/>
    <w:rsid w:val="00FF6A65"/>
    <w:rsid w:val="00FF74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D4CEB4"/>
  <w15:docId w15:val="{0AF6AFBC-5691-46E1-8CFF-12F9E084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5C80"/>
    <w:pPr>
      <w:spacing w:after="200" w:line="276" w:lineRule="auto"/>
      <w:jc w:val="both"/>
    </w:pPr>
  </w:style>
  <w:style w:type="paragraph" w:styleId="Naslov1">
    <w:name w:val="heading 1"/>
    <w:basedOn w:val="Navaden"/>
    <w:next w:val="Navaden"/>
    <w:link w:val="Naslov1Znak"/>
    <w:uiPriority w:val="99"/>
    <w:qFormat/>
    <w:rsid w:val="004C4559"/>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9"/>
    <w:qFormat/>
    <w:rsid w:val="004C4559"/>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nhideWhenUsed/>
    <w:qFormat/>
    <w:locked/>
    <w:rsid w:val="007D0188"/>
    <w:pPr>
      <w:keepNext/>
      <w:spacing w:before="240" w:after="60"/>
      <w:outlineLvl w:val="2"/>
    </w:pPr>
    <w:rPr>
      <w:rFonts w:eastAsia="Times New Roman"/>
      <w:b/>
      <w:bCs/>
      <w:sz w:val="26"/>
      <w:szCs w:val="26"/>
    </w:rPr>
  </w:style>
  <w:style w:type="paragraph" w:styleId="Naslov4">
    <w:name w:val="heading 4"/>
    <w:basedOn w:val="Navaden"/>
    <w:next w:val="Navaden"/>
    <w:link w:val="Naslov4Znak"/>
    <w:unhideWhenUsed/>
    <w:qFormat/>
    <w:locked/>
    <w:rsid w:val="009B6EF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locked/>
    <w:rsid w:val="009B6EF4"/>
    <w:pPr>
      <w:keepNext/>
      <w:keepLines/>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locked/>
    <w:rsid w:val="009B6EF4"/>
    <w:pPr>
      <w:keepNext/>
      <w:keepLines/>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nhideWhenUsed/>
    <w:qFormat/>
    <w:locked/>
    <w:rsid w:val="0003120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4C4559"/>
    <w:rPr>
      <w:rFonts w:ascii="Cambria" w:hAnsi="Cambria" w:cs="Times New Roman"/>
      <w:b/>
      <w:bCs/>
      <w:color w:val="365F91"/>
      <w:sz w:val="28"/>
      <w:szCs w:val="28"/>
      <w:lang w:val="en-GB"/>
    </w:rPr>
  </w:style>
  <w:style w:type="character" w:customStyle="1" w:styleId="Naslov2Znak">
    <w:name w:val="Naslov 2 Znak"/>
    <w:link w:val="Naslov2"/>
    <w:uiPriority w:val="99"/>
    <w:locked/>
    <w:rsid w:val="004C4559"/>
    <w:rPr>
      <w:rFonts w:ascii="Cambria" w:hAnsi="Cambria" w:cs="Times New Roman"/>
      <w:b/>
      <w:bCs/>
      <w:color w:val="4F81BD"/>
      <w:sz w:val="26"/>
      <w:szCs w:val="26"/>
      <w:lang w:val="en-GB"/>
    </w:rPr>
  </w:style>
  <w:style w:type="paragraph" w:styleId="Odstavekseznama">
    <w:name w:val="List Paragraph"/>
    <w:basedOn w:val="Navaden"/>
    <w:uiPriority w:val="34"/>
    <w:qFormat/>
    <w:rsid w:val="00145985"/>
    <w:pPr>
      <w:ind w:left="720"/>
      <w:contextualSpacing/>
    </w:pPr>
  </w:style>
  <w:style w:type="table" w:styleId="Tabelamrea">
    <w:name w:val="Table Grid"/>
    <w:basedOn w:val="Navadnatabela"/>
    <w:uiPriority w:val="39"/>
    <w:rsid w:val="0045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rsid w:val="001917E6"/>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1917E6"/>
    <w:pPr>
      <w:autoSpaceDE w:val="0"/>
      <w:autoSpaceDN w:val="0"/>
      <w:adjustRightInd w:val="0"/>
    </w:pPr>
    <w:rPr>
      <w:rFonts w:ascii="EUAlbertina" w:eastAsia="Times New Roman" w:hAnsi="EUAlbertina" w:cs="EUAlbertina"/>
      <w:color w:val="000000"/>
      <w:sz w:val="24"/>
      <w:szCs w:val="24"/>
      <w:lang w:val="en-GB" w:eastAsia="en-US"/>
    </w:rPr>
  </w:style>
  <w:style w:type="paragraph" w:styleId="Besedilooblaka">
    <w:name w:val="Balloon Text"/>
    <w:basedOn w:val="Navaden"/>
    <w:link w:val="BesedilooblakaZnak"/>
    <w:uiPriority w:val="99"/>
    <w:semiHidden/>
    <w:rsid w:val="00751B4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751B4E"/>
    <w:rPr>
      <w:rFonts w:ascii="Tahoma" w:hAnsi="Tahoma" w:cs="Tahoma"/>
      <w:sz w:val="16"/>
      <w:szCs w:val="16"/>
      <w:lang w:val="en-GB"/>
    </w:rPr>
  </w:style>
  <w:style w:type="paragraph" w:styleId="Telobesedila">
    <w:name w:val="Body Text"/>
    <w:basedOn w:val="Navaden"/>
    <w:link w:val="TelobesedilaZnak"/>
    <w:uiPriority w:val="99"/>
    <w:unhideWhenUsed/>
    <w:rsid w:val="003E5DBA"/>
    <w:pPr>
      <w:spacing w:before="120" w:after="120" w:line="240" w:lineRule="auto"/>
      <w:jc w:val="center"/>
    </w:pPr>
    <w:rPr>
      <w:rFonts w:cs="Arial"/>
      <w:sz w:val="20"/>
    </w:rPr>
  </w:style>
  <w:style w:type="character" w:customStyle="1" w:styleId="TelobesedilaZnak">
    <w:name w:val="Telo besedila Znak"/>
    <w:link w:val="Telobesedila"/>
    <w:uiPriority w:val="99"/>
    <w:rsid w:val="003E5DBA"/>
    <w:rPr>
      <w:rFonts w:ascii="Arial" w:hAnsi="Arial" w:cs="Arial"/>
      <w:sz w:val="20"/>
      <w:szCs w:val="20"/>
      <w:lang w:eastAsia="en-US"/>
    </w:rPr>
  </w:style>
  <w:style w:type="character" w:customStyle="1" w:styleId="Naslov3Znak">
    <w:name w:val="Naslov 3 Znak"/>
    <w:link w:val="Naslov3"/>
    <w:rsid w:val="007D0188"/>
    <w:rPr>
      <w:rFonts w:ascii="Arial" w:eastAsia="Times New Roman" w:hAnsi="Arial"/>
      <w:b/>
      <w:bCs/>
      <w:sz w:val="26"/>
      <w:szCs w:val="26"/>
      <w:lang w:eastAsia="en-US"/>
    </w:rPr>
  </w:style>
  <w:style w:type="paragraph" w:styleId="Telobesedila2">
    <w:name w:val="Body Text 2"/>
    <w:basedOn w:val="Navaden"/>
    <w:link w:val="Telobesedila2Znak"/>
    <w:uiPriority w:val="99"/>
    <w:unhideWhenUsed/>
    <w:rsid w:val="00B47F47"/>
    <w:pPr>
      <w:spacing w:before="120" w:after="120" w:line="240" w:lineRule="auto"/>
    </w:pPr>
    <w:rPr>
      <w:rFonts w:cs="Arial"/>
      <w:sz w:val="20"/>
    </w:rPr>
  </w:style>
  <w:style w:type="character" w:customStyle="1" w:styleId="Telobesedila2Znak">
    <w:name w:val="Telo besedila 2 Znak"/>
    <w:link w:val="Telobesedila2"/>
    <w:uiPriority w:val="99"/>
    <w:rsid w:val="00B47F47"/>
    <w:rPr>
      <w:rFonts w:ascii="Arial" w:hAnsi="Arial" w:cs="Arial"/>
      <w:lang w:val="sl-SI" w:eastAsia="en-US"/>
    </w:rPr>
  </w:style>
  <w:style w:type="paragraph" w:styleId="Telobesedila3">
    <w:name w:val="Body Text 3"/>
    <w:basedOn w:val="Navaden"/>
    <w:link w:val="Telobesedila3Znak"/>
    <w:uiPriority w:val="99"/>
    <w:unhideWhenUsed/>
    <w:rsid w:val="005A414B"/>
    <w:rPr>
      <w:rFonts w:cs="Arial"/>
      <w:b/>
      <w:bCs/>
      <w:i/>
      <w:color w:val="000000"/>
      <w:sz w:val="20"/>
    </w:rPr>
  </w:style>
  <w:style w:type="character" w:customStyle="1" w:styleId="Telobesedila3Znak">
    <w:name w:val="Telo besedila 3 Znak"/>
    <w:link w:val="Telobesedila3"/>
    <w:uiPriority w:val="99"/>
    <w:rsid w:val="005A414B"/>
    <w:rPr>
      <w:rFonts w:ascii="Arial" w:hAnsi="Arial" w:cs="Arial"/>
      <w:b/>
      <w:bCs/>
      <w:i/>
      <w:color w:val="000000"/>
      <w:lang w:val="sl-SI" w:eastAsia="sl-SI"/>
    </w:rPr>
  </w:style>
  <w:style w:type="character" w:styleId="Hiperpovezava">
    <w:name w:val="Hyperlink"/>
    <w:uiPriority w:val="99"/>
    <w:unhideWhenUsed/>
    <w:rsid w:val="00EA03B3"/>
    <w:rPr>
      <w:color w:val="0000FF"/>
      <w:u w:val="single"/>
    </w:rPr>
  </w:style>
  <w:style w:type="paragraph" w:styleId="Brezrazmikov">
    <w:name w:val="No Spacing"/>
    <w:link w:val="BrezrazmikovZnak"/>
    <w:uiPriority w:val="1"/>
    <w:qFormat/>
    <w:rsid w:val="00F377B9"/>
    <w:rPr>
      <w:rFonts w:eastAsiaTheme="minorEastAsia" w:cstheme="minorBidi"/>
      <w:szCs w:val="22"/>
    </w:rPr>
  </w:style>
  <w:style w:type="character" w:customStyle="1" w:styleId="BrezrazmikovZnak">
    <w:name w:val="Brez razmikov Znak"/>
    <w:basedOn w:val="Privzetapisavaodstavka"/>
    <w:link w:val="Brezrazmikov"/>
    <w:uiPriority w:val="1"/>
    <w:rsid w:val="00F377B9"/>
    <w:rPr>
      <w:rFonts w:eastAsiaTheme="minorEastAsia" w:cstheme="minorBidi"/>
      <w:szCs w:val="22"/>
    </w:rPr>
  </w:style>
  <w:style w:type="paragraph" w:styleId="Glava">
    <w:name w:val="header"/>
    <w:basedOn w:val="Navaden"/>
    <w:link w:val="GlavaZnak"/>
    <w:uiPriority w:val="99"/>
    <w:unhideWhenUsed/>
    <w:rsid w:val="009B6EF4"/>
    <w:pPr>
      <w:tabs>
        <w:tab w:val="center" w:pos="4536"/>
        <w:tab w:val="right" w:pos="9072"/>
      </w:tabs>
      <w:spacing w:after="0" w:line="240" w:lineRule="auto"/>
    </w:pPr>
  </w:style>
  <w:style w:type="character" w:customStyle="1" w:styleId="GlavaZnak">
    <w:name w:val="Glava Znak"/>
    <w:basedOn w:val="Privzetapisavaodstavka"/>
    <w:link w:val="Glava"/>
    <w:uiPriority w:val="99"/>
    <w:rsid w:val="009B6EF4"/>
    <w:rPr>
      <w:sz w:val="22"/>
      <w:szCs w:val="22"/>
      <w:lang w:val="en-GB" w:eastAsia="en-US"/>
    </w:rPr>
  </w:style>
  <w:style w:type="paragraph" w:styleId="Noga">
    <w:name w:val="footer"/>
    <w:basedOn w:val="Navaden"/>
    <w:link w:val="NogaZnak"/>
    <w:uiPriority w:val="99"/>
    <w:unhideWhenUsed/>
    <w:rsid w:val="009B6EF4"/>
    <w:pPr>
      <w:tabs>
        <w:tab w:val="center" w:pos="4536"/>
        <w:tab w:val="right" w:pos="9072"/>
      </w:tabs>
      <w:spacing w:after="0" w:line="240" w:lineRule="auto"/>
    </w:pPr>
  </w:style>
  <w:style w:type="character" w:customStyle="1" w:styleId="NogaZnak">
    <w:name w:val="Noga Znak"/>
    <w:basedOn w:val="Privzetapisavaodstavka"/>
    <w:link w:val="Noga"/>
    <w:uiPriority w:val="99"/>
    <w:rsid w:val="009B6EF4"/>
    <w:rPr>
      <w:sz w:val="22"/>
      <w:szCs w:val="22"/>
      <w:lang w:val="en-GB" w:eastAsia="en-US"/>
    </w:rPr>
  </w:style>
  <w:style w:type="character" w:customStyle="1" w:styleId="Naslov4Znak">
    <w:name w:val="Naslov 4 Znak"/>
    <w:basedOn w:val="Privzetapisavaodstavka"/>
    <w:link w:val="Naslov4"/>
    <w:rsid w:val="009B6EF4"/>
    <w:rPr>
      <w:rFonts w:asciiTheme="majorHAnsi" w:eastAsiaTheme="majorEastAsia" w:hAnsiTheme="majorHAnsi" w:cstheme="majorBidi"/>
      <w:i/>
      <w:iCs/>
      <w:color w:val="365F91" w:themeColor="accent1" w:themeShade="BF"/>
      <w:sz w:val="22"/>
      <w:szCs w:val="22"/>
      <w:lang w:val="en-GB" w:eastAsia="en-US"/>
    </w:rPr>
  </w:style>
  <w:style w:type="character" w:customStyle="1" w:styleId="Naslov5Znak">
    <w:name w:val="Naslov 5 Znak"/>
    <w:basedOn w:val="Privzetapisavaodstavka"/>
    <w:link w:val="Naslov5"/>
    <w:rsid w:val="009B6EF4"/>
    <w:rPr>
      <w:rFonts w:asciiTheme="majorHAnsi" w:eastAsiaTheme="majorEastAsia" w:hAnsiTheme="majorHAnsi" w:cstheme="majorBidi"/>
      <w:color w:val="365F91" w:themeColor="accent1" w:themeShade="BF"/>
      <w:sz w:val="22"/>
      <w:szCs w:val="22"/>
      <w:lang w:val="en-GB" w:eastAsia="en-US"/>
    </w:rPr>
  </w:style>
  <w:style w:type="character" w:customStyle="1" w:styleId="Naslov6Znak">
    <w:name w:val="Naslov 6 Znak"/>
    <w:basedOn w:val="Privzetapisavaodstavka"/>
    <w:link w:val="Naslov6"/>
    <w:rsid w:val="009B6EF4"/>
    <w:rPr>
      <w:rFonts w:asciiTheme="majorHAnsi" w:eastAsiaTheme="majorEastAsia" w:hAnsiTheme="majorHAnsi" w:cstheme="majorBidi"/>
      <w:color w:val="243F60" w:themeColor="accent1" w:themeShade="7F"/>
      <w:sz w:val="22"/>
      <w:szCs w:val="22"/>
      <w:lang w:val="en-GB" w:eastAsia="en-US"/>
    </w:rPr>
  </w:style>
  <w:style w:type="character" w:customStyle="1" w:styleId="Naslov7Znak">
    <w:name w:val="Naslov 7 Znak"/>
    <w:basedOn w:val="Privzetapisavaodstavka"/>
    <w:link w:val="Naslov7"/>
    <w:rsid w:val="00031203"/>
    <w:rPr>
      <w:rFonts w:asciiTheme="majorHAnsi" w:eastAsiaTheme="majorEastAsia" w:hAnsiTheme="majorHAnsi" w:cstheme="majorBidi"/>
      <w:i/>
      <w:iCs/>
      <w:color w:val="243F60" w:themeColor="accent1" w:themeShade="7F"/>
      <w:sz w:val="22"/>
      <w:szCs w:val="22"/>
      <w:lang w:val="en-GB" w:eastAsia="en-US"/>
    </w:rPr>
  </w:style>
  <w:style w:type="paragraph" w:styleId="NaslovTOC">
    <w:name w:val="TOC Heading"/>
    <w:basedOn w:val="Naslov1"/>
    <w:next w:val="Navaden"/>
    <w:uiPriority w:val="39"/>
    <w:unhideWhenUsed/>
    <w:qFormat/>
    <w:rsid w:val="00306840"/>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Kazalovsebine3">
    <w:name w:val="toc 3"/>
    <w:basedOn w:val="Navaden"/>
    <w:next w:val="Navaden"/>
    <w:autoRedefine/>
    <w:uiPriority w:val="39"/>
    <w:locked/>
    <w:rsid w:val="00D92E9D"/>
    <w:pPr>
      <w:tabs>
        <w:tab w:val="left" w:pos="880"/>
        <w:tab w:val="right" w:leader="dot" w:pos="9736"/>
      </w:tabs>
      <w:spacing w:after="0" w:line="240" w:lineRule="auto"/>
      <w:ind w:left="442"/>
    </w:pPr>
  </w:style>
  <w:style w:type="paragraph" w:styleId="Kazalovsebine2">
    <w:name w:val="toc 2"/>
    <w:basedOn w:val="Navaden"/>
    <w:next w:val="Navaden"/>
    <w:autoRedefine/>
    <w:uiPriority w:val="39"/>
    <w:unhideWhenUsed/>
    <w:locked/>
    <w:rsid w:val="00306840"/>
    <w:pPr>
      <w:spacing w:after="100" w:line="259" w:lineRule="auto"/>
      <w:ind w:left="220"/>
    </w:pPr>
    <w:rPr>
      <w:rFonts w:asciiTheme="minorHAnsi" w:eastAsiaTheme="minorEastAsia" w:hAnsiTheme="minorHAnsi"/>
    </w:rPr>
  </w:style>
  <w:style w:type="paragraph" w:styleId="Kazalovsebine1">
    <w:name w:val="toc 1"/>
    <w:basedOn w:val="Navaden"/>
    <w:next w:val="Navaden"/>
    <w:autoRedefine/>
    <w:uiPriority w:val="39"/>
    <w:unhideWhenUsed/>
    <w:locked/>
    <w:rsid w:val="004C0BEF"/>
    <w:pPr>
      <w:spacing w:after="0" w:line="259" w:lineRule="auto"/>
    </w:pPr>
    <w:rPr>
      <w:rFonts w:eastAsiaTheme="minorEastAsia"/>
      <w:sz w:val="18"/>
    </w:rPr>
  </w:style>
  <w:style w:type="paragraph" w:styleId="Podnaslov">
    <w:name w:val="Subtitle"/>
    <w:basedOn w:val="Navaden"/>
    <w:next w:val="Navaden"/>
    <w:link w:val="PodnaslovZnak"/>
    <w:qFormat/>
    <w:locked/>
    <w:rsid w:val="0030684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Znak">
    <w:name w:val="Podnaslov Znak"/>
    <w:basedOn w:val="Privzetapisavaodstavka"/>
    <w:link w:val="Podnaslov"/>
    <w:rsid w:val="00306840"/>
    <w:rPr>
      <w:rFonts w:asciiTheme="minorHAnsi" w:eastAsiaTheme="minorEastAsia" w:hAnsiTheme="minorHAnsi" w:cstheme="minorBidi"/>
      <w:color w:val="5A5A5A" w:themeColor="text1" w:themeTint="A5"/>
      <w:spacing w:val="15"/>
      <w:sz w:val="22"/>
      <w:szCs w:val="22"/>
      <w:lang w:val="en-GB" w:eastAsia="en-US"/>
    </w:rPr>
  </w:style>
  <w:style w:type="paragraph" w:customStyle="1" w:styleId="zamik1">
    <w:name w:val="zamik1"/>
    <w:basedOn w:val="Navaden"/>
    <w:qFormat/>
    <w:rsid w:val="001671F4"/>
    <w:pPr>
      <w:numPr>
        <w:numId w:val="1"/>
      </w:numPr>
      <w:suppressAutoHyphens/>
      <w:spacing w:before="120" w:after="0" w:line="240" w:lineRule="auto"/>
    </w:pPr>
    <w:rPr>
      <w:rFonts w:eastAsia="Times New Roman"/>
      <w:sz w:val="20"/>
      <w:lang w:eastAsia="ar-SA"/>
    </w:rPr>
  </w:style>
  <w:style w:type="character" w:styleId="Pripombasklic">
    <w:name w:val="annotation reference"/>
    <w:basedOn w:val="Privzetapisavaodstavka"/>
    <w:uiPriority w:val="99"/>
    <w:semiHidden/>
    <w:unhideWhenUsed/>
    <w:rsid w:val="00B70CE6"/>
    <w:rPr>
      <w:sz w:val="16"/>
      <w:szCs w:val="16"/>
    </w:rPr>
  </w:style>
  <w:style w:type="paragraph" w:styleId="Pripombabesedilo">
    <w:name w:val="annotation text"/>
    <w:basedOn w:val="Navaden"/>
    <w:link w:val="PripombabesediloZnak"/>
    <w:uiPriority w:val="99"/>
    <w:unhideWhenUsed/>
    <w:rsid w:val="00B70CE6"/>
    <w:pPr>
      <w:spacing w:line="240" w:lineRule="auto"/>
    </w:pPr>
    <w:rPr>
      <w:sz w:val="20"/>
    </w:rPr>
  </w:style>
  <w:style w:type="character" w:customStyle="1" w:styleId="PripombabesediloZnak">
    <w:name w:val="Pripomba – besedilo Znak"/>
    <w:basedOn w:val="Privzetapisavaodstavka"/>
    <w:link w:val="Pripombabesedilo"/>
    <w:uiPriority w:val="99"/>
    <w:rsid w:val="00B70CE6"/>
    <w:rPr>
      <w:lang w:val="en-GB" w:eastAsia="en-US"/>
    </w:rPr>
  </w:style>
  <w:style w:type="paragraph" w:styleId="Zadevapripombe">
    <w:name w:val="annotation subject"/>
    <w:basedOn w:val="Pripombabesedilo"/>
    <w:next w:val="Pripombabesedilo"/>
    <w:link w:val="ZadevapripombeZnak"/>
    <w:uiPriority w:val="99"/>
    <w:semiHidden/>
    <w:unhideWhenUsed/>
    <w:rsid w:val="00B70CE6"/>
    <w:rPr>
      <w:b/>
      <w:bCs/>
    </w:rPr>
  </w:style>
  <w:style w:type="character" w:customStyle="1" w:styleId="ZadevapripombeZnak">
    <w:name w:val="Zadeva pripombe Znak"/>
    <w:basedOn w:val="PripombabesediloZnak"/>
    <w:link w:val="Zadevapripombe"/>
    <w:uiPriority w:val="99"/>
    <w:semiHidden/>
    <w:rsid w:val="00B70CE6"/>
    <w:rPr>
      <w:b/>
      <w:bCs/>
      <w:lang w:val="en-GB" w:eastAsia="en-US"/>
    </w:rPr>
  </w:style>
  <w:style w:type="table" w:customStyle="1" w:styleId="Tabelaseznam3poudarek11">
    <w:name w:val="Tabela – seznam 3 (poudarek 1)1"/>
    <w:basedOn w:val="Navadnatabela"/>
    <w:uiPriority w:val="48"/>
    <w:rsid w:val="00E14BC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Sprotnaopomba-besedilo">
    <w:name w:val="footnote text"/>
    <w:basedOn w:val="Navaden"/>
    <w:link w:val="Sprotnaopomba-besediloZnak"/>
    <w:uiPriority w:val="99"/>
    <w:semiHidden/>
    <w:unhideWhenUsed/>
    <w:rsid w:val="00E6787B"/>
    <w:pPr>
      <w:spacing w:after="0" w:line="240" w:lineRule="auto"/>
    </w:pPr>
    <w:rPr>
      <w:sz w:val="20"/>
    </w:rPr>
  </w:style>
  <w:style w:type="character" w:customStyle="1" w:styleId="Sprotnaopomba-besediloZnak">
    <w:name w:val="Sprotna opomba - besedilo Znak"/>
    <w:basedOn w:val="Privzetapisavaodstavka"/>
    <w:link w:val="Sprotnaopomba-besedilo"/>
    <w:uiPriority w:val="99"/>
    <w:semiHidden/>
    <w:rsid w:val="00E6787B"/>
    <w:rPr>
      <w:lang w:val="en-GB" w:eastAsia="en-US"/>
    </w:rPr>
  </w:style>
  <w:style w:type="character" w:styleId="Sprotnaopomba-sklic">
    <w:name w:val="footnote reference"/>
    <w:basedOn w:val="Privzetapisavaodstavka"/>
    <w:uiPriority w:val="99"/>
    <w:semiHidden/>
    <w:unhideWhenUsed/>
    <w:rsid w:val="00E6787B"/>
    <w:rPr>
      <w:vertAlign w:val="superscript"/>
    </w:rPr>
  </w:style>
  <w:style w:type="table" w:customStyle="1" w:styleId="Tabelasvetlamrea1poudarek11">
    <w:name w:val="Tabela – svetla mreža 1 (poudarek 1)1"/>
    <w:basedOn w:val="Navadnatabela"/>
    <w:uiPriority w:val="46"/>
    <w:rsid w:val="00647583"/>
    <w:rPr>
      <w:rFonts w:eastAsiaTheme="minorHAnsi" w:cs="Arial"/>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ledenaHiperpovezava">
    <w:name w:val="FollowedHyperlink"/>
    <w:basedOn w:val="Privzetapisavaodstavka"/>
    <w:uiPriority w:val="99"/>
    <w:semiHidden/>
    <w:unhideWhenUsed/>
    <w:rsid w:val="005A3C71"/>
    <w:rPr>
      <w:color w:val="800080" w:themeColor="followedHyperlink"/>
      <w:u w:val="single"/>
    </w:rPr>
  </w:style>
  <w:style w:type="paragraph" w:styleId="Napis">
    <w:name w:val="caption"/>
    <w:basedOn w:val="Navaden"/>
    <w:next w:val="Navaden"/>
    <w:uiPriority w:val="35"/>
    <w:unhideWhenUsed/>
    <w:qFormat/>
    <w:locked/>
    <w:rsid w:val="00D664E5"/>
    <w:pPr>
      <w:spacing w:line="240" w:lineRule="auto"/>
    </w:pPr>
    <w:rPr>
      <w:i/>
      <w:iCs/>
      <w:color w:val="1F497D" w:themeColor="text2"/>
      <w:sz w:val="18"/>
      <w:szCs w:val="18"/>
    </w:rPr>
  </w:style>
  <w:style w:type="table" w:customStyle="1" w:styleId="Tabelamrea4poudarek11">
    <w:name w:val="Tabela – mreža 4 (poudarek 1)1"/>
    <w:basedOn w:val="Navadnatabela"/>
    <w:uiPriority w:val="49"/>
    <w:rsid w:val="007C0B8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Kazaloslik">
    <w:name w:val="table of figures"/>
    <w:basedOn w:val="Navaden"/>
    <w:next w:val="Navaden"/>
    <w:autoRedefine/>
    <w:uiPriority w:val="99"/>
    <w:unhideWhenUsed/>
    <w:rsid w:val="00CD10D9"/>
    <w:pPr>
      <w:tabs>
        <w:tab w:val="right" w:leader="dot" w:pos="9736"/>
      </w:tabs>
      <w:spacing w:after="0"/>
      <w:ind w:left="737" w:hanging="737"/>
    </w:pPr>
    <w:rPr>
      <w:rFonts w:asciiTheme="minorHAnsi" w:hAnsiTheme="minorHAnsi"/>
      <w:i/>
      <w:iCs/>
      <w:sz w:val="20"/>
    </w:rPr>
  </w:style>
  <w:style w:type="paragraph" w:styleId="Stvarnokazalo1">
    <w:name w:val="index 1"/>
    <w:basedOn w:val="Navaden"/>
    <w:next w:val="Navaden"/>
    <w:autoRedefine/>
    <w:uiPriority w:val="99"/>
    <w:semiHidden/>
    <w:unhideWhenUsed/>
    <w:rsid w:val="008B14F1"/>
    <w:pPr>
      <w:spacing w:after="0" w:line="240" w:lineRule="auto"/>
      <w:ind w:left="221" w:hanging="221"/>
    </w:pPr>
    <w:rPr>
      <w:sz w:val="18"/>
    </w:rPr>
  </w:style>
  <w:style w:type="character" w:styleId="Krepko">
    <w:name w:val="Strong"/>
    <w:basedOn w:val="Privzetapisavaodstavka"/>
    <w:uiPriority w:val="22"/>
    <w:qFormat/>
    <w:locked/>
    <w:rsid w:val="00B40748"/>
    <w:rPr>
      <w:b/>
      <w:bCs/>
    </w:rPr>
  </w:style>
  <w:style w:type="character" w:customStyle="1" w:styleId="Nerazreenaomemba1">
    <w:name w:val="Nerazrešena omemba1"/>
    <w:basedOn w:val="Privzetapisavaodstavka"/>
    <w:uiPriority w:val="99"/>
    <w:semiHidden/>
    <w:unhideWhenUsed/>
    <w:rsid w:val="00271F4C"/>
    <w:rPr>
      <w:color w:val="605E5C"/>
      <w:shd w:val="clear" w:color="auto" w:fill="E1DFDD"/>
    </w:rPr>
  </w:style>
  <w:style w:type="table" w:styleId="Navadnatabela2">
    <w:name w:val="Plain Table 2"/>
    <w:basedOn w:val="Navadnatabela"/>
    <w:uiPriority w:val="42"/>
    <w:rsid w:val="00FE30D5"/>
    <w:rPr>
      <w:rFonts w:asciiTheme="minorHAnsi" w:eastAsiaTheme="minorHAnsi" w:hAnsiTheme="minorHAnsi" w:cstheme="minorBidi"/>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aslov">
    <w:name w:val="Title"/>
    <w:basedOn w:val="Navaden"/>
    <w:next w:val="Navaden"/>
    <w:link w:val="NaslovZnak"/>
    <w:qFormat/>
    <w:locked/>
    <w:rsid w:val="00E35D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E35DF2"/>
    <w:rPr>
      <w:rFonts w:asciiTheme="majorHAnsi" w:eastAsiaTheme="majorEastAsia" w:hAnsiTheme="majorHAnsi" w:cstheme="majorBidi"/>
      <w:spacing w:val="-10"/>
      <w:kern w:val="28"/>
      <w:sz w:val="56"/>
      <w:szCs w:val="56"/>
      <w:lang w:val="en-GB" w:eastAsia="en-US"/>
    </w:rPr>
  </w:style>
  <w:style w:type="paragraph" w:styleId="Revizija">
    <w:name w:val="Revision"/>
    <w:hidden/>
    <w:uiPriority w:val="99"/>
    <w:semiHidden/>
    <w:rsid w:val="00CD1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663">
      <w:bodyDiv w:val="1"/>
      <w:marLeft w:val="0"/>
      <w:marRight w:val="0"/>
      <w:marTop w:val="0"/>
      <w:marBottom w:val="0"/>
      <w:divBdr>
        <w:top w:val="none" w:sz="0" w:space="0" w:color="auto"/>
        <w:left w:val="none" w:sz="0" w:space="0" w:color="auto"/>
        <w:bottom w:val="none" w:sz="0" w:space="0" w:color="auto"/>
        <w:right w:val="none" w:sz="0" w:space="0" w:color="auto"/>
      </w:divBdr>
    </w:div>
    <w:div w:id="81147287">
      <w:bodyDiv w:val="1"/>
      <w:marLeft w:val="0"/>
      <w:marRight w:val="0"/>
      <w:marTop w:val="0"/>
      <w:marBottom w:val="0"/>
      <w:divBdr>
        <w:top w:val="none" w:sz="0" w:space="0" w:color="auto"/>
        <w:left w:val="none" w:sz="0" w:space="0" w:color="auto"/>
        <w:bottom w:val="none" w:sz="0" w:space="0" w:color="auto"/>
        <w:right w:val="none" w:sz="0" w:space="0" w:color="auto"/>
      </w:divBdr>
    </w:div>
    <w:div w:id="95365184">
      <w:bodyDiv w:val="1"/>
      <w:marLeft w:val="0"/>
      <w:marRight w:val="0"/>
      <w:marTop w:val="0"/>
      <w:marBottom w:val="0"/>
      <w:divBdr>
        <w:top w:val="none" w:sz="0" w:space="0" w:color="auto"/>
        <w:left w:val="none" w:sz="0" w:space="0" w:color="auto"/>
        <w:bottom w:val="none" w:sz="0" w:space="0" w:color="auto"/>
        <w:right w:val="none" w:sz="0" w:space="0" w:color="auto"/>
      </w:divBdr>
    </w:div>
    <w:div w:id="96566157">
      <w:bodyDiv w:val="1"/>
      <w:marLeft w:val="0"/>
      <w:marRight w:val="0"/>
      <w:marTop w:val="0"/>
      <w:marBottom w:val="0"/>
      <w:divBdr>
        <w:top w:val="none" w:sz="0" w:space="0" w:color="auto"/>
        <w:left w:val="none" w:sz="0" w:space="0" w:color="auto"/>
        <w:bottom w:val="none" w:sz="0" w:space="0" w:color="auto"/>
        <w:right w:val="none" w:sz="0" w:space="0" w:color="auto"/>
      </w:divBdr>
    </w:div>
    <w:div w:id="136538309">
      <w:bodyDiv w:val="1"/>
      <w:marLeft w:val="0"/>
      <w:marRight w:val="0"/>
      <w:marTop w:val="0"/>
      <w:marBottom w:val="0"/>
      <w:divBdr>
        <w:top w:val="none" w:sz="0" w:space="0" w:color="auto"/>
        <w:left w:val="none" w:sz="0" w:space="0" w:color="auto"/>
        <w:bottom w:val="none" w:sz="0" w:space="0" w:color="auto"/>
        <w:right w:val="none" w:sz="0" w:space="0" w:color="auto"/>
      </w:divBdr>
    </w:div>
    <w:div w:id="138570426">
      <w:bodyDiv w:val="1"/>
      <w:marLeft w:val="0"/>
      <w:marRight w:val="0"/>
      <w:marTop w:val="0"/>
      <w:marBottom w:val="0"/>
      <w:divBdr>
        <w:top w:val="none" w:sz="0" w:space="0" w:color="auto"/>
        <w:left w:val="none" w:sz="0" w:space="0" w:color="auto"/>
        <w:bottom w:val="none" w:sz="0" w:space="0" w:color="auto"/>
        <w:right w:val="none" w:sz="0" w:space="0" w:color="auto"/>
      </w:divBdr>
    </w:div>
    <w:div w:id="153449202">
      <w:bodyDiv w:val="1"/>
      <w:marLeft w:val="0"/>
      <w:marRight w:val="0"/>
      <w:marTop w:val="0"/>
      <w:marBottom w:val="0"/>
      <w:divBdr>
        <w:top w:val="none" w:sz="0" w:space="0" w:color="auto"/>
        <w:left w:val="none" w:sz="0" w:space="0" w:color="auto"/>
        <w:bottom w:val="none" w:sz="0" w:space="0" w:color="auto"/>
        <w:right w:val="none" w:sz="0" w:space="0" w:color="auto"/>
      </w:divBdr>
    </w:div>
    <w:div w:id="185755859">
      <w:bodyDiv w:val="1"/>
      <w:marLeft w:val="0"/>
      <w:marRight w:val="0"/>
      <w:marTop w:val="0"/>
      <w:marBottom w:val="0"/>
      <w:divBdr>
        <w:top w:val="none" w:sz="0" w:space="0" w:color="auto"/>
        <w:left w:val="none" w:sz="0" w:space="0" w:color="auto"/>
        <w:bottom w:val="none" w:sz="0" w:space="0" w:color="auto"/>
        <w:right w:val="none" w:sz="0" w:space="0" w:color="auto"/>
      </w:divBdr>
    </w:div>
    <w:div w:id="319965204">
      <w:bodyDiv w:val="1"/>
      <w:marLeft w:val="0"/>
      <w:marRight w:val="0"/>
      <w:marTop w:val="0"/>
      <w:marBottom w:val="0"/>
      <w:divBdr>
        <w:top w:val="none" w:sz="0" w:space="0" w:color="auto"/>
        <w:left w:val="none" w:sz="0" w:space="0" w:color="auto"/>
        <w:bottom w:val="none" w:sz="0" w:space="0" w:color="auto"/>
        <w:right w:val="none" w:sz="0" w:space="0" w:color="auto"/>
      </w:divBdr>
    </w:div>
    <w:div w:id="373581445">
      <w:bodyDiv w:val="1"/>
      <w:marLeft w:val="0"/>
      <w:marRight w:val="0"/>
      <w:marTop w:val="0"/>
      <w:marBottom w:val="0"/>
      <w:divBdr>
        <w:top w:val="none" w:sz="0" w:space="0" w:color="auto"/>
        <w:left w:val="none" w:sz="0" w:space="0" w:color="auto"/>
        <w:bottom w:val="none" w:sz="0" w:space="0" w:color="auto"/>
        <w:right w:val="none" w:sz="0" w:space="0" w:color="auto"/>
      </w:divBdr>
    </w:div>
    <w:div w:id="412968558">
      <w:bodyDiv w:val="1"/>
      <w:marLeft w:val="0"/>
      <w:marRight w:val="0"/>
      <w:marTop w:val="0"/>
      <w:marBottom w:val="0"/>
      <w:divBdr>
        <w:top w:val="none" w:sz="0" w:space="0" w:color="auto"/>
        <w:left w:val="none" w:sz="0" w:space="0" w:color="auto"/>
        <w:bottom w:val="none" w:sz="0" w:space="0" w:color="auto"/>
        <w:right w:val="none" w:sz="0" w:space="0" w:color="auto"/>
      </w:divBdr>
    </w:div>
    <w:div w:id="418064001">
      <w:bodyDiv w:val="1"/>
      <w:marLeft w:val="0"/>
      <w:marRight w:val="0"/>
      <w:marTop w:val="0"/>
      <w:marBottom w:val="0"/>
      <w:divBdr>
        <w:top w:val="none" w:sz="0" w:space="0" w:color="auto"/>
        <w:left w:val="none" w:sz="0" w:space="0" w:color="auto"/>
        <w:bottom w:val="none" w:sz="0" w:space="0" w:color="auto"/>
        <w:right w:val="none" w:sz="0" w:space="0" w:color="auto"/>
      </w:divBdr>
    </w:div>
    <w:div w:id="436488170">
      <w:bodyDiv w:val="1"/>
      <w:marLeft w:val="0"/>
      <w:marRight w:val="0"/>
      <w:marTop w:val="0"/>
      <w:marBottom w:val="0"/>
      <w:divBdr>
        <w:top w:val="none" w:sz="0" w:space="0" w:color="auto"/>
        <w:left w:val="none" w:sz="0" w:space="0" w:color="auto"/>
        <w:bottom w:val="none" w:sz="0" w:space="0" w:color="auto"/>
        <w:right w:val="none" w:sz="0" w:space="0" w:color="auto"/>
      </w:divBdr>
    </w:div>
    <w:div w:id="524170332">
      <w:bodyDiv w:val="1"/>
      <w:marLeft w:val="0"/>
      <w:marRight w:val="0"/>
      <w:marTop w:val="0"/>
      <w:marBottom w:val="0"/>
      <w:divBdr>
        <w:top w:val="none" w:sz="0" w:space="0" w:color="auto"/>
        <w:left w:val="none" w:sz="0" w:space="0" w:color="auto"/>
        <w:bottom w:val="none" w:sz="0" w:space="0" w:color="auto"/>
        <w:right w:val="none" w:sz="0" w:space="0" w:color="auto"/>
      </w:divBdr>
    </w:div>
    <w:div w:id="566309459">
      <w:bodyDiv w:val="1"/>
      <w:marLeft w:val="0"/>
      <w:marRight w:val="0"/>
      <w:marTop w:val="0"/>
      <w:marBottom w:val="0"/>
      <w:divBdr>
        <w:top w:val="none" w:sz="0" w:space="0" w:color="auto"/>
        <w:left w:val="none" w:sz="0" w:space="0" w:color="auto"/>
        <w:bottom w:val="none" w:sz="0" w:space="0" w:color="auto"/>
        <w:right w:val="none" w:sz="0" w:space="0" w:color="auto"/>
      </w:divBdr>
    </w:div>
    <w:div w:id="568928900">
      <w:bodyDiv w:val="1"/>
      <w:marLeft w:val="0"/>
      <w:marRight w:val="0"/>
      <w:marTop w:val="0"/>
      <w:marBottom w:val="0"/>
      <w:divBdr>
        <w:top w:val="none" w:sz="0" w:space="0" w:color="auto"/>
        <w:left w:val="none" w:sz="0" w:space="0" w:color="auto"/>
        <w:bottom w:val="none" w:sz="0" w:space="0" w:color="auto"/>
        <w:right w:val="none" w:sz="0" w:space="0" w:color="auto"/>
      </w:divBdr>
    </w:div>
    <w:div w:id="594898774">
      <w:bodyDiv w:val="1"/>
      <w:marLeft w:val="0"/>
      <w:marRight w:val="0"/>
      <w:marTop w:val="0"/>
      <w:marBottom w:val="0"/>
      <w:divBdr>
        <w:top w:val="none" w:sz="0" w:space="0" w:color="auto"/>
        <w:left w:val="none" w:sz="0" w:space="0" w:color="auto"/>
        <w:bottom w:val="none" w:sz="0" w:space="0" w:color="auto"/>
        <w:right w:val="none" w:sz="0" w:space="0" w:color="auto"/>
      </w:divBdr>
    </w:div>
    <w:div w:id="598179560">
      <w:bodyDiv w:val="1"/>
      <w:marLeft w:val="0"/>
      <w:marRight w:val="0"/>
      <w:marTop w:val="0"/>
      <w:marBottom w:val="0"/>
      <w:divBdr>
        <w:top w:val="none" w:sz="0" w:space="0" w:color="auto"/>
        <w:left w:val="none" w:sz="0" w:space="0" w:color="auto"/>
        <w:bottom w:val="none" w:sz="0" w:space="0" w:color="auto"/>
        <w:right w:val="none" w:sz="0" w:space="0" w:color="auto"/>
      </w:divBdr>
    </w:div>
    <w:div w:id="658462077">
      <w:bodyDiv w:val="1"/>
      <w:marLeft w:val="0"/>
      <w:marRight w:val="0"/>
      <w:marTop w:val="0"/>
      <w:marBottom w:val="0"/>
      <w:divBdr>
        <w:top w:val="none" w:sz="0" w:space="0" w:color="auto"/>
        <w:left w:val="none" w:sz="0" w:space="0" w:color="auto"/>
        <w:bottom w:val="none" w:sz="0" w:space="0" w:color="auto"/>
        <w:right w:val="none" w:sz="0" w:space="0" w:color="auto"/>
      </w:divBdr>
    </w:div>
    <w:div w:id="678704742">
      <w:bodyDiv w:val="1"/>
      <w:marLeft w:val="0"/>
      <w:marRight w:val="0"/>
      <w:marTop w:val="0"/>
      <w:marBottom w:val="0"/>
      <w:divBdr>
        <w:top w:val="none" w:sz="0" w:space="0" w:color="auto"/>
        <w:left w:val="none" w:sz="0" w:space="0" w:color="auto"/>
        <w:bottom w:val="none" w:sz="0" w:space="0" w:color="auto"/>
        <w:right w:val="none" w:sz="0" w:space="0" w:color="auto"/>
      </w:divBdr>
    </w:div>
    <w:div w:id="708380768">
      <w:bodyDiv w:val="1"/>
      <w:marLeft w:val="0"/>
      <w:marRight w:val="0"/>
      <w:marTop w:val="0"/>
      <w:marBottom w:val="0"/>
      <w:divBdr>
        <w:top w:val="none" w:sz="0" w:space="0" w:color="auto"/>
        <w:left w:val="none" w:sz="0" w:space="0" w:color="auto"/>
        <w:bottom w:val="none" w:sz="0" w:space="0" w:color="auto"/>
        <w:right w:val="none" w:sz="0" w:space="0" w:color="auto"/>
      </w:divBdr>
    </w:div>
    <w:div w:id="786192439">
      <w:bodyDiv w:val="1"/>
      <w:marLeft w:val="0"/>
      <w:marRight w:val="0"/>
      <w:marTop w:val="0"/>
      <w:marBottom w:val="0"/>
      <w:divBdr>
        <w:top w:val="none" w:sz="0" w:space="0" w:color="auto"/>
        <w:left w:val="none" w:sz="0" w:space="0" w:color="auto"/>
        <w:bottom w:val="none" w:sz="0" w:space="0" w:color="auto"/>
        <w:right w:val="none" w:sz="0" w:space="0" w:color="auto"/>
      </w:divBdr>
    </w:div>
    <w:div w:id="805663050">
      <w:bodyDiv w:val="1"/>
      <w:marLeft w:val="0"/>
      <w:marRight w:val="0"/>
      <w:marTop w:val="0"/>
      <w:marBottom w:val="0"/>
      <w:divBdr>
        <w:top w:val="none" w:sz="0" w:space="0" w:color="auto"/>
        <w:left w:val="none" w:sz="0" w:space="0" w:color="auto"/>
        <w:bottom w:val="none" w:sz="0" w:space="0" w:color="auto"/>
        <w:right w:val="none" w:sz="0" w:space="0" w:color="auto"/>
      </w:divBdr>
    </w:div>
    <w:div w:id="827984861">
      <w:bodyDiv w:val="1"/>
      <w:marLeft w:val="0"/>
      <w:marRight w:val="0"/>
      <w:marTop w:val="0"/>
      <w:marBottom w:val="0"/>
      <w:divBdr>
        <w:top w:val="none" w:sz="0" w:space="0" w:color="auto"/>
        <w:left w:val="none" w:sz="0" w:space="0" w:color="auto"/>
        <w:bottom w:val="none" w:sz="0" w:space="0" w:color="auto"/>
        <w:right w:val="none" w:sz="0" w:space="0" w:color="auto"/>
      </w:divBdr>
    </w:div>
    <w:div w:id="881138755">
      <w:bodyDiv w:val="1"/>
      <w:marLeft w:val="0"/>
      <w:marRight w:val="0"/>
      <w:marTop w:val="0"/>
      <w:marBottom w:val="0"/>
      <w:divBdr>
        <w:top w:val="none" w:sz="0" w:space="0" w:color="auto"/>
        <w:left w:val="none" w:sz="0" w:space="0" w:color="auto"/>
        <w:bottom w:val="none" w:sz="0" w:space="0" w:color="auto"/>
        <w:right w:val="none" w:sz="0" w:space="0" w:color="auto"/>
      </w:divBdr>
    </w:div>
    <w:div w:id="883903590">
      <w:bodyDiv w:val="1"/>
      <w:marLeft w:val="0"/>
      <w:marRight w:val="0"/>
      <w:marTop w:val="0"/>
      <w:marBottom w:val="0"/>
      <w:divBdr>
        <w:top w:val="none" w:sz="0" w:space="0" w:color="auto"/>
        <w:left w:val="none" w:sz="0" w:space="0" w:color="auto"/>
        <w:bottom w:val="none" w:sz="0" w:space="0" w:color="auto"/>
        <w:right w:val="none" w:sz="0" w:space="0" w:color="auto"/>
      </w:divBdr>
    </w:div>
    <w:div w:id="903486223">
      <w:bodyDiv w:val="1"/>
      <w:marLeft w:val="0"/>
      <w:marRight w:val="0"/>
      <w:marTop w:val="0"/>
      <w:marBottom w:val="0"/>
      <w:divBdr>
        <w:top w:val="none" w:sz="0" w:space="0" w:color="auto"/>
        <w:left w:val="none" w:sz="0" w:space="0" w:color="auto"/>
        <w:bottom w:val="none" w:sz="0" w:space="0" w:color="auto"/>
        <w:right w:val="none" w:sz="0" w:space="0" w:color="auto"/>
      </w:divBdr>
    </w:div>
    <w:div w:id="909655030">
      <w:bodyDiv w:val="1"/>
      <w:marLeft w:val="0"/>
      <w:marRight w:val="0"/>
      <w:marTop w:val="0"/>
      <w:marBottom w:val="0"/>
      <w:divBdr>
        <w:top w:val="none" w:sz="0" w:space="0" w:color="auto"/>
        <w:left w:val="none" w:sz="0" w:space="0" w:color="auto"/>
        <w:bottom w:val="none" w:sz="0" w:space="0" w:color="auto"/>
        <w:right w:val="none" w:sz="0" w:space="0" w:color="auto"/>
      </w:divBdr>
    </w:div>
    <w:div w:id="945235464">
      <w:bodyDiv w:val="1"/>
      <w:marLeft w:val="0"/>
      <w:marRight w:val="0"/>
      <w:marTop w:val="0"/>
      <w:marBottom w:val="0"/>
      <w:divBdr>
        <w:top w:val="none" w:sz="0" w:space="0" w:color="auto"/>
        <w:left w:val="none" w:sz="0" w:space="0" w:color="auto"/>
        <w:bottom w:val="none" w:sz="0" w:space="0" w:color="auto"/>
        <w:right w:val="none" w:sz="0" w:space="0" w:color="auto"/>
      </w:divBdr>
    </w:div>
    <w:div w:id="996959915">
      <w:bodyDiv w:val="1"/>
      <w:marLeft w:val="0"/>
      <w:marRight w:val="0"/>
      <w:marTop w:val="0"/>
      <w:marBottom w:val="0"/>
      <w:divBdr>
        <w:top w:val="none" w:sz="0" w:space="0" w:color="auto"/>
        <w:left w:val="none" w:sz="0" w:space="0" w:color="auto"/>
        <w:bottom w:val="none" w:sz="0" w:space="0" w:color="auto"/>
        <w:right w:val="none" w:sz="0" w:space="0" w:color="auto"/>
      </w:divBdr>
    </w:div>
    <w:div w:id="997074895">
      <w:bodyDiv w:val="1"/>
      <w:marLeft w:val="0"/>
      <w:marRight w:val="0"/>
      <w:marTop w:val="0"/>
      <w:marBottom w:val="0"/>
      <w:divBdr>
        <w:top w:val="none" w:sz="0" w:space="0" w:color="auto"/>
        <w:left w:val="none" w:sz="0" w:space="0" w:color="auto"/>
        <w:bottom w:val="none" w:sz="0" w:space="0" w:color="auto"/>
        <w:right w:val="none" w:sz="0" w:space="0" w:color="auto"/>
      </w:divBdr>
    </w:div>
    <w:div w:id="1054112428">
      <w:bodyDiv w:val="1"/>
      <w:marLeft w:val="0"/>
      <w:marRight w:val="0"/>
      <w:marTop w:val="0"/>
      <w:marBottom w:val="0"/>
      <w:divBdr>
        <w:top w:val="none" w:sz="0" w:space="0" w:color="auto"/>
        <w:left w:val="none" w:sz="0" w:space="0" w:color="auto"/>
        <w:bottom w:val="none" w:sz="0" w:space="0" w:color="auto"/>
        <w:right w:val="none" w:sz="0" w:space="0" w:color="auto"/>
      </w:divBdr>
    </w:div>
    <w:div w:id="1108624166">
      <w:bodyDiv w:val="1"/>
      <w:marLeft w:val="0"/>
      <w:marRight w:val="0"/>
      <w:marTop w:val="0"/>
      <w:marBottom w:val="0"/>
      <w:divBdr>
        <w:top w:val="none" w:sz="0" w:space="0" w:color="auto"/>
        <w:left w:val="none" w:sz="0" w:space="0" w:color="auto"/>
        <w:bottom w:val="none" w:sz="0" w:space="0" w:color="auto"/>
        <w:right w:val="none" w:sz="0" w:space="0" w:color="auto"/>
      </w:divBdr>
    </w:div>
    <w:div w:id="1118766027">
      <w:bodyDiv w:val="1"/>
      <w:marLeft w:val="0"/>
      <w:marRight w:val="0"/>
      <w:marTop w:val="0"/>
      <w:marBottom w:val="0"/>
      <w:divBdr>
        <w:top w:val="none" w:sz="0" w:space="0" w:color="auto"/>
        <w:left w:val="none" w:sz="0" w:space="0" w:color="auto"/>
        <w:bottom w:val="none" w:sz="0" w:space="0" w:color="auto"/>
        <w:right w:val="none" w:sz="0" w:space="0" w:color="auto"/>
      </w:divBdr>
    </w:div>
    <w:div w:id="1120032684">
      <w:bodyDiv w:val="1"/>
      <w:marLeft w:val="0"/>
      <w:marRight w:val="0"/>
      <w:marTop w:val="0"/>
      <w:marBottom w:val="0"/>
      <w:divBdr>
        <w:top w:val="none" w:sz="0" w:space="0" w:color="auto"/>
        <w:left w:val="none" w:sz="0" w:space="0" w:color="auto"/>
        <w:bottom w:val="none" w:sz="0" w:space="0" w:color="auto"/>
        <w:right w:val="none" w:sz="0" w:space="0" w:color="auto"/>
      </w:divBdr>
    </w:div>
    <w:div w:id="1133403283">
      <w:bodyDiv w:val="1"/>
      <w:marLeft w:val="0"/>
      <w:marRight w:val="0"/>
      <w:marTop w:val="0"/>
      <w:marBottom w:val="0"/>
      <w:divBdr>
        <w:top w:val="none" w:sz="0" w:space="0" w:color="auto"/>
        <w:left w:val="none" w:sz="0" w:space="0" w:color="auto"/>
        <w:bottom w:val="none" w:sz="0" w:space="0" w:color="auto"/>
        <w:right w:val="none" w:sz="0" w:space="0" w:color="auto"/>
      </w:divBdr>
    </w:div>
    <w:div w:id="1135177088">
      <w:bodyDiv w:val="1"/>
      <w:marLeft w:val="0"/>
      <w:marRight w:val="0"/>
      <w:marTop w:val="0"/>
      <w:marBottom w:val="0"/>
      <w:divBdr>
        <w:top w:val="none" w:sz="0" w:space="0" w:color="auto"/>
        <w:left w:val="none" w:sz="0" w:space="0" w:color="auto"/>
        <w:bottom w:val="none" w:sz="0" w:space="0" w:color="auto"/>
        <w:right w:val="none" w:sz="0" w:space="0" w:color="auto"/>
      </w:divBdr>
    </w:div>
    <w:div w:id="1147355408">
      <w:bodyDiv w:val="1"/>
      <w:marLeft w:val="0"/>
      <w:marRight w:val="0"/>
      <w:marTop w:val="0"/>
      <w:marBottom w:val="0"/>
      <w:divBdr>
        <w:top w:val="none" w:sz="0" w:space="0" w:color="auto"/>
        <w:left w:val="none" w:sz="0" w:space="0" w:color="auto"/>
        <w:bottom w:val="none" w:sz="0" w:space="0" w:color="auto"/>
        <w:right w:val="none" w:sz="0" w:space="0" w:color="auto"/>
      </w:divBdr>
    </w:div>
    <w:div w:id="1256936831">
      <w:bodyDiv w:val="1"/>
      <w:marLeft w:val="0"/>
      <w:marRight w:val="0"/>
      <w:marTop w:val="0"/>
      <w:marBottom w:val="0"/>
      <w:divBdr>
        <w:top w:val="none" w:sz="0" w:space="0" w:color="auto"/>
        <w:left w:val="none" w:sz="0" w:space="0" w:color="auto"/>
        <w:bottom w:val="none" w:sz="0" w:space="0" w:color="auto"/>
        <w:right w:val="none" w:sz="0" w:space="0" w:color="auto"/>
      </w:divBdr>
    </w:div>
    <w:div w:id="1259632214">
      <w:bodyDiv w:val="1"/>
      <w:marLeft w:val="0"/>
      <w:marRight w:val="0"/>
      <w:marTop w:val="0"/>
      <w:marBottom w:val="0"/>
      <w:divBdr>
        <w:top w:val="none" w:sz="0" w:space="0" w:color="auto"/>
        <w:left w:val="none" w:sz="0" w:space="0" w:color="auto"/>
        <w:bottom w:val="none" w:sz="0" w:space="0" w:color="auto"/>
        <w:right w:val="none" w:sz="0" w:space="0" w:color="auto"/>
      </w:divBdr>
    </w:div>
    <w:div w:id="1262451226">
      <w:bodyDiv w:val="1"/>
      <w:marLeft w:val="0"/>
      <w:marRight w:val="0"/>
      <w:marTop w:val="0"/>
      <w:marBottom w:val="0"/>
      <w:divBdr>
        <w:top w:val="none" w:sz="0" w:space="0" w:color="auto"/>
        <w:left w:val="none" w:sz="0" w:space="0" w:color="auto"/>
        <w:bottom w:val="none" w:sz="0" w:space="0" w:color="auto"/>
        <w:right w:val="none" w:sz="0" w:space="0" w:color="auto"/>
      </w:divBdr>
    </w:div>
    <w:div w:id="1374385863">
      <w:bodyDiv w:val="1"/>
      <w:marLeft w:val="0"/>
      <w:marRight w:val="0"/>
      <w:marTop w:val="0"/>
      <w:marBottom w:val="0"/>
      <w:divBdr>
        <w:top w:val="none" w:sz="0" w:space="0" w:color="auto"/>
        <w:left w:val="none" w:sz="0" w:space="0" w:color="auto"/>
        <w:bottom w:val="none" w:sz="0" w:space="0" w:color="auto"/>
        <w:right w:val="none" w:sz="0" w:space="0" w:color="auto"/>
      </w:divBdr>
    </w:div>
    <w:div w:id="1388263516">
      <w:bodyDiv w:val="1"/>
      <w:marLeft w:val="0"/>
      <w:marRight w:val="0"/>
      <w:marTop w:val="0"/>
      <w:marBottom w:val="0"/>
      <w:divBdr>
        <w:top w:val="none" w:sz="0" w:space="0" w:color="auto"/>
        <w:left w:val="none" w:sz="0" w:space="0" w:color="auto"/>
        <w:bottom w:val="none" w:sz="0" w:space="0" w:color="auto"/>
        <w:right w:val="none" w:sz="0" w:space="0" w:color="auto"/>
      </w:divBdr>
    </w:div>
    <w:div w:id="1388408656">
      <w:bodyDiv w:val="1"/>
      <w:marLeft w:val="0"/>
      <w:marRight w:val="0"/>
      <w:marTop w:val="0"/>
      <w:marBottom w:val="0"/>
      <w:divBdr>
        <w:top w:val="none" w:sz="0" w:space="0" w:color="auto"/>
        <w:left w:val="none" w:sz="0" w:space="0" w:color="auto"/>
        <w:bottom w:val="none" w:sz="0" w:space="0" w:color="auto"/>
        <w:right w:val="none" w:sz="0" w:space="0" w:color="auto"/>
      </w:divBdr>
    </w:div>
    <w:div w:id="1392116882">
      <w:bodyDiv w:val="1"/>
      <w:marLeft w:val="0"/>
      <w:marRight w:val="0"/>
      <w:marTop w:val="0"/>
      <w:marBottom w:val="0"/>
      <w:divBdr>
        <w:top w:val="none" w:sz="0" w:space="0" w:color="auto"/>
        <w:left w:val="none" w:sz="0" w:space="0" w:color="auto"/>
        <w:bottom w:val="none" w:sz="0" w:space="0" w:color="auto"/>
        <w:right w:val="none" w:sz="0" w:space="0" w:color="auto"/>
      </w:divBdr>
    </w:div>
    <w:div w:id="1409040468">
      <w:bodyDiv w:val="1"/>
      <w:marLeft w:val="0"/>
      <w:marRight w:val="0"/>
      <w:marTop w:val="0"/>
      <w:marBottom w:val="0"/>
      <w:divBdr>
        <w:top w:val="none" w:sz="0" w:space="0" w:color="auto"/>
        <w:left w:val="none" w:sz="0" w:space="0" w:color="auto"/>
        <w:bottom w:val="none" w:sz="0" w:space="0" w:color="auto"/>
        <w:right w:val="none" w:sz="0" w:space="0" w:color="auto"/>
      </w:divBdr>
    </w:div>
    <w:div w:id="1417245749">
      <w:bodyDiv w:val="1"/>
      <w:marLeft w:val="0"/>
      <w:marRight w:val="0"/>
      <w:marTop w:val="0"/>
      <w:marBottom w:val="0"/>
      <w:divBdr>
        <w:top w:val="none" w:sz="0" w:space="0" w:color="auto"/>
        <w:left w:val="none" w:sz="0" w:space="0" w:color="auto"/>
        <w:bottom w:val="none" w:sz="0" w:space="0" w:color="auto"/>
        <w:right w:val="none" w:sz="0" w:space="0" w:color="auto"/>
      </w:divBdr>
    </w:div>
    <w:div w:id="1459108515">
      <w:bodyDiv w:val="1"/>
      <w:marLeft w:val="0"/>
      <w:marRight w:val="0"/>
      <w:marTop w:val="0"/>
      <w:marBottom w:val="0"/>
      <w:divBdr>
        <w:top w:val="none" w:sz="0" w:space="0" w:color="auto"/>
        <w:left w:val="none" w:sz="0" w:space="0" w:color="auto"/>
        <w:bottom w:val="none" w:sz="0" w:space="0" w:color="auto"/>
        <w:right w:val="none" w:sz="0" w:space="0" w:color="auto"/>
      </w:divBdr>
    </w:div>
    <w:div w:id="1544175057">
      <w:bodyDiv w:val="1"/>
      <w:marLeft w:val="0"/>
      <w:marRight w:val="0"/>
      <w:marTop w:val="0"/>
      <w:marBottom w:val="0"/>
      <w:divBdr>
        <w:top w:val="none" w:sz="0" w:space="0" w:color="auto"/>
        <w:left w:val="none" w:sz="0" w:space="0" w:color="auto"/>
        <w:bottom w:val="none" w:sz="0" w:space="0" w:color="auto"/>
        <w:right w:val="none" w:sz="0" w:space="0" w:color="auto"/>
      </w:divBdr>
      <w:divsChild>
        <w:div w:id="1412771485">
          <w:marLeft w:val="0"/>
          <w:marRight w:val="0"/>
          <w:marTop w:val="0"/>
          <w:marBottom w:val="0"/>
          <w:divBdr>
            <w:top w:val="none" w:sz="0" w:space="0" w:color="auto"/>
            <w:left w:val="none" w:sz="0" w:space="0" w:color="auto"/>
            <w:bottom w:val="none" w:sz="0" w:space="0" w:color="auto"/>
            <w:right w:val="none" w:sz="0" w:space="0" w:color="auto"/>
          </w:divBdr>
        </w:div>
      </w:divsChild>
    </w:div>
    <w:div w:id="1552769811">
      <w:bodyDiv w:val="1"/>
      <w:marLeft w:val="0"/>
      <w:marRight w:val="0"/>
      <w:marTop w:val="0"/>
      <w:marBottom w:val="0"/>
      <w:divBdr>
        <w:top w:val="none" w:sz="0" w:space="0" w:color="auto"/>
        <w:left w:val="none" w:sz="0" w:space="0" w:color="auto"/>
        <w:bottom w:val="none" w:sz="0" w:space="0" w:color="auto"/>
        <w:right w:val="none" w:sz="0" w:space="0" w:color="auto"/>
      </w:divBdr>
    </w:div>
    <w:div w:id="1610502427">
      <w:bodyDiv w:val="1"/>
      <w:marLeft w:val="0"/>
      <w:marRight w:val="0"/>
      <w:marTop w:val="0"/>
      <w:marBottom w:val="0"/>
      <w:divBdr>
        <w:top w:val="none" w:sz="0" w:space="0" w:color="auto"/>
        <w:left w:val="none" w:sz="0" w:space="0" w:color="auto"/>
        <w:bottom w:val="none" w:sz="0" w:space="0" w:color="auto"/>
        <w:right w:val="none" w:sz="0" w:space="0" w:color="auto"/>
      </w:divBdr>
    </w:div>
    <w:div w:id="1621033032">
      <w:bodyDiv w:val="1"/>
      <w:marLeft w:val="0"/>
      <w:marRight w:val="0"/>
      <w:marTop w:val="0"/>
      <w:marBottom w:val="0"/>
      <w:divBdr>
        <w:top w:val="none" w:sz="0" w:space="0" w:color="auto"/>
        <w:left w:val="none" w:sz="0" w:space="0" w:color="auto"/>
        <w:bottom w:val="none" w:sz="0" w:space="0" w:color="auto"/>
        <w:right w:val="none" w:sz="0" w:space="0" w:color="auto"/>
      </w:divBdr>
    </w:div>
    <w:div w:id="1642493172">
      <w:bodyDiv w:val="1"/>
      <w:marLeft w:val="0"/>
      <w:marRight w:val="0"/>
      <w:marTop w:val="0"/>
      <w:marBottom w:val="0"/>
      <w:divBdr>
        <w:top w:val="none" w:sz="0" w:space="0" w:color="auto"/>
        <w:left w:val="none" w:sz="0" w:space="0" w:color="auto"/>
        <w:bottom w:val="none" w:sz="0" w:space="0" w:color="auto"/>
        <w:right w:val="none" w:sz="0" w:space="0" w:color="auto"/>
      </w:divBdr>
    </w:div>
    <w:div w:id="1685210177">
      <w:bodyDiv w:val="1"/>
      <w:marLeft w:val="0"/>
      <w:marRight w:val="0"/>
      <w:marTop w:val="0"/>
      <w:marBottom w:val="0"/>
      <w:divBdr>
        <w:top w:val="none" w:sz="0" w:space="0" w:color="auto"/>
        <w:left w:val="none" w:sz="0" w:space="0" w:color="auto"/>
        <w:bottom w:val="none" w:sz="0" w:space="0" w:color="auto"/>
        <w:right w:val="none" w:sz="0" w:space="0" w:color="auto"/>
      </w:divBdr>
    </w:div>
    <w:div w:id="1722752137">
      <w:bodyDiv w:val="1"/>
      <w:marLeft w:val="0"/>
      <w:marRight w:val="0"/>
      <w:marTop w:val="0"/>
      <w:marBottom w:val="0"/>
      <w:divBdr>
        <w:top w:val="none" w:sz="0" w:space="0" w:color="auto"/>
        <w:left w:val="none" w:sz="0" w:space="0" w:color="auto"/>
        <w:bottom w:val="none" w:sz="0" w:space="0" w:color="auto"/>
        <w:right w:val="none" w:sz="0" w:space="0" w:color="auto"/>
      </w:divBdr>
    </w:div>
    <w:div w:id="1732073293">
      <w:bodyDiv w:val="1"/>
      <w:marLeft w:val="0"/>
      <w:marRight w:val="0"/>
      <w:marTop w:val="0"/>
      <w:marBottom w:val="0"/>
      <w:divBdr>
        <w:top w:val="none" w:sz="0" w:space="0" w:color="auto"/>
        <w:left w:val="none" w:sz="0" w:space="0" w:color="auto"/>
        <w:bottom w:val="none" w:sz="0" w:space="0" w:color="auto"/>
        <w:right w:val="none" w:sz="0" w:space="0" w:color="auto"/>
      </w:divBdr>
    </w:div>
    <w:div w:id="1732577253">
      <w:bodyDiv w:val="1"/>
      <w:marLeft w:val="0"/>
      <w:marRight w:val="0"/>
      <w:marTop w:val="0"/>
      <w:marBottom w:val="0"/>
      <w:divBdr>
        <w:top w:val="none" w:sz="0" w:space="0" w:color="auto"/>
        <w:left w:val="none" w:sz="0" w:space="0" w:color="auto"/>
        <w:bottom w:val="none" w:sz="0" w:space="0" w:color="auto"/>
        <w:right w:val="none" w:sz="0" w:space="0" w:color="auto"/>
      </w:divBdr>
    </w:div>
    <w:div w:id="1753962425">
      <w:bodyDiv w:val="1"/>
      <w:marLeft w:val="0"/>
      <w:marRight w:val="0"/>
      <w:marTop w:val="0"/>
      <w:marBottom w:val="0"/>
      <w:divBdr>
        <w:top w:val="none" w:sz="0" w:space="0" w:color="auto"/>
        <w:left w:val="none" w:sz="0" w:space="0" w:color="auto"/>
        <w:bottom w:val="none" w:sz="0" w:space="0" w:color="auto"/>
        <w:right w:val="none" w:sz="0" w:space="0" w:color="auto"/>
      </w:divBdr>
    </w:div>
    <w:div w:id="1821188507">
      <w:bodyDiv w:val="1"/>
      <w:marLeft w:val="0"/>
      <w:marRight w:val="0"/>
      <w:marTop w:val="0"/>
      <w:marBottom w:val="0"/>
      <w:divBdr>
        <w:top w:val="none" w:sz="0" w:space="0" w:color="auto"/>
        <w:left w:val="none" w:sz="0" w:space="0" w:color="auto"/>
        <w:bottom w:val="none" w:sz="0" w:space="0" w:color="auto"/>
        <w:right w:val="none" w:sz="0" w:space="0" w:color="auto"/>
      </w:divBdr>
    </w:div>
    <w:div w:id="1835797644">
      <w:bodyDiv w:val="1"/>
      <w:marLeft w:val="0"/>
      <w:marRight w:val="0"/>
      <w:marTop w:val="0"/>
      <w:marBottom w:val="0"/>
      <w:divBdr>
        <w:top w:val="none" w:sz="0" w:space="0" w:color="auto"/>
        <w:left w:val="none" w:sz="0" w:space="0" w:color="auto"/>
        <w:bottom w:val="none" w:sz="0" w:space="0" w:color="auto"/>
        <w:right w:val="none" w:sz="0" w:space="0" w:color="auto"/>
      </w:divBdr>
    </w:div>
    <w:div w:id="1868566088">
      <w:bodyDiv w:val="1"/>
      <w:marLeft w:val="0"/>
      <w:marRight w:val="0"/>
      <w:marTop w:val="0"/>
      <w:marBottom w:val="0"/>
      <w:divBdr>
        <w:top w:val="none" w:sz="0" w:space="0" w:color="auto"/>
        <w:left w:val="none" w:sz="0" w:space="0" w:color="auto"/>
        <w:bottom w:val="none" w:sz="0" w:space="0" w:color="auto"/>
        <w:right w:val="none" w:sz="0" w:space="0" w:color="auto"/>
      </w:divBdr>
    </w:div>
    <w:div w:id="1879271350">
      <w:bodyDiv w:val="1"/>
      <w:marLeft w:val="0"/>
      <w:marRight w:val="0"/>
      <w:marTop w:val="0"/>
      <w:marBottom w:val="0"/>
      <w:divBdr>
        <w:top w:val="none" w:sz="0" w:space="0" w:color="auto"/>
        <w:left w:val="none" w:sz="0" w:space="0" w:color="auto"/>
        <w:bottom w:val="none" w:sz="0" w:space="0" w:color="auto"/>
        <w:right w:val="none" w:sz="0" w:space="0" w:color="auto"/>
      </w:divBdr>
    </w:div>
    <w:div w:id="1896352806">
      <w:bodyDiv w:val="1"/>
      <w:marLeft w:val="0"/>
      <w:marRight w:val="0"/>
      <w:marTop w:val="0"/>
      <w:marBottom w:val="0"/>
      <w:divBdr>
        <w:top w:val="none" w:sz="0" w:space="0" w:color="auto"/>
        <w:left w:val="none" w:sz="0" w:space="0" w:color="auto"/>
        <w:bottom w:val="none" w:sz="0" w:space="0" w:color="auto"/>
        <w:right w:val="none" w:sz="0" w:space="0" w:color="auto"/>
      </w:divBdr>
    </w:div>
    <w:div w:id="1934052988">
      <w:bodyDiv w:val="1"/>
      <w:marLeft w:val="0"/>
      <w:marRight w:val="0"/>
      <w:marTop w:val="0"/>
      <w:marBottom w:val="0"/>
      <w:divBdr>
        <w:top w:val="none" w:sz="0" w:space="0" w:color="auto"/>
        <w:left w:val="none" w:sz="0" w:space="0" w:color="auto"/>
        <w:bottom w:val="none" w:sz="0" w:space="0" w:color="auto"/>
        <w:right w:val="none" w:sz="0" w:space="0" w:color="auto"/>
      </w:divBdr>
    </w:div>
    <w:div w:id="1946765662">
      <w:bodyDiv w:val="1"/>
      <w:marLeft w:val="0"/>
      <w:marRight w:val="0"/>
      <w:marTop w:val="0"/>
      <w:marBottom w:val="0"/>
      <w:divBdr>
        <w:top w:val="none" w:sz="0" w:space="0" w:color="auto"/>
        <w:left w:val="none" w:sz="0" w:space="0" w:color="auto"/>
        <w:bottom w:val="none" w:sz="0" w:space="0" w:color="auto"/>
        <w:right w:val="none" w:sz="0" w:space="0" w:color="auto"/>
      </w:divBdr>
    </w:div>
    <w:div w:id="1957246935">
      <w:bodyDiv w:val="1"/>
      <w:marLeft w:val="0"/>
      <w:marRight w:val="0"/>
      <w:marTop w:val="0"/>
      <w:marBottom w:val="0"/>
      <w:divBdr>
        <w:top w:val="none" w:sz="0" w:space="0" w:color="auto"/>
        <w:left w:val="none" w:sz="0" w:space="0" w:color="auto"/>
        <w:bottom w:val="none" w:sz="0" w:space="0" w:color="auto"/>
        <w:right w:val="none" w:sz="0" w:space="0" w:color="auto"/>
      </w:divBdr>
    </w:div>
    <w:div w:id="1982685674">
      <w:bodyDiv w:val="1"/>
      <w:marLeft w:val="0"/>
      <w:marRight w:val="0"/>
      <w:marTop w:val="0"/>
      <w:marBottom w:val="0"/>
      <w:divBdr>
        <w:top w:val="none" w:sz="0" w:space="0" w:color="auto"/>
        <w:left w:val="none" w:sz="0" w:space="0" w:color="auto"/>
        <w:bottom w:val="none" w:sz="0" w:space="0" w:color="auto"/>
        <w:right w:val="none" w:sz="0" w:space="0" w:color="auto"/>
      </w:divBdr>
    </w:div>
    <w:div w:id="1987735380">
      <w:bodyDiv w:val="1"/>
      <w:marLeft w:val="0"/>
      <w:marRight w:val="0"/>
      <w:marTop w:val="0"/>
      <w:marBottom w:val="0"/>
      <w:divBdr>
        <w:top w:val="none" w:sz="0" w:space="0" w:color="auto"/>
        <w:left w:val="none" w:sz="0" w:space="0" w:color="auto"/>
        <w:bottom w:val="none" w:sz="0" w:space="0" w:color="auto"/>
        <w:right w:val="none" w:sz="0" w:space="0" w:color="auto"/>
      </w:divBdr>
      <w:divsChild>
        <w:div w:id="207492060">
          <w:marLeft w:val="0"/>
          <w:marRight w:val="0"/>
          <w:marTop w:val="0"/>
          <w:marBottom w:val="0"/>
          <w:divBdr>
            <w:top w:val="none" w:sz="0" w:space="0" w:color="auto"/>
            <w:left w:val="none" w:sz="0" w:space="0" w:color="auto"/>
            <w:bottom w:val="none" w:sz="0" w:space="0" w:color="auto"/>
            <w:right w:val="none" w:sz="0" w:space="0" w:color="auto"/>
          </w:divBdr>
          <w:divsChild>
            <w:div w:id="1611157416">
              <w:marLeft w:val="0"/>
              <w:marRight w:val="0"/>
              <w:marTop w:val="0"/>
              <w:marBottom w:val="0"/>
              <w:divBdr>
                <w:top w:val="none" w:sz="0" w:space="0" w:color="auto"/>
                <w:left w:val="none" w:sz="0" w:space="0" w:color="auto"/>
                <w:bottom w:val="none" w:sz="0" w:space="0" w:color="auto"/>
                <w:right w:val="none" w:sz="0" w:space="0" w:color="auto"/>
              </w:divBdr>
              <w:divsChild>
                <w:div w:id="622224814">
                  <w:marLeft w:val="0"/>
                  <w:marRight w:val="0"/>
                  <w:marTop w:val="0"/>
                  <w:marBottom w:val="0"/>
                  <w:divBdr>
                    <w:top w:val="none" w:sz="0" w:space="0" w:color="auto"/>
                    <w:left w:val="none" w:sz="0" w:space="0" w:color="auto"/>
                    <w:bottom w:val="none" w:sz="0" w:space="0" w:color="auto"/>
                    <w:right w:val="none" w:sz="0" w:space="0" w:color="auto"/>
                  </w:divBdr>
                  <w:divsChild>
                    <w:div w:id="9167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5240">
      <w:bodyDiv w:val="1"/>
      <w:marLeft w:val="0"/>
      <w:marRight w:val="0"/>
      <w:marTop w:val="0"/>
      <w:marBottom w:val="0"/>
      <w:divBdr>
        <w:top w:val="none" w:sz="0" w:space="0" w:color="auto"/>
        <w:left w:val="none" w:sz="0" w:space="0" w:color="auto"/>
        <w:bottom w:val="none" w:sz="0" w:space="0" w:color="auto"/>
        <w:right w:val="none" w:sz="0" w:space="0" w:color="auto"/>
      </w:divBdr>
    </w:div>
    <w:div w:id="2005745351">
      <w:bodyDiv w:val="1"/>
      <w:marLeft w:val="0"/>
      <w:marRight w:val="0"/>
      <w:marTop w:val="0"/>
      <w:marBottom w:val="0"/>
      <w:divBdr>
        <w:top w:val="none" w:sz="0" w:space="0" w:color="auto"/>
        <w:left w:val="none" w:sz="0" w:space="0" w:color="auto"/>
        <w:bottom w:val="none" w:sz="0" w:space="0" w:color="auto"/>
        <w:right w:val="none" w:sz="0" w:space="0" w:color="auto"/>
      </w:divBdr>
    </w:div>
    <w:div w:id="2012561326">
      <w:bodyDiv w:val="1"/>
      <w:marLeft w:val="0"/>
      <w:marRight w:val="0"/>
      <w:marTop w:val="0"/>
      <w:marBottom w:val="0"/>
      <w:divBdr>
        <w:top w:val="none" w:sz="0" w:space="0" w:color="auto"/>
        <w:left w:val="none" w:sz="0" w:space="0" w:color="auto"/>
        <w:bottom w:val="none" w:sz="0" w:space="0" w:color="auto"/>
        <w:right w:val="none" w:sz="0" w:space="0" w:color="auto"/>
      </w:divBdr>
    </w:div>
    <w:div w:id="2018000548">
      <w:bodyDiv w:val="1"/>
      <w:marLeft w:val="0"/>
      <w:marRight w:val="0"/>
      <w:marTop w:val="0"/>
      <w:marBottom w:val="0"/>
      <w:divBdr>
        <w:top w:val="none" w:sz="0" w:space="0" w:color="auto"/>
        <w:left w:val="none" w:sz="0" w:space="0" w:color="auto"/>
        <w:bottom w:val="none" w:sz="0" w:space="0" w:color="auto"/>
        <w:right w:val="none" w:sz="0" w:space="0" w:color="auto"/>
      </w:divBdr>
    </w:div>
    <w:div w:id="2046590531">
      <w:bodyDiv w:val="1"/>
      <w:marLeft w:val="0"/>
      <w:marRight w:val="0"/>
      <w:marTop w:val="0"/>
      <w:marBottom w:val="0"/>
      <w:divBdr>
        <w:top w:val="none" w:sz="0" w:space="0" w:color="auto"/>
        <w:left w:val="none" w:sz="0" w:space="0" w:color="auto"/>
        <w:bottom w:val="none" w:sz="0" w:space="0" w:color="auto"/>
        <w:right w:val="none" w:sz="0" w:space="0" w:color="auto"/>
      </w:divBdr>
    </w:div>
    <w:div w:id="2052606997">
      <w:bodyDiv w:val="1"/>
      <w:marLeft w:val="0"/>
      <w:marRight w:val="0"/>
      <w:marTop w:val="0"/>
      <w:marBottom w:val="0"/>
      <w:divBdr>
        <w:top w:val="none" w:sz="0" w:space="0" w:color="auto"/>
        <w:left w:val="none" w:sz="0" w:space="0" w:color="auto"/>
        <w:bottom w:val="none" w:sz="0" w:space="0" w:color="auto"/>
        <w:right w:val="none" w:sz="0" w:space="0" w:color="auto"/>
      </w:divBdr>
    </w:div>
    <w:div w:id="2085493879">
      <w:bodyDiv w:val="1"/>
      <w:marLeft w:val="0"/>
      <w:marRight w:val="0"/>
      <w:marTop w:val="0"/>
      <w:marBottom w:val="0"/>
      <w:divBdr>
        <w:top w:val="none" w:sz="0" w:space="0" w:color="auto"/>
        <w:left w:val="none" w:sz="0" w:space="0" w:color="auto"/>
        <w:bottom w:val="none" w:sz="0" w:space="0" w:color="auto"/>
        <w:right w:val="none" w:sz="0" w:space="0" w:color="auto"/>
      </w:divBdr>
    </w:div>
    <w:div w:id="20957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pv.si/" TargetMode="External"/><Relationship Id="rId18" Type="http://schemas.openxmlformats.org/officeDocument/2006/relationships/image" Target="media/image2.sv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stat.si/StatWeb/"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mpv.s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mpv.si/" TargetMode="External"/><Relationship Id="rId13" Type="http://schemas.openxmlformats.org/officeDocument/2006/relationships/hyperlink" Target="http://agromet.mkgp.gov.si/APP2/sl/Content/plant-health" TargetMode="External"/><Relationship Id="rId3" Type="http://schemas.openxmlformats.org/officeDocument/2006/relationships/hyperlink" Target="https://eur-lex.europa.eu/legal-content/SL/ALL/?uri=CELEX%3A32009R1185" TargetMode="External"/><Relationship Id="rId7" Type="http://schemas.openxmlformats.org/officeDocument/2006/relationships/hyperlink" Target="https://www.gov.si/teme/ostanki-fitofarmacevtskih-sredstev/" TargetMode="External"/><Relationship Id="rId12" Type="http://schemas.openxmlformats.org/officeDocument/2006/relationships/hyperlink" Target="https://trapview.com/" TargetMode="External"/><Relationship Id="rId2" Type="http://schemas.openxmlformats.org/officeDocument/2006/relationships/hyperlink" Target="https://ec.europa.eu/food/plant/pesticides/sustainable_use_pesticides_en" TargetMode="External"/><Relationship Id="rId1" Type="http://schemas.openxmlformats.org/officeDocument/2006/relationships/hyperlink" Target="http://www.uvhvvr.gov.si/si/delovna_podrocja/fitofarmacevtska_sredstva/nacionalni_akcijski_program/" TargetMode="External"/><Relationship Id="rId6" Type="http://schemas.openxmlformats.org/officeDocument/2006/relationships/hyperlink" Target="https://www.stat.si/StatWeb/News/Index/6258" TargetMode="External"/><Relationship Id="rId11" Type="http://schemas.openxmlformats.org/officeDocument/2006/relationships/hyperlink" Target="http://agromet.mkgp.gov.si/pp/" TargetMode="External"/><Relationship Id="rId5" Type="http://schemas.openxmlformats.org/officeDocument/2006/relationships/hyperlink" Target="https://www.gov.si/teme/usklajeni-kazalniki-tveganja-fitofarmacevtska-sredstva/" TargetMode="External"/><Relationship Id="rId10" Type="http://schemas.openxmlformats.org/officeDocument/2006/relationships/hyperlink" Target="https://www.ivr.si/" TargetMode="External"/><Relationship Id="rId4" Type="http://schemas.openxmlformats.org/officeDocument/2006/relationships/hyperlink" Target="https://pxweb.stat.si/SiStat/sl" TargetMode="External"/><Relationship Id="rId9" Type="http://schemas.openxmlformats.org/officeDocument/2006/relationships/hyperlink" Target="https://www.arso.gov.si/vode/podzemne%20v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Worksheet!$B$1</c:f>
              <c:strCache>
                <c:ptCount val="1"/>
                <c:pt idx="0">
                  <c:v>Usklajeni kazalnik tveganja 1</c:v>
                </c:pt>
              </c:strCache>
            </c:strRef>
          </c:tx>
          <c:spPr>
            <a:ln w="28575" cap="rnd">
              <a:solidFill>
                <a:schemeClr val="accent1"/>
              </a:solidFill>
              <a:round/>
            </a:ln>
            <a:effectLst/>
          </c:spPr>
          <c:marker>
            <c:symbol val="none"/>
          </c:marker>
          <c:cat>
            <c:strRef>
              <c:f>Worksheet!$A$2:$A$10</c:f>
              <c:strCache>
                <c:ptCount val="9"/>
                <c:pt idx="0">
                  <c:v>2011-2013</c:v>
                </c:pt>
                <c:pt idx="1">
                  <c:v>2014</c:v>
                </c:pt>
                <c:pt idx="2">
                  <c:v>2015</c:v>
                </c:pt>
                <c:pt idx="3">
                  <c:v>2016</c:v>
                </c:pt>
                <c:pt idx="4">
                  <c:v>2017</c:v>
                </c:pt>
                <c:pt idx="5">
                  <c:v>2018</c:v>
                </c:pt>
                <c:pt idx="6">
                  <c:v>2019</c:v>
                </c:pt>
                <c:pt idx="7">
                  <c:v>2020</c:v>
                </c:pt>
                <c:pt idx="8">
                  <c:v>2021</c:v>
                </c:pt>
              </c:strCache>
            </c:strRef>
          </c:cat>
          <c:val>
            <c:numRef>
              <c:f>Worksheet!$B$2:$B$10</c:f>
              <c:numCache>
                <c:formatCode>General</c:formatCode>
                <c:ptCount val="9"/>
                <c:pt idx="0">
                  <c:v>100</c:v>
                </c:pt>
                <c:pt idx="1">
                  <c:v>98</c:v>
                </c:pt>
                <c:pt idx="2">
                  <c:v>100</c:v>
                </c:pt>
                <c:pt idx="3">
                  <c:v>107</c:v>
                </c:pt>
                <c:pt idx="4">
                  <c:v>98</c:v>
                </c:pt>
                <c:pt idx="5">
                  <c:v>103</c:v>
                </c:pt>
                <c:pt idx="6">
                  <c:v>75</c:v>
                </c:pt>
                <c:pt idx="7">
                  <c:v>72</c:v>
                </c:pt>
                <c:pt idx="8">
                  <c:v>68</c:v>
                </c:pt>
              </c:numCache>
            </c:numRef>
          </c:val>
          <c:smooth val="0"/>
          <c:extLst>
            <c:ext xmlns:c16="http://schemas.microsoft.com/office/drawing/2014/chart" uri="{C3380CC4-5D6E-409C-BE32-E72D297353CC}">
              <c16:uniqueId val="{00000000-EB96-403C-BC68-2D3274F7E192}"/>
            </c:ext>
          </c:extLst>
        </c:ser>
        <c:dLbls>
          <c:showLegendKey val="0"/>
          <c:showVal val="0"/>
          <c:showCatName val="0"/>
          <c:showSerName val="0"/>
          <c:showPercent val="0"/>
          <c:showBubbleSize val="0"/>
        </c:dLbls>
        <c:smooth val="0"/>
        <c:axId val="517417088"/>
        <c:axId val="518246720"/>
      </c:lineChart>
      <c:catAx>
        <c:axId val="51741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18246720"/>
        <c:crosses val="autoZero"/>
        <c:auto val="1"/>
        <c:lblAlgn val="ctr"/>
        <c:lblOffset val="100"/>
        <c:noMultiLvlLbl val="0"/>
      </c:catAx>
      <c:valAx>
        <c:axId val="51824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1741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Worksheet!$B$1</c:f>
              <c:strCache>
                <c:ptCount val="1"/>
                <c:pt idx="0">
                  <c:v>Usklajeni kazalnik tveganja 2</c:v>
                </c:pt>
              </c:strCache>
            </c:strRef>
          </c:tx>
          <c:spPr>
            <a:ln w="28575" cap="rnd">
              <a:solidFill>
                <a:schemeClr val="accent1"/>
              </a:solidFill>
              <a:round/>
            </a:ln>
            <a:effectLst/>
          </c:spPr>
          <c:marker>
            <c:symbol val="none"/>
          </c:marker>
          <c:cat>
            <c:strRef>
              <c:f>Worksheet!$A$2:$A$10</c:f>
              <c:strCache>
                <c:ptCount val="9"/>
                <c:pt idx="0">
                  <c:v>2011-2013</c:v>
                </c:pt>
                <c:pt idx="1">
                  <c:v>2014</c:v>
                </c:pt>
                <c:pt idx="2">
                  <c:v>2015</c:v>
                </c:pt>
                <c:pt idx="3">
                  <c:v>2016</c:v>
                </c:pt>
                <c:pt idx="4">
                  <c:v>2017</c:v>
                </c:pt>
                <c:pt idx="5">
                  <c:v>2018</c:v>
                </c:pt>
                <c:pt idx="6">
                  <c:v>2019</c:v>
                </c:pt>
                <c:pt idx="7">
                  <c:v>2020</c:v>
                </c:pt>
                <c:pt idx="8">
                  <c:v>2021</c:v>
                </c:pt>
              </c:strCache>
            </c:strRef>
          </c:cat>
          <c:val>
            <c:numRef>
              <c:f>Worksheet!$B$2:$B$10</c:f>
              <c:numCache>
                <c:formatCode>General</c:formatCode>
                <c:ptCount val="9"/>
                <c:pt idx="0">
                  <c:v>100</c:v>
                </c:pt>
                <c:pt idx="1">
                  <c:v>182</c:v>
                </c:pt>
                <c:pt idx="2">
                  <c:v>39</c:v>
                </c:pt>
                <c:pt idx="3">
                  <c:v>150</c:v>
                </c:pt>
                <c:pt idx="4">
                  <c:v>150</c:v>
                </c:pt>
                <c:pt idx="5">
                  <c:v>111</c:v>
                </c:pt>
                <c:pt idx="6">
                  <c:v>150</c:v>
                </c:pt>
                <c:pt idx="7">
                  <c:v>316</c:v>
                </c:pt>
                <c:pt idx="8">
                  <c:v>205</c:v>
                </c:pt>
              </c:numCache>
            </c:numRef>
          </c:val>
          <c:smooth val="0"/>
          <c:extLst>
            <c:ext xmlns:c16="http://schemas.microsoft.com/office/drawing/2014/chart" uri="{C3380CC4-5D6E-409C-BE32-E72D297353CC}">
              <c16:uniqueId val="{00000000-364C-4F2D-9F7A-A64412DF8521}"/>
            </c:ext>
          </c:extLst>
        </c:ser>
        <c:dLbls>
          <c:showLegendKey val="0"/>
          <c:showVal val="0"/>
          <c:showCatName val="0"/>
          <c:showSerName val="0"/>
          <c:showPercent val="0"/>
          <c:showBubbleSize val="0"/>
        </c:dLbls>
        <c:smooth val="0"/>
        <c:axId val="520308448"/>
        <c:axId val="518246720"/>
      </c:lineChart>
      <c:catAx>
        <c:axId val="52030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18246720"/>
        <c:crosses val="autoZero"/>
        <c:auto val="1"/>
        <c:lblAlgn val="ctr"/>
        <c:lblOffset val="100"/>
        <c:noMultiLvlLbl val="0"/>
      </c:catAx>
      <c:valAx>
        <c:axId val="51824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030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Promet</a:t>
            </a:r>
            <a:r>
              <a:rPr lang="sl-SI" baseline="0"/>
              <a:t> </a:t>
            </a:r>
            <a:r>
              <a:rPr lang="en-US"/>
              <a:t>kg snovi</a:t>
            </a:r>
            <a:r>
              <a:rPr lang="sl-SI" baseline="0"/>
              <a:t> -</a:t>
            </a:r>
            <a:r>
              <a:rPr lang="en-US"/>
              <a:t> kandidatk za zamenjavo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zamenjava!$A$40</c:f>
              <c:strCache>
                <c:ptCount val="1"/>
                <c:pt idx="0">
                  <c:v>vse snovi</c:v>
                </c:pt>
              </c:strCache>
            </c:strRef>
          </c:tx>
          <c:spPr>
            <a:ln w="28575" cap="rnd">
              <a:solidFill>
                <a:schemeClr val="accent1"/>
              </a:solidFill>
              <a:round/>
            </a:ln>
            <a:effectLst/>
          </c:spPr>
          <c:marker>
            <c:symbol val="none"/>
          </c:marker>
          <c:cat>
            <c:numRef>
              <c:f>zamenjava!$B$39:$G$39</c:f>
              <c:numCache>
                <c:formatCode>General</c:formatCode>
                <c:ptCount val="6"/>
                <c:pt idx="0">
                  <c:v>2017</c:v>
                </c:pt>
                <c:pt idx="1">
                  <c:v>2018</c:v>
                </c:pt>
                <c:pt idx="2">
                  <c:v>2019</c:v>
                </c:pt>
                <c:pt idx="3">
                  <c:v>2020</c:v>
                </c:pt>
                <c:pt idx="4">
                  <c:v>2021</c:v>
                </c:pt>
                <c:pt idx="5">
                  <c:v>2022</c:v>
                </c:pt>
              </c:numCache>
            </c:numRef>
          </c:cat>
          <c:val>
            <c:numRef>
              <c:f>zamenjava!$B$40:$G$40</c:f>
              <c:numCache>
                <c:formatCode>General</c:formatCode>
                <c:ptCount val="6"/>
                <c:pt idx="0">
                  <c:v>77764.987788400002</c:v>
                </c:pt>
                <c:pt idx="1">
                  <c:v>80367.03096400002</c:v>
                </c:pt>
                <c:pt idx="2">
                  <c:v>78876.262859399998</c:v>
                </c:pt>
                <c:pt idx="3">
                  <c:v>84761.444667399992</c:v>
                </c:pt>
                <c:pt idx="4">
                  <c:v>81705.126544999992</c:v>
                </c:pt>
                <c:pt idx="5">
                  <c:v>73022.640975000002</c:v>
                </c:pt>
              </c:numCache>
            </c:numRef>
          </c:val>
          <c:smooth val="0"/>
          <c:extLst>
            <c:ext xmlns:c16="http://schemas.microsoft.com/office/drawing/2014/chart" uri="{C3380CC4-5D6E-409C-BE32-E72D297353CC}">
              <c16:uniqueId val="{00000000-4FBD-4E03-92E9-6C068E7DE43F}"/>
            </c:ext>
          </c:extLst>
        </c:ser>
        <c:ser>
          <c:idx val="1"/>
          <c:order val="1"/>
          <c:tx>
            <c:strRef>
              <c:f>zamenjava!$A$41</c:f>
              <c:strCache>
                <c:ptCount val="1"/>
                <c:pt idx="0">
                  <c:v>baker</c:v>
                </c:pt>
              </c:strCache>
            </c:strRef>
          </c:tx>
          <c:spPr>
            <a:ln w="28575" cap="rnd">
              <a:solidFill>
                <a:schemeClr val="accent2"/>
              </a:solidFill>
              <a:round/>
            </a:ln>
            <a:effectLst/>
          </c:spPr>
          <c:marker>
            <c:symbol val="none"/>
          </c:marker>
          <c:cat>
            <c:numRef>
              <c:f>zamenjava!$B$39:$G$39</c:f>
              <c:numCache>
                <c:formatCode>General</c:formatCode>
                <c:ptCount val="6"/>
                <c:pt idx="0">
                  <c:v>2017</c:v>
                </c:pt>
                <c:pt idx="1">
                  <c:v>2018</c:v>
                </c:pt>
                <c:pt idx="2">
                  <c:v>2019</c:v>
                </c:pt>
                <c:pt idx="3">
                  <c:v>2020</c:v>
                </c:pt>
                <c:pt idx="4">
                  <c:v>2021</c:v>
                </c:pt>
                <c:pt idx="5">
                  <c:v>2022</c:v>
                </c:pt>
              </c:numCache>
            </c:numRef>
          </c:cat>
          <c:val>
            <c:numRef>
              <c:f>zamenjava!$B$41:$G$41</c:f>
              <c:numCache>
                <c:formatCode>General</c:formatCode>
                <c:ptCount val="6"/>
                <c:pt idx="0">
                  <c:v>41212.766600000003</c:v>
                </c:pt>
                <c:pt idx="1">
                  <c:v>38959.600040000005</c:v>
                </c:pt>
                <c:pt idx="2">
                  <c:v>39875.6702</c:v>
                </c:pt>
                <c:pt idx="3">
                  <c:v>38559.818800000001</c:v>
                </c:pt>
                <c:pt idx="4">
                  <c:v>38793.660900000003</c:v>
                </c:pt>
                <c:pt idx="5">
                  <c:v>37449.399299999997</c:v>
                </c:pt>
              </c:numCache>
            </c:numRef>
          </c:val>
          <c:smooth val="0"/>
          <c:extLst>
            <c:ext xmlns:c16="http://schemas.microsoft.com/office/drawing/2014/chart" uri="{C3380CC4-5D6E-409C-BE32-E72D297353CC}">
              <c16:uniqueId val="{00000001-4FBD-4E03-92E9-6C068E7DE43F}"/>
            </c:ext>
          </c:extLst>
        </c:ser>
        <c:dLbls>
          <c:showLegendKey val="0"/>
          <c:showVal val="0"/>
          <c:showCatName val="0"/>
          <c:showSerName val="0"/>
          <c:showPercent val="0"/>
          <c:showBubbleSize val="0"/>
        </c:dLbls>
        <c:smooth val="0"/>
        <c:axId val="1283636127"/>
        <c:axId val="902589711"/>
      </c:lineChart>
      <c:catAx>
        <c:axId val="1283636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02589711"/>
        <c:crosses val="autoZero"/>
        <c:auto val="1"/>
        <c:lblAlgn val="ctr"/>
        <c:lblOffset val="100"/>
        <c:noMultiLvlLbl val="0"/>
      </c:catAx>
      <c:valAx>
        <c:axId val="902589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83636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Snovi v FFS na podlagi MO v kg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MO!$A$31</c:f>
              <c:strCache>
                <c:ptCount val="1"/>
                <c:pt idx="0">
                  <c:v>FFS na podlagi MO</c:v>
                </c:pt>
              </c:strCache>
            </c:strRef>
          </c:tx>
          <c:spPr>
            <a:ln w="28575" cap="rnd">
              <a:solidFill>
                <a:schemeClr val="accent1"/>
              </a:solidFill>
              <a:round/>
            </a:ln>
            <a:effectLst/>
          </c:spPr>
          <c:marker>
            <c:symbol val="none"/>
          </c:marker>
          <c:cat>
            <c:numRef>
              <c:f>MO!$B$30:$G$30</c:f>
              <c:numCache>
                <c:formatCode>General</c:formatCode>
                <c:ptCount val="6"/>
                <c:pt idx="0">
                  <c:v>2017</c:v>
                </c:pt>
                <c:pt idx="1">
                  <c:v>2018</c:v>
                </c:pt>
                <c:pt idx="2">
                  <c:v>2019</c:v>
                </c:pt>
                <c:pt idx="3">
                  <c:v>2020</c:v>
                </c:pt>
                <c:pt idx="4">
                  <c:v>2021</c:v>
                </c:pt>
                <c:pt idx="5">
                  <c:v>2022</c:v>
                </c:pt>
              </c:numCache>
            </c:numRef>
          </c:cat>
          <c:val>
            <c:numRef>
              <c:f>MO!$B$31:$G$31</c:f>
              <c:numCache>
                <c:formatCode>#,##0.00</c:formatCode>
                <c:ptCount val="6"/>
                <c:pt idx="0">
                  <c:v>219.9328055</c:v>
                </c:pt>
                <c:pt idx="1">
                  <c:v>438.47518900000006</c:v>
                </c:pt>
                <c:pt idx="2">
                  <c:v>586.3949889999999</c:v>
                </c:pt>
                <c:pt idx="3">
                  <c:v>1028.4024529999999</c:v>
                </c:pt>
                <c:pt idx="4">
                  <c:v>940.83037649999983</c:v>
                </c:pt>
                <c:pt idx="5">
                  <c:v>971.5812535</c:v>
                </c:pt>
              </c:numCache>
            </c:numRef>
          </c:val>
          <c:smooth val="0"/>
          <c:extLst>
            <c:ext xmlns:c16="http://schemas.microsoft.com/office/drawing/2014/chart" uri="{C3380CC4-5D6E-409C-BE32-E72D297353CC}">
              <c16:uniqueId val="{00000000-0F25-4359-B156-B95A38F11310}"/>
            </c:ext>
          </c:extLst>
        </c:ser>
        <c:dLbls>
          <c:showLegendKey val="0"/>
          <c:showVal val="0"/>
          <c:showCatName val="0"/>
          <c:showSerName val="0"/>
          <c:showPercent val="0"/>
          <c:showBubbleSize val="0"/>
        </c:dLbls>
        <c:smooth val="0"/>
        <c:axId val="1283620351"/>
        <c:axId val="1279543359"/>
      </c:lineChart>
      <c:catAx>
        <c:axId val="1283620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79543359"/>
        <c:crosses val="autoZero"/>
        <c:auto val="1"/>
        <c:lblAlgn val="ctr"/>
        <c:lblOffset val="100"/>
        <c:noMultiLvlLbl val="0"/>
      </c:catAx>
      <c:valAx>
        <c:axId val="12795433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836203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Število vpisanih in pregledanih naprav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List1!$B$1</c:f>
              <c:strCache>
                <c:ptCount val="1"/>
                <c:pt idx="0">
                  <c:v> st. vpisanih naprav</c:v>
                </c:pt>
              </c:strCache>
            </c:strRef>
          </c:tx>
          <c:spPr>
            <a:ln w="28575" cap="rnd">
              <a:solidFill>
                <a:schemeClr val="accent1"/>
              </a:solidFill>
              <a:round/>
            </a:ln>
            <a:effectLst/>
          </c:spPr>
          <c:marker>
            <c:symbol val="none"/>
          </c:marker>
          <c:cat>
            <c:numRef>
              <c:f>List1!$A$2:$A$7</c:f>
              <c:numCache>
                <c:formatCode>General</c:formatCode>
                <c:ptCount val="6"/>
                <c:pt idx="0">
                  <c:v>2017</c:v>
                </c:pt>
                <c:pt idx="1">
                  <c:v>2018</c:v>
                </c:pt>
                <c:pt idx="2">
                  <c:v>2019</c:v>
                </c:pt>
                <c:pt idx="3">
                  <c:v>2020</c:v>
                </c:pt>
                <c:pt idx="4">
                  <c:v>2021</c:v>
                </c:pt>
                <c:pt idx="5">
                  <c:v>2022</c:v>
                </c:pt>
              </c:numCache>
            </c:numRef>
          </c:cat>
          <c:val>
            <c:numRef>
              <c:f>List1!$B$2:$B$7</c:f>
              <c:numCache>
                <c:formatCode>#,##0</c:formatCode>
                <c:ptCount val="6"/>
                <c:pt idx="0">
                  <c:v>17988</c:v>
                </c:pt>
                <c:pt idx="1">
                  <c:v>18636</c:v>
                </c:pt>
                <c:pt idx="2">
                  <c:v>17978</c:v>
                </c:pt>
                <c:pt idx="3">
                  <c:v>16758</c:v>
                </c:pt>
                <c:pt idx="4">
                  <c:v>17090</c:v>
                </c:pt>
                <c:pt idx="5">
                  <c:v>16373</c:v>
                </c:pt>
              </c:numCache>
            </c:numRef>
          </c:val>
          <c:smooth val="0"/>
          <c:extLst>
            <c:ext xmlns:c16="http://schemas.microsoft.com/office/drawing/2014/chart" uri="{C3380CC4-5D6E-409C-BE32-E72D297353CC}">
              <c16:uniqueId val="{00000000-6E1B-44B8-97F3-73B976EC24E1}"/>
            </c:ext>
          </c:extLst>
        </c:ser>
        <c:ser>
          <c:idx val="1"/>
          <c:order val="1"/>
          <c:tx>
            <c:strRef>
              <c:f>List1!$C$1</c:f>
              <c:strCache>
                <c:ptCount val="1"/>
                <c:pt idx="0">
                  <c:v> st. pregledanih naprav</c:v>
                </c:pt>
              </c:strCache>
            </c:strRef>
          </c:tx>
          <c:spPr>
            <a:ln w="28575" cap="rnd">
              <a:solidFill>
                <a:schemeClr val="accent2"/>
              </a:solidFill>
              <a:round/>
            </a:ln>
            <a:effectLst/>
          </c:spPr>
          <c:marker>
            <c:symbol val="none"/>
          </c:marker>
          <c:cat>
            <c:numRef>
              <c:f>List1!$A$2:$A$7</c:f>
              <c:numCache>
                <c:formatCode>General</c:formatCode>
                <c:ptCount val="6"/>
                <c:pt idx="0">
                  <c:v>2017</c:v>
                </c:pt>
                <c:pt idx="1">
                  <c:v>2018</c:v>
                </c:pt>
                <c:pt idx="2">
                  <c:v>2019</c:v>
                </c:pt>
                <c:pt idx="3">
                  <c:v>2020</c:v>
                </c:pt>
                <c:pt idx="4">
                  <c:v>2021</c:v>
                </c:pt>
                <c:pt idx="5">
                  <c:v>2022</c:v>
                </c:pt>
              </c:numCache>
            </c:numRef>
          </c:cat>
          <c:val>
            <c:numRef>
              <c:f>List1!$C$2:$C$7</c:f>
              <c:numCache>
                <c:formatCode>#,##0</c:formatCode>
                <c:ptCount val="6"/>
                <c:pt idx="0">
                  <c:v>8372</c:v>
                </c:pt>
                <c:pt idx="1">
                  <c:v>1368</c:v>
                </c:pt>
                <c:pt idx="2">
                  <c:v>7325</c:v>
                </c:pt>
                <c:pt idx="3">
                  <c:v>6638</c:v>
                </c:pt>
                <c:pt idx="4">
                  <c:v>1985</c:v>
                </c:pt>
                <c:pt idx="5">
                  <c:v>6648</c:v>
                </c:pt>
              </c:numCache>
            </c:numRef>
          </c:val>
          <c:smooth val="0"/>
          <c:extLst>
            <c:ext xmlns:c16="http://schemas.microsoft.com/office/drawing/2014/chart" uri="{C3380CC4-5D6E-409C-BE32-E72D297353CC}">
              <c16:uniqueId val="{00000001-6E1B-44B8-97F3-73B976EC24E1}"/>
            </c:ext>
          </c:extLst>
        </c:ser>
        <c:dLbls>
          <c:showLegendKey val="0"/>
          <c:showVal val="0"/>
          <c:showCatName val="0"/>
          <c:showSerName val="0"/>
          <c:showPercent val="0"/>
          <c:showBubbleSize val="0"/>
        </c:dLbls>
        <c:smooth val="0"/>
        <c:axId val="443260720"/>
        <c:axId val="330656496"/>
      </c:lineChart>
      <c:catAx>
        <c:axId val="44326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0656496"/>
        <c:crosses val="autoZero"/>
        <c:auto val="1"/>
        <c:lblAlgn val="ctr"/>
        <c:lblOffset val="100"/>
        <c:noMultiLvlLbl val="0"/>
      </c:catAx>
      <c:valAx>
        <c:axId val="330656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326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Število veljavnih </a:t>
            </a:r>
            <a:r>
              <a:rPr lang="sl-SI"/>
              <a:t>izkaznic</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usposabljanje!$B$19</c:f>
              <c:strCache>
                <c:ptCount val="1"/>
                <c:pt idx="0">
                  <c:v> Število veljavnih potrdil </c:v>
                </c:pt>
              </c:strCache>
            </c:strRef>
          </c:tx>
          <c:spPr>
            <a:ln w="28575" cap="rnd">
              <a:solidFill>
                <a:schemeClr val="accent1"/>
              </a:solidFill>
              <a:round/>
            </a:ln>
            <a:effectLst/>
          </c:spPr>
          <c:marker>
            <c:symbol val="none"/>
          </c:marker>
          <c:cat>
            <c:numRef>
              <c:f>usposabljanje!$A$20:$A$25</c:f>
              <c:numCache>
                <c:formatCode>General</c:formatCode>
                <c:ptCount val="6"/>
                <c:pt idx="0">
                  <c:v>2017</c:v>
                </c:pt>
                <c:pt idx="1">
                  <c:v>2018</c:v>
                </c:pt>
                <c:pt idx="2">
                  <c:v>2019</c:v>
                </c:pt>
                <c:pt idx="3">
                  <c:v>2020</c:v>
                </c:pt>
                <c:pt idx="4">
                  <c:v>2021</c:v>
                </c:pt>
                <c:pt idx="5">
                  <c:v>2022</c:v>
                </c:pt>
              </c:numCache>
            </c:numRef>
          </c:cat>
          <c:val>
            <c:numRef>
              <c:f>usposabljanje!$B$20:$B$25</c:f>
              <c:numCache>
                <c:formatCode>General</c:formatCode>
                <c:ptCount val="6"/>
                <c:pt idx="0">
                  <c:v>58795</c:v>
                </c:pt>
                <c:pt idx="1">
                  <c:v>56908</c:v>
                </c:pt>
                <c:pt idx="2">
                  <c:v>54934</c:v>
                </c:pt>
                <c:pt idx="3">
                  <c:v>54161</c:v>
                </c:pt>
                <c:pt idx="4">
                  <c:v>54754</c:v>
                </c:pt>
                <c:pt idx="5">
                  <c:v>52789</c:v>
                </c:pt>
              </c:numCache>
            </c:numRef>
          </c:val>
          <c:smooth val="0"/>
          <c:extLst>
            <c:ext xmlns:c16="http://schemas.microsoft.com/office/drawing/2014/chart" uri="{C3380CC4-5D6E-409C-BE32-E72D297353CC}">
              <c16:uniqueId val="{00000000-800D-4FC7-B591-6BEAC2C7C8E6}"/>
            </c:ext>
          </c:extLst>
        </c:ser>
        <c:dLbls>
          <c:showLegendKey val="0"/>
          <c:showVal val="0"/>
          <c:showCatName val="0"/>
          <c:showSerName val="0"/>
          <c:showPercent val="0"/>
          <c:showBubbleSize val="0"/>
        </c:dLbls>
        <c:smooth val="0"/>
        <c:axId val="506498320"/>
        <c:axId val="334506016"/>
      </c:lineChart>
      <c:catAx>
        <c:axId val="50649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4506016"/>
        <c:crosses val="autoZero"/>
        <c:auto val="1"/>
        <c:lblAlgn val="ctr"/>
        <c:lblOffset val="100"/>
        <c:noMultiLvlLbl val="0"/>
      </c:catAx>
      <c:valAx>
        <c:axId val="33450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649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01DC64-7324-4CEB-AF6F-D62C177C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6559</Words>
  <Characters>40389</Characters>
  <Application>Microsoft Office Word</Application>
  <DocSecurity>0</DocSecurity>
  <Lines>336</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Poročilo o napredku pri doseganju  ciljev</vt:lpstr>
      <vt:lpstr>Poročilo o napredku pri doseganju  ciljev</vt:lpstr>
    </vt:vector>
  </TitlesOfParts>
  <Company>FURS</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napredku pri doseganju  ciljev</dc:title>
  <dc:subject>Končno poročilo o napredku za obdobje 2018 – 2022</dc:subject>
  <dc:creator>MKGP, UVHVVR</dc:creator>
  <cp:lastModifiedBy>Milena Koprivnikar</cp:lastModifiedBy>
  <cp:revision>6</cp:revision>
  <cp:lastPrinted>2023-12-11T13:01:00Z</cp:lastPrinted>
  <dcterms:created xsi:type="dcterms:W3CDTF">2024-06-26T06:46:00Z</dcterms:created>
  <dcterms:modified xsi:type="dcterms:W3CDTF">2024-07-11T09:29:00Z</dcterms:modified>
</cp:coreProperties>
</file>