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E339" w14:textId="34CD3B73" w:rsidR="00C04D95" w:rsidRPr="00AB1A7E" w:rsidRDefault="00771E4C" w:rsidP="00AB1A7E">
      <w:pPr>
        <w:pStyle w:val="Naslov1"/>
      </w:pPr>
      <w:r w:rsidRPr="00AB1A7E">
        <w:t xml:space="preserve">STATISTIČNO POROČILO O </w:t>
      </w:r>
      <w:r w:rsidR="00C04D95" w:rsidRPr="00AB1A7E">
        <w:t>UPORAB</w:t>
      </w:r>
      <w:r w:rsidRPr="00AB1A7E">
        <w:t>I</w:t>
      </w:r>
      <w:r w:rsidR="00115A55" w:rsidRPr="00AB1A7E">
        <w:t xml:space="preserve"> ŽIVALI V </w:t>
      </w:r>
      <w:r w:rsidRPr="00AB1A7E">
        <w:t xml:space="preserve">ZNANSTVENE NAMENE </w:t>
      </w:r>
      <w:r w:rsidR="00CA6D1B" w:rsidRPr="00AB1A7E">
        <w:t>V LETU 202</w:t>
      </w:r>
      <w:r w:rsidR="00132869" w:rsidRPr="00AB1A7E">
        <w:t>2</w:t>
      </w:r>
    </w:p>
    <w:p w14:paraId="67F6EBE1" w14:textId="77777777" w:rsidR="000608B1" w:rsidRDefault="000608B1" w:rsidP="000608B1">
      <w:pPr>
        <w:pStyle w:val="Navadensplet"/>
        <w:spacing w:before="0" w:beforeAutospacing="0" w:after="0" w:afterAutospacing="0"/>
        <w:rPr>
          <w:rFonts w:asciiTheme="minorHAnsi" w:hAnsiTheme="minorHAnsi" w:cs="Arial"/>
        </w:rPr>
      </w:pPr>
    </w:p>
    <w:p w14:paraId="06C3FF58" w14:textId="77777777" w:rsidR="00771E4C" w:rsidRPr="00C746F9" w:rsidRDefault="000608B1" w:rsidP="00C93BB4">
      <w:pPr>
        <w:pStyle w:val="Navadensplet"/>
        <w:spacing w:before="0" w:beforeAutospacing="0" w:after="0" w:afterAutospacing="0"/>
        <w:jc w:val="both"/>
        <w:rPr>
          <w:rFonts w:asciiTheme="minorHAnsi" w:hAnsiTheme="minorHAnsi" w:cs="Arial"/>
          <w:sz w:val="22"/>
          <w:szCs w:val="22"/>
        </w:rPr>
      </w:pPr>
      <w:r w:rsidRPr="00C746F9">
        <w:rPr>
          <w:rFonts w:asciiTheme="minorHAnsi" w:hAnsiTheme="minorHAnsi" w:cs="Arial"/>
          <w:sz w:val="22"/>
          <w:szCs w:val="22"/>
        </w:rPr>
        <w:t xml:space="preserve">Zahteva za poročanje izhaja iz 54. člena Direktive Sveta 2010/63/EU in </w:t>
      </w:r>
      <w:r w:rsidR="00872BC6" w:rsidRPr="00C746F9">
        <w:rPr>
          <w:rFonts w:asciiTheme="minorHAnsi" w:hAnsiTheme="minorHAnsi" w:cs="Arial"/>
          <w:sz w:val="22"/>
          <w:szCs w:val="22"/>
        </w:rPr>
        <w:t>Iz</w:t>
      </w:r>
      <w:r w:rsidR="00771E4C" w:rsidRPr="00C746F9">
        <w:rPr>
          <w:rFonts w:asciiTheme="minorHAnsi" w:hAnsiTheme="minorHAnsi" w:cs="Arial"/>
          <w:sz w:val="22"/>
          <w:szCs w:val="22"/>
        </w:rPr>
        <w:t>vedbenega Sklepa komisije 2020/</w:t>
      </w:r>
      <w:r w:rsidR="00872BC6" w:rsidRPr="00C746F9">
        <w:rPr>
          <w:rFonts w:asciiTheme="minorHAnsi" w:hAnsiTheme="minorHAnsi" w:cs="Arial"/>
          <w:sz w:val="22"/>
          <w:szCs w:val="22"/>
        </w:rPr>
        <w:t>569</w:t>
      </w:r>
      <w:r w:rsidRPr="00C746F9">
        <w:rPr>
          <w:rFonts w:asciiTheme="minorHAnsi" w:hAnsiTheme="minorHAnsi" w:cs="Arial"/>
          <w:sz w:val="22"/>
          <w:szCs w:val="22"/>
        </w:rPr>
        <w:t xml:space="preserve">/EU. V Sloveniji </w:t>
      </w:r>
      <w:r w:rsidR="00771E4C" w:rsidRPr="00C746F9">
        <w:rPr>
          <w:rFonts w:asciiTheme="minorHAnsi" w:hAnsiTheme="minorHAnsi" w:cs="Arial"/>
          <w:sz w:val="22"/>
          <w:szCs w:val="22"/>
        </w:rPr>
        <w:t xml:space="preserve">je pravna podlaga za poročanje v </w:t>
      </w:r>
      <w:r w:rsidRPr="00C746F9">
        <w:rPr>
          <w:rFonts w:asciiTheme="minorHAnsi" w:hAnsiTheme="minorHAnsi" w:cs="Arial"/>
          <w:sz w:val="22"/>
          <w:szCs w:val="22"/>
        </w:rPr>
        <w:t>Zakon</w:t>
      </w:r>
      <w:r w:rsidR="00771E4C" w:rsidRPr="00C746F9">
        <w:rPr>
          <w:rFonts w:asciiTheme="minorHAnsi" w:hAnsiTheme="minorHAnsi" w:cs="Arial"/>
          <w:sz w:val="22"/>
          <w:szCs w:val="22"/>
        </w:rPr>
        <w:t>u</w:t>
      </w:r>
      <w:r w:rsidRPr="00C746F9">
        <w:rPr>
          <w:rFonts w:asciiTheme="minorHAnsi" w:hAnsiTheme="minorHAnsi" w:cs="Arial"/>
          <w:sz w:val="22"/>
          <w:szCs w:val="22"/>
        </w:rPr>
        <w:t xml:space="preserve"> o zaščiti živali (</w:t>
      </w:r>
      <w:r w:rsidR="00771E4C" w:rsidRPr="00C746F9">
        <w:rPr>
          <w:rFonts w:asciiTheme="minorHAnsi" w:hAnsiTheme="minorHAnsi" w:cs="Arial"/>
          <w:sz w:val="22"/>
          <w:szCs w:val="22"/>
        </w:rPr>
        <w:t xml:space="preserve">Uradni list RS, št. 38/13 – uradno prečiščeno besedilo, 21/18 – </w:t>
      </w:r>
      <w:proofErr w:type="spellStart"/>
      <w:r w:rsidR="00771E4C" w:rsidRPr="00C746F9">
        <w:rPr>
          <w:rFonts w:asciiTheme="minorHAnsi" w:hAnsiTheme="minorHAnsi" w:cs="Arial"/>
          <w:sz w:val="22"/>
          <w:szCs w:val="22"/>
        </w:rPr>
        <w:t>ZNOrg</w:t>
      </w:r>
      <w:proofErr w:type="spellEnd"/>
      <w:r w:rsidR="00771E4C" w:rsidRPr="00C746F9">
        <w:rPr>
          <w:rFonts w:asciiTheme="minorHAnsi" w:hAnsiTheme="minorHAnsi" w:cs="Arial"/>
          <w:sz w:val="22"/>
          <w:szCs w:val="22"/>
        </w:rPr>
        <w:t>, 92/20 in 159/21</w:t>
      </w:r>
      <w:r w:rsidRPr="00C746F9">
        <w:rPr>
          <w:rFonts w:asciiTheme="minorHAnsi" w:hAnsiTheme="minorHAnsi" w:cs="Arial"/>
          <w:sz w:val="22"/>
          <w:szCs w:val="22"/>
        </w:rPr>
        <w:t>) in Pravilnik</w:t>
      </w:r>
      <w:r w:rsidR="00771E4C" w:rsidRPr="00C746F9">
        <w:rPr>
          <w:rFonts w:asciiTheme="minorHAnsi" w:hAnsiTheme="minorHAnsi" w:cs="Arial"/>
          <w:sz w:val="22"/>
          <w:szCs w:val="22"/>
        </w:rPr>
        <w:t>u</w:t>
      </w:r>
      <w:r w:rsidRPr="00C746F9">
        <w:rPr>
          <w:rFonts w:asciiTheme="minorHAnsi" w:hAnsiTheme="minorHAnsi" w:cs="Arial"/>
          <w:sz w:val="22"/>
          <w:szCs w:val="22"/>
        </w:rPr>
        <w:t xml:space="preserve"> o pogojih za izvajanje </w:t>
      </w:r>
      <w:r w:rsidR="002C0675" w:rsidRPr="00C746F9">
        <w:rPr>
          <w:rFonts w:asciiTheme="minorHAnsi" w:hAnsiTheme="minorHAnsi" w:cs="Arial"/>
          <w:sz w:val="22"/>
          <w:szCs w:val="22"/>
        </w:rPr>
        <w:t>postopkov</w:t>
      </w:r>
      <w:r w:rsidRPr="00C746F9">
        <w:rPr>
          <w:rFonts w:asciiTheme="minorHAnsi" w:hAnsiTheme="minorHAnsi" w:cs="Arial"/>
          <w:sz w:val="22"/>
          <w:szCs w:val="22"/>
        </w:rPr>
        <w:t xml:space="preserve"> na živalih (Uradni list RS, št </w:t>
      </w:r>
      <w:r w:rsidR="002C0675" w:rsidRPr="00C746F9">
        <w:rPr>
          <w:rFonts w:asciiTheme="minorHAnsi" w:hAnsiTheme="minorHAnsi" w:cs="Arial"/>
          <w:sz w:val="22"/>
          <w:szCs w:val="22"/>
        </w:rPr>
        <w:t>32/21</w:t>
      </w:r>
      <w:r w:rsidRPr="00C746F9">
        <w:rPr>
          <w:rFonts w:asciiTheme="minorHAnsi" w:hAnsiTheme="minorHAnsi" w:cs="Arial"/>
          <w:sz w:val="22"/>
          <w:szCs w:val="22"/>
        </w:rPr>
        <w:t>).</w:t>
      </w:r>
      <w:r w:rsidR="00771E4C" w:rsidRPr="00C746F9">
        <w:rPr>
          <w:rFonts w:asciiTheme="minorHAnsi" w:hAnsiTheme="minorHAnsi" w:cs="Arial"/>
          <w:sz w:val="22"/>
          <w:szCs w:val="22"/>
        </w:rPr>
        <w:t xml:space="preserve"> </w:t>
      </w:r>
    </w:p>
    <w:p w14:paraId="282775F6" w14:textId="08E56B8F" w:rsidR="00030C46" w:rsidRPr="00C93BB4" w:rsidRDefault="00771E4C" w:rsidP="00C93BB4">
      <w:pPr>
        <w:pStyle w:val="Navadensplet"/>
        <w:spacing w:before="0" w:beforeAutospacing="0" w:after="0" w:afterAutospacing="0"/>
        <w:jc w:val="both"/>
        <w:rPr>
          <w:rFonts w:asciiTheme="minorHAnsi" w:hAnsiTheme="minorHAnsi" w:cs="Arial"/>
          <w:sz w:val="22"/>
          <w:szCs w:val="22"/>
        </w:rPr>
      </w:pPr>
      <w:r w:rsidRPr="00C746F9">
        <w:rPr>
          <w:rFonts w:asciiTheme="minorHAnsi" w:hAnsiTheme="minorHAnsi" w:cs="Arial"/>
          <w:sz w:val="22"/>
          <w:szCs w:val="22"/>
        </w:rPr>
        <w:t xml:space="preserve">Na podlagi </w:t>
      </w:r>
      <w:r w:rsidR="002C0675" w:rsidRPr="00C746F9">
        <w:rPr>
          <w:rFonts w:asciiTheme="minorHAnsi" w:hAnsiTheme="minorHAnsi" w:cs="Arial"/>
          <w:sz w:val="22"/>
          <w:szCs w:val="22"/>
        </w:rPr>
        <w:t>38</w:t>
      </w:r>
      <w:r w:rsidRPr="00C746F9">
        <w:rPr>
          <w:rFonts w:asciiTheme="minorHAnsi" w:hAnsiTheme="minorHAnsi" w:cs="Arial"/>
          <w:sz w:val="22"/>
          <w:szCs w:val="22"/>
        </w:rPr>
        <w:t>. člena</w:t>
      </w:r>
      <w:r w:rsidR="001749C0" w:rsidRPr="00C746F9">
        <w:rPr>
          <w:rFonts w:asciiTheme="minorHAnsi" w:hAnsiTheme="minorHAnsi" w:cs="Arial"/>
          <w:sz w:val="22"/>
          <w:szCs w:val="22"/>
        </w:rPr>
        <w:t xml:space="preserve"> pravilnika, ki določa pogoje za uporabo živali v </w:t>
      </w:r>
      <w:r w:rsidR="006C2CC8" w:rsidRPr="00C746F9">
        <w:rPr>
          <w:rFonts w:asciiTheme="minorHAnsi" w:hAnsiTheme="minorHAnsi" w:cs="Arial"/>
          <w:sz w:val="22"/>
          <w:szCs w:val="22"/>
        </w:rPr>
        <w:t>postopkih</w:t>
      </w:r>
      <w:r w:rsidR="001749C0" w:rsidRPr="00C746F9">
        <w:rPr>
          <w:rFonts w:asciiTheme="minorHAnsi" w:hAnsiTheme="minorHAnsi" w:cs="Arial"/>
          <w:sz w:val="22"/>
          <w:szCs w:val="22"/>
        </w:rPr>
        <w:t xml:space="preserve">, morajo organizacije, ki </w:t>
      </w:r>
      <w:r w:rsidR="006C2CC8" w:rsidRPr="00C746F9">
        <w:rPr>
          <w:rFonts w:asciiTheme="minorHAnsi" w:hAnsiTheme="minorHAnsi" w:cs="Arial"/>
          <w:sz w:val="22"/>
          <w:szCs w:val="22"/>
        </w:rPr>
        <w:t xml:space="preserve">v okviru projektov </w:t>
      </w:r>
      <w:r w:rsidR="001749C0" w:rsidRPr="00C746F9">
        <w:rPr>
          <w:rFonts w:asciiTheme="minorHAnsi" w:hAnsiTheme="minorHAnsi" w:cs="Arial"/>
          <w:sz w:val="22"/>
          <w:szCs w:val="22"/>
        </w:rPr>
        <w:t xml:space="preserve">izvajajo </w:t>
      </w:r>
      <w:r w:rsidR="006C2CC8" w:rsidRPr="00C746F9">
        <w:rPr>
          <w:rFonts w:asciiTheme="minorHAnsi" w:hAnsiTheme="minorHAnsi" w:cs="Arial"/>
          <w:sz w:val="22"/>
          <w:szCs w:val="22"/>
        </w:rPr>
        <w:t>postopke</w:t>
      </w:r>
      <w:r w:rsidR="001749C0" w:rsidRPr="00C746F9">
        <w:rPr>
          <w:rFonts w:asciiTheme="minorHAnsi" w:hAnsiTheme="minorHAnsi" w:cs="Arial"/>
          <w:sz w:val="22"/>
          <w:szCs w:val="22"/>
        </w:rPr>
        <w:t xml:space="preserve"> na živalih, vsako leto </w:t>
      </w:r>
      <w:r w:rsidRPr="00C746F9">
        <w:rPr>
          <w:rFonts w:asciiTheme="minorHAnsi" w:hAnsiTheme="minorHAnsi" w:cs="Arial"/>
          <w:sz w:val="22"/>
          <w:szCs w:val="22"/>
        </w:rPr>
        <w:t>poročati</w:t>
      </w:r>
      <w:r w:rsidR="001749C0" w:rsidRPr="00C746F9">
        <w:rPr>
          <w:rFonts w:asciiTheme="minorHAnsi" w:hAnsiTheme="minorHAnsi" w:cs="Arial"/>
          <w:sz w:val="22"/>
          <w:szCs w:val="22"/>
        </w:rPr>
        <w:t xml:space="preserve"> o uporabi živali</w:t>
      </w:r>
      <w:r w:rsidR="006C2CC8" w:rsidRPr="00C746F9">
        <w:rPr>
          <w:rFonts w:asciiTheme="minorHAnsi" w:hAnsiTheme="minorHAnsi" w:cs="Arial"/>
          <w:sz w:val="22"/>
          <w:szCs w:val="22"/>
        </w:rPr>
        <w:t xml:space="preserve"> v znanstvene namene</w:t>
      </w:r>
      <w:r w:rsidR="001749C0" w:rsidRPr="00C746F9">
        <w:rPr>
          <w:rFonts w:asciiTheme="minorHAnsi" w:hAnsiTheme="minorHAnsi" w:cs="Arial"/>
          <w:sz w:val="22"/>
          <w:szCs w:val="22"/>
        </w:rPr>
        <w:t xml:space="preserve">. </w:t>
      </w:r>
      <w:r w:rsidR="009A5EA5" w:rsidRPr="00C746F9">
        <w:rPr>
          <w:rFonts w:asciiTheme="minorHAnsi" w:hAnsiTheme="minorHAnsi" w:cs="Arial"/>
          <w:sz w:val="22"/>
          <w:szCs w:val="22"/>
        </w:rPr>
        <w:t>V poročilu so zajeti podatki o številu in vrsti uporabljenih živali, namenu uporabe, določeni</w:t>
      </w:r>
      <w:r w:rsidR="00552004" w:rsidRPr="00C746F9">
        <w:rPr>
          <w:rFonts w:asciiTheme="minorHAnsi" w:hAnsiTheme="minorHAnsi" w:cs="Arial"/>
          <w:sz w:val="22"/>
          <w:szCs w:val="22"/>
        </w:rPr>
        <w:t xml:space="preserve"> dejanski</w:t>
      </w:r>
      <w:r w:rsidR="009A5EA5" w:rsidRPr="00C746F9">
        <w:rPr>
          <w:rFonts w:asciiTheme="minorHAnsi" w:hAnsiTheme="minorHAnsi" w:cs="Arial"/>
          <w:sz w:val="22"/>
          <w:szCs w:val="22"/>
        </w:rPr>
        <w:t xml:space="preserve"> težavnosti posamezni</w:t>
      </w:r>
      <w:r w:rsidR="00C746F9" w:rsidRPr="00C746F9">
        <w:rPr>
          <w:rFonts w:asciiTheme="minorHAnsi" w:hAnsiTheme="minorHAnsi" w:cs="Arial"/>
          <w:sz w:val="22"/>
          <w:szCs w:val="22"/>
        </w:rPr>
        <w:t>h postopkov ter</w:t>
      </w:r>
      <w:r w:rsidR="009A5EA5" w:rsidRPr="00C746F9">
        <w:rPr>
          <w:rFonts w:asciiTheme="minorHAnsi" w:hAnsiTheme="minorHAnsi" w:cs="Arial"/>
          <w:sz w:val="22"/>
          <w:szCs w:val="22"/>
        </w:rPr>
        <w:t xml:space="preserve"> </w:t>
      </w:r>
      <w:r w:rsidR="00C746F9" w:rsidRPr="00C746F9">
        <w:rPr>
          <w:rFonts w:asciiTheme="minorHAnsi" w:hAnsiTheme="minorHAnsi" w:cs="Arial"/>
          <w:sz w:val="22"/>
          <w:szCs w:val="22"/>
        </w:rPr>
        <w:t>genetsk</w:t>
      </w:r>
      <w:r w:rsidR="002F3E6A">
        <w:rPr>
          <w:rFonts w:asciiTheme="minorHAnsi" w:hAnsiTheme="minorHAnsi" w:cs="Arial"/>
          <w:sz w:val="22"/>
          <w:szCs w:val="22"/>
        </w:rPr>
        <w:t>em</w:t>
      </w:r>
      <w:r w:rsidR="00C746F9" w:rsidRPr="00C746F9">
        <w:rPr>
          <w:rFonts w:asciiTheme="minorHAnsi" w:hAnsiTheme="minorHAnsi" w:cs="Arial"/>
          <w:sz w:val="22"/>
          <w:szCs w:val="22"/>
        </w:rPr>
        <w:t xml:space="preserve"> status</w:t>
      </w:r>
      <w:r w:rsidR="002F3E6A">
        <w:rPr>
          <w:rFonts w:asciiTheme="minorHAnsi" w:hAnsiTheme="minorHAnsi" w:cs="Arial"/>
          <w:sz w:val="22"/>
          <w:szCs w:val="22"/>
        </w:rPr>
        <w:t>u</w:t>
      </w:r>
      <w:r w:rsidR="00C746F9" w:rsidRPr="00C746F9">
        <w:rPr>
          <w:rFonts w:asciiTheme="minorHAnsi" w:hAnsiTheme="minorHAnsi" w:cs="Arial"/>
          <w:sz w:val="22"/>
          <w:szCs w:val="22"/>
        </w:rPr>
        <w:t xml:space="preserve"> živali.</w:t>
      </w:r>
      <w:r w:rsidR="00C746F9">
        <w:rPr>
          <w:rFonts w:asciiTheme="minorHAnsi" w:hAnsiTheme="minorHAnsi" w:cs="Arial"/>
          <w:sz w:val="22"/>
          <w:szCs w:val="22"/>
        </w:rPr>
        <w:t xml:space="preserve"> </w:t>
      </w:r>
      <w:r w:rsidR="002D72A6" w:rsidRPr="00C93BB4">
        <w:rPr>
          <w:rFonts w:asciiTheme="minorHAnsi" w:hAnsiTheme="minorHAnsi" w:cs="Arial"/>
          <w:sz w:val="22"/>
          <w:szCs w:val="22"/>
        </w:rPr>
        <w:t xml:space="preserve"> </w:t>
      </w:r>
    </w:p>
    <w:p w14:paraId="0CE5318B" w14:textId="77777777" w:rsidR="0028299D" w:rsidRPr="001749C0" w:rsidRDefault="0028299D" w:rsidP="002D72A6">
      <w:pPr>
        <w:pStyle w:val="Navadensplet"/>
        <w:spacing w:before="0" w:beforeAutospacing="0" w:after="0" w:afterAutospacing="0"/>
        <w:rPr>
          <w:rFonts w:asciiTheme="minorHAnsi" w:hAnsiTheme="minorHAnsi" w:cs="Arial"/>
        </w:rPr>
      </w:pPr>
    </w:p>
    <w:p w14:paraId="4FAA466F" w14:textId="500EDB36" w:rsidR="00061E35" w:rsidRDefault="00EB13E6" w:rsidP="00AD7336">
      <w:pPr>
        <w:pStyle w:val="Navadensplet"/>
        <w:spacing w:before="0" w:beforeAutospacing="0" w:after="0" w:afterAutospacing="0"/>
        <w:rPr>
          <w:rFonts w:asciiTheme="minorHAnsi" w:hAnsiTheme="minorHAnsi" w:cs="Arial"/>
          <w:i/>
          <w:sz w:val="22"/>
          <w:szCs w:val="22"/>
        </w:rPr>
      </w:pPr>
      <w:r w:rsidRPr="000608B1">
        <w:rPr>
          <w:rFonts w:asciiTheme="minorHAnsi" w:hAnsiTheme="minorHAnsi" w:cs="Arial"/>
          <w:i/>
          <w:sz w:val="22"/>
          <w:szCs w:val="22"/>
        </w:rPr>
        <w:t>Preglednica 1: Število in vrsta uporabljenih živali</w:t>
      </w:r>
      <w:r>
        <w:rPr>
          <w:rFonts w:asciiTheme="minorHAnsi" w:hAnsiTheme="minorHAnsi" w:cs="Arial"/>
          <w:i/>
          <w:sz w:val="22"/>
          <w:szCs w:val="22"/>
        </w:rPr>
        <w:t xml:space="preserve"> v postopkih</w:t>
      </w:r>
      <w:r w:rsidRPr="000608B1">
        <w:rPr>
          <w:rFonts w:asciiTheme="minorHAnsi" w:hAnsiTheme="minorHAnsi" w:cs="Arial"/>
          <w:i/>
          <w:sz w:val="22"/>
          <w:szCs w:val="22"/>
        </w:rPr>
        <w:t xml:space="preserve"> </w:t>
      </w:r>
      <w:r>
        <w:rPr>
          <w:rFonts w:asciiTheme="minorHAnsi" w:hAnsiTheme="minorHAnsi" w:cs="Arial"/>
          <w:i/>
          <w:sz w:val="22"/>
          <w:szCs w:val="22"/>
        </w:rPr>
        <w:t>glede na namen uporabe</w:t>
      </w:r>
      <w:r w:rsidR="009C338A">
        <w:rPr>
          <w:rFonts w:asciiTheme="minorHAnsi" w:hAnsiTheme="minorHAnsi" w:cs="Arial"/>
          <w:i/>
          <w:sz w:val="22"/>
          <w:szCs w:val="22"/>
        </w:rPr>
        <w:t xml:space="preserve"> v letu 2022</w:t>
      </w:r>
    </w:p>
    <w:p w14:paraId="525CFF38" w14:textId="77777777" w:rsidR="00061E35" w:rsidRDefault="00061E35" w:rsidP="00AD7336">
      <w:pPr>
        <w:pStyle w:val="Navadensplet"/>
        <w:spacing w:before="0" w:beforeAutospacing="0" w:after="0" w:afterAutospacing="0"/>
        <w:rPr>
          <w:rFonts w:asciiTheme="minorHAnsi" w:hAnsiTheme="minorHAnsi" w:cs="Arial"/>
          <w:i/>
          <w:sz w:val="22"/>
          <w:szCs w:val="22"/>
        </w:rPr>
      </w:pPr>
    </w:p>
    <w:tbl>
      <w:tblPr>
        <w:tblStyle w:val="Tabelamrea"/>
        <w:tblW w:w="13462" w:type="dxa"/>
        <w:tblLayout w:type="fixed"/>
        <w:tblLook w:val="04E0" w:firstRow="1" w:lastRow="1" w:firstColumn="1" w:lastColumn="0" w:noHBand="0" w:noVBand="1"/>
      </w:tblPr>
      <w:tblGrid>
        <w:gridCol w:w="3539"/>
        <w:gridCol w:w="1276"/>
        <w:gridCol w:w="1984"/>
        <w:gridCol w:w="2410"/>
        <w:gridCol w:w="2693"/>
        <w:gridCol w:w="1560"/>
      </w:tblGrid>
      <w:tr w:rsidR="00360A6E" w:rsidRPr="00030C46" w14:paraId="5C9FB61A" w14:textId="77777777" w:rsidTr="00356AD6">
        <w:trPr>
          <w:cantSplit/>
          <w:trHeight w:val="541"/>
          <w:tblHeader/>
        </w:trPr>
        <w:tc>
          <w:tcPr>
            <w:tcW w:w="3539" w:type="dxa"/>
          </w:tcPr>
          <w:p w14:paraId="54B7DA97" w14:textId="77777777" w:rsidR="00360A6E" w:rsidRPr="002144F8" w:rsidRDefault="00360A6E" w:rsidP="00356AD6">
            <w:pPr>
              <w:rPr>
                <w:rFonts w:cs="Arial"/>
                <w:b/>
                <w:sz w:val="20"/>
                <w:szCs w:val="20"/>
              </w:rPr>
            </w:pPr>
            <w:r w:rsidRPr="002144F8">
              <w:rPr>
                <w:rFonts w:cs="Arial"/>
                <w:b/>
                <w:sz w:val="20"/>
                <w:szCs w:val="20"/>
              </w:rPr>
              <w:t>Vrsta živali/Namen uporabe</w:t>
            </w:r>
          </w:p>
        </w:tc>
        <w:tc>
          <w:tcPr>
            <w:tcW w:w="1276" w:type="dxa"/>
          </w:tcPr>
          <w:p w14:paraId="2C49A521" w14:textId="77777777" w:rsidR="00360A6E" w:rsidRPr="002144F8" w:rsidRDefault="00360A6E" w:rsidP="00356AD6">
            <w:pPr>
              <w:rPr>
                <w:rFonts w:cs="Arial"/>
                <w:b/>
                <w:sz w:val="20"/>
                <w:szCs w:val="20"/>
              </w:rPr>
            </w:pPr>
            <w:r w:rsidRPr="002144F8">
              <w:rPr>
                <w:rFonts w:cs="Arial"/>
                <w:b/>
                <w:sz w:val="20"/>
                <w:szCs w:val="20"/>
              </w:rPr>
              <w:t>Temeljne raziskave</w:t>
            </w:r>
          </w:p>
        </w:tc>
        <w:tc>
          <w:tcPr>
            <w:tcW w:w="1984" w:type="dxa"/>
          </w:tcPr>
          <w:p w14:paraId="2050A766" w14:textId="77777777" w:rsidR="00360A6E" w:rsidRPr="002144F8" w:rsidRDefault="00360A6E" w:rsidP="00356AD6">
            <w:pPr>
              <w:rPr>
                <w:rFonts w:cs="Arial"/>
                <w:b/>
                <w:sz w:val="20"/>
                <w:szCs w:val="20"/>
              </w:rPr>
            </w:pPr>
            <w:r>
              <w:rPr>
                <w:rFonts w:cs="Arial"/>
                <w:b/>
                <w:sz w:val="20"/>
                <w:szCs w:val="20"/>
              </w:rPr>
              <w:t>Transla</w:t>
            </w:r>
            <w:r w:rsidRPr="002144F8">
              <w:rPr>
                <w:rFonts w:cs="Arial"/>
                <w:b/>
                <w:sz w:val="20"/>
                <w:szCs w:val="20"/>
              </w:rPr>
              <w:t>cijske in uporabne raziskave</w:t>
            </w:r>
          </w:p>
        </w:tc>
        <w:tc>
          <w:tcPr>
            <w:tcW w:w="2410" w:type="dxa"/>
          </w:tcPr>
          <w:p w14:paraId="5132C7AD" w14:textId="77777777" w:rsidR="00360A6E" w:rsidRPr="002144F8" w:rsidRDefault="00360A6E" w:rsidP="00356AD6">
            <w:pPr>
              <w:rPr>
                <w:rFonts w:cs="Arial"/>
                <w:b/>
                <w:sz w:val="20"/>
                <w:szCs w:val="20"/>
              </w:rPr>
            </w:pPr>
            <w:r w:rsidRPr="002144F8">
              <w:rPr>
                <w:rFonts w:cs="Arial"/>
                <w:b/>
                <w:sz w:val="20"/>
                <w:szCs w:val="20"/>
              </w:rPr>
              <w:t>Regulativna uporaba in rutinska proizvodnja</w:t>
            </w:r>
          </w:p>
        </w:tc>
        <w:tc>
          <w:tcPr>
            <w:tcW w:w="2693" w:type="dxa"/>
          </w:tcPr>
          <w:p w14:paraId="6EC0F1BF" w14:textId="77777777" w:rsidR="00360A6E" w:rsidRPr="002144F8" w:rsidRDefault="00360A6E" w:rsidP="00356AD6">
            <w:pPr>
              <w:rPr>
                <w:rFonts w:cs="Arial"/>
                <w:b/>
                <w:sz w:val="20"/>
                <w:szCs w:val="20"/>
              </w:rPr>
            </w:pPr>
            <w:r w:rsidRPr="002144F8">
              <w:rPr>
                <w:rFonts w:cs="Arial"/>
                <w:b/>
                <w:sz w:val="20"/>
                <w:szCs w:val="20"/>
              </w:rPr>
              <w:t xml:space="preserve">Visokošolsko izobraževanje ali usposabljanje </w:t>
            </w:r>
          </w:p>
        </w:tc>
        <w:tc>
          <w:tcPr>
            <w:tcW w:w="1560" w:type="dxa"/>
          </w:tcPr>
          <w:p w14:paraId="7B07283D" w14:textId="77777777" w:rsidR="00360A6E" w:rsidRPr="002144F8" w:rsidRDefault="00360A6E" w:rsidP="00356AD6">
            <w:pPr>
              <w:jc w:val="center"/>
              <w:rPr>
                <w:rFonts w:cs="Arial"/>
                <w:b/>
                <w:sz w:val="20"/>
                <w:szCs w:val="20"/>
              </w:rPr>
            </w:pPr>
            <w:r w:rsidRPr="002144F8">
              <w:rPr>
                <w:rFonts w:cs="Arial"/>
                <w:b/>
                <w:sz w:val="20"/>
                <w:szCs w:val="20"/>
              </w:rPr>
              <w:t>Skupaj</w:t>
            </w:r>
          </w:p>
        </w:tc>
      </w:tr>
      <w:tr w:rsidR="00360A6E" w:rsidRPr="00030C46" w14:paraId="481461B3" w14:textId="77777777" w:rsidTr="00356AD6">
        <w:trPr>
          <w:cantSplit/>
          <w:trHeight w:val="448"/>
        </w:trPr>
        <w:tc>
          <w:tcPr>
            <w:tcW w:w="3539" w:type="dxa"/>
          </w:tcPr>
          <w:p w14:paraId="7619ECB7" w14:textId="77777777" w:rsidR="00360A6E" w:rsidRPr="002144F8" w:rsidRDefault="00360A6E" w:rsidP="00356AD6">
            <w:pPr>
              <w:rPr>
                <w:rFonts w:cs="Arial"/>
                <w:color w:val="000000"/>
                <w:sz w:val="20"/>
                <w:szCs w:val="20"/>
              </w:rPr>
            </w:pPr>
            <w:r w:rsidRPr="002144F8">
              <w:rPr>
                <w:rFonts w:cs="Arial"/>
                <w:color w:val="000000"/>
                <w:sz w:val="20"/>
                <w:szCs w:val="20"/>
              </w:rPr>
              <w:t>miši (</w:t>
            </w:r>
            <w:r w:rsidRPr="002144F8">
              <w:rPr>
                <w:rFonts w:cs="Arial"/>
                <w:i/>
                <w:iCs/>
                <w:color w:val="000000"/>
                <w:sz w:val="20"/>
                <w:szCs w:val="20"/>
              </w:rPr>
              <w:t xml:space="preserve">Mus </w:t>
            </w:r>
            <w:proofErr w:type="spellStart"/>
            <w:r w:rsidRPr="002144F8">
              <w:rPr>
                <w:rFonts w:cs="Arial"/>
                <w:i/>
                <w:iCs/>
                <w:color w:val="000000"/>
                <w:sz w:val="20"/>
                <w:szCs w:val="20"/>
              </w:rPr>
              <w:t>musculus</w:t>
            </w:r>
            <w:proofErr w:type="spellEnd"/>
            <w:r w:rsidRPr="002144F8">
              <w:rPr>
                <w:rFonts w:cs="Arial"/>
                <w:color w:val="000000"/>
                <w:sz w:val="20"/>
                <w:szCs w:val="20"/>
              </w:rPr>
              <w:t>)</w:t>
            </w:r>
          </w:p>
        </w:tc>
        <w:tc>
          <w:tcPr>
            <w:tcW w:w="1276" w:type="dxa"/>
          </w:tcPr>
          <w:p w14:paraId="5B9B308D" w14:textId="5518E064" w:rsidR="00360A6E" w:rsidRPr="007E197F" w:rsidRDefault="00004148" w:rsidP="00356AD6">
            <w:pPr>
              <w:jc w:val="right"/>
              <w:rPr>
                <w:rFonts w:cs="Arial"/>
                <w:sz w:val="20"/>
                <w:szCs w:val="20"/>
              </w:rPr>
            </w:pPr>
            <w:r>
              <w:rPr>
                <w:rFonts w:cs="Arial"/>
                <w:sz w:val="20"/>
                <w:szCs w:val="20"/>
              </w:rPr>
              <w:t>733</w:t>
            </w:r>
          </w:p>
        </w:tc>
        <w:tc>
          <w:tcPr>
            <w:tcW w:w="1984" w:type="dxa"/>
          </w:tcPr>
          <w:p w14:paraId="6BA265AA" w14:textId="711EEF2E" w:rsidR="00360A6E" w:rsidRPr="002144F8" w:rsidRDefault="00360A6E" w:rsidP="00356AD6">
            <w:pPr>
              <w:jc w:val="right"/>
              <w:rPr>
                <w:rFonts w:cs="Arial"/>
                <w:sz w:val="20"/>
                <w:szCs w:val="20"/>
              </w:rPr>
            </w:pPr>
            <w:r>
              <w:rPr>
                <w:rFonts w:cs="Arial"/>
                <w:sz w:val="20"/>
                <w:szCs w:val="20"/>
              </w:rPr>
              <w:t>2.136</w:t>
            </w:r>
          </w:p>
        </w:tc>
        <w:tc>
          <w:tcPr>
            <w:tcW w:w="2410" w:type="dxa"/>
          </w:tcPr>
          <w:p w14:paraId="50231FCC" w14:textId="24837443" w:rsidR="00360A6E" w:rsidRPr="002144F8" w:rsidRDefault="00360A6E" w:rsidP="00356AD6">
            <w:pPr>
              <w:jc w:val="right"/>
              <w:rPr>
                <w:rFonts w:cs="Arial"/>
                <w:sz w:val="20"/>
                <w:szCs w:val="20"/>
              </w:rPr>
            </w:pPr>
            <w:r>
              <w:rPr>
                <w:rFonts w:cs="Arial"/>
                <w:sz w:val="20"/>
                <w:szCs w:val="20"/>
              </w:rPr>
              <w:t>2.118</w:t>
            </w:r>
          </w:p>
        </w:tc>
        <w:tc>
          <w:tcPr>
            <w:tcW w:w="2693" w:type="dxa"/>
          </w:tcPr>
          <w:p w14:paraId="64BD040E" w14:textId="72624978" w:rsidR="00360A6E" w:rsidRPr="002144F8" w:rsidRDefault="00360A6E" w:rsidP="00356AD6">
            <w:pPr>
              <w:jc w:val="right"/>
              <w:rPr>
                <w:rFonts w:cs="Arial"/>
                <w:sz w:val="20"/>
                <w:szCs w:val="20"/>
              </w:rPr>
            </w:pPr>
            <w:r>
              <w:rPr>
                <w:rFonts w:cs="Arial"/>
                <w:sz w:val="20"/>
                <w:szCs w:val="20"/>
              </w:rPr>
              <w:t>18</w:t>
            </w:r>
          </w:p>
        </w:tc>
        <w:tc>
          <w:tcPr>
            <w:tcW w:w="1560" w:type="dxa"/>
          </w:tcPr>
          <w:p w14:paraId="42516820" w14:textId="4240F217" w:rsidR="00360A6E" w:rsidRPr="002144F8" w:rsidRDefault="00822AB6" w:rsidP="00356AD6">
            <w:pPr>
              <w:jc w:val="right"/>
              <w:rPr>
                <w:rFonts w:cs="Arial"/>
                <w:b/>
                <w:sz w:val="20"/>
                <w:szCs w:val="20"/>
              </w:rPr>
            </w:pPr>
            <w:r>
              <w:rPr>
                <w:rFonts w:cs="Arial"/>
                <w:b/>
                <w:sz w:val="20"/>
                <w:szCs w:val="20"/>
              </w:rPr>
              <w:t>5.005</w:t>
            </w:r>
          </w:p>
        </w:tc>
      </w:tr>
      <w:tr w:rsidR="00360A6E" w:rsidRPr="00030C46" w14:paraId="0C3EB66A" w14:textId="77777777" w:rsidTr="00356AD6">
        <w:trPr>
          <w:cantSplit/>
          <w:trHeight w:val="448"/>
        </w:trPr>
        <w:tc>
          <w:tcPr>
            <w:tcW w:w="3539" w:type="dxa"/>
          </w:tcPr>
          <w:p w14:paraId="50F4F435" w14:textId="77777777" w:rsidR="00360A6E" w:rsidRPr="002144F8" w:rsidRDefault="00360A6E" w:rsidP="00356AD6">
            <w:pPr>
              <w:rPr>
                <w:rFonts w:cs="Arial"/>
                <w:color w:val="000000"/>
                <w:sz w:val="20"/>
                <w:szCs w:val="20"/>
              </w:rPr>
            </w:pPr>
            <w:r w:rsidRPr="002144F8">
              <w:rPr>
                <w:rFonts w:cs="Arial"/>
                <w:color w:val="000000"/>
                <w:sz w:val="20"/>
                <w:szCs w:val="20"/>
              </w:rPr>
              <w:t>podgane (</w:t>
            </w:r>
            <w:proofErr w:type="spellStart"/>
            <w:r w:rsidRPr="002144F8">
              <w:rPr>
                <w:rFonts w:cs="Arial"/>
                <w:i/>
                <w:iCs/>
                <w:color w:val="000000"/>
                <w:sz w:val="20"/>
                <w:szCs w:val="20"/>
              </w:rPr>
              <w:t>Rattus</w:t>
            </w:r>
            <w:proofErr w:type="spellEnd"/>
            <w:r w:rsidRPr="002144F8">
              <w:rPr>
                <w:rFonts w:cs="Arial"/>
                <w:i/>
                <w:iCs/>
                <w:color w:val="000000"/>
                <w:sz w:val="20"/>
                <w:szCs w:val="20"/>
              </w:rPr>
              <w:t xml:space="preserve"> </w:t>
            </w:r>
            <w:proofErr w:type="spellStart"/>
            <w:r w:rsidRPr="002144F8">
              <w:rPr>
                <w:rFonts w:cs="Arial"/>
                <w:i/>
                <w:iCs/>
                <w:color w:val="000000"/>
                <w:sz w:val="20"/>
                <w:szCs w:val="20"/>
              </w:rPr>
              <w:t>norvegicus</w:t>
            </w:r>
            <w:proofErr w:type="spellEnd"/>
            <w:r w:rsidRPr="002144F8">
              <w:rPr>
                <w:rFonts w:cs="Arial"/>
                <w:color w:val="000000"/>
                <w:sz w:val="20"/>
                <w:szCs w:val="20"/>
              </w:rPr>
              <w:t>)</w:t>
            </w:r>
          </w:p>
        </w:tc>
        <w:tc>
          <w:tcPr>
            <w:tcW w:w="1276" w:type="dxa"/>
          </w:tcPr>
          <w:p w14:paraId="60496979" w14:textId="271301B1" w:rsidR="00360A6E" w:rsidRPr="007E197F" w:rsidRDefault="00360A6E" w:rsidP="00356AD6">
            <w:pPr>
              <w:jc w:val="right"/>
              <w:rPr>
                <w:rFonts w:cs="Arial"/>
                <w:sz w:val="20"/>
                <w:szCs w:val="20"/>
              </w:rPr>
            </w:pPr>
            <w:r w:rsidRPr="007E197F">
              <w:rPr>
                <w:rFonts w:cs="Arial"/>
                <w:sz w:val="20"/>
                <w:szCs w:val="20"/>
              </w:rPr>
              <w:t>81</w:t>
            </w:r>
          </w:p>
        </w:tc>
        <w:tc>
          <w:tcPr>
            <w:tcW w:w="1984" w:type="dxa"/>
          </w:tcPr>
          <w:p w14:paraId="7B602716" w14:textId="77777777" w:rsidR="00360A6E" w:rsidRPr="002144F8" w:rsidRDefault="00360A6E" w:rsidP="00356AD6">
            <w:pPr>
              <w:jc w:val="right"/>
              <w:rPr>
                <w:rFonts w:cs="Arial"/>
                <w:sz w:val="20"/>
                <w:szCs w:val="20"/>
              </w:rPr>
            </w:pPr>
          </w:p>
        </w:tc>
        <w:tc>
          <w:tcPr>
            <w:tcW w:w="2410" w:type="dxa"/>
          </w:tcPr>
          <w:p w14:paraId="32C878EB" w14:textId="77777777" w:rsidR="00360A6E" w:rsidRPr="002144F8" w:rsidRDefault="00360A6E" w:rsidP="00356AD6">
            <w:pPr>
              <w:jc w:val="right"/>
              <w:rPr>
                <w:rFonts w:cs="Arial"/>
                <w:sz w:val="20"/>
                <w:szCs w:val="20"/>
              </w:rPr>
            </w:pPr>
          </w:p>
        </w:tc>
        <w:tc>
          <w:tcPr>
            <w:tcW w:w="2693" w:type="dxa"/>
          </w:tcPr>
          <w:p w14:paraId="05E1505D" w14:textId="092EA305" w:rsidR="00360A6E" w:rsidRPr="002144F8" w:rsidRDefault="00360A6E" w:rsidP="00356AD6">
            <w:pPr>
              <w:jc w:val="right"/>
              <w:rPr>
                <w:rFonts w:cs="Arial"/>
                <w:sz w:val="20"/>
                <w:szCs w:val="20"/>
              </w:rPr>
            </w:pPr>
          </w:p>
        </w:tc>
        <w:tc>
          <w:tcPr>
            <w:tcW w:w="1560" w:type="dxa"/>
          </w:tcPr>
          <w:p w14:paraId="2FD4A806" w14:textId="24D698AD" w:rsidR="00360A6E" w:rsidRPr="002144F8" w:rsidRDefault="007F3B8D" w:rsidP="00356AD6">
            <w:pPr>
              <w:jc w:val="right"/>
              <w:rPr>
                <w:rFonts w:cs="Arial"/>
                <w:b/>
                <w:sz w:val="20"/>
                <w:szCs w:val="20"/>
              </w:rPr>
            </w:pPr>
            <w:r>
              <w:rPr>
                <w:rFonts w:cs="Arial"/>
                <w:b/>
                <w:sz w:val="20"/>
                <w:szCs w:val="20"/>
              </w:rPr>
              <w:t>81</w:t>
            </w:r>
          </w:p>
        </w:tc>
      </w:tr>
      <w:tr w:rsidR="00360A6E" w:rsidRPr="00030C46" w14:paraId="61C0D514" w14:textId="77777777" w:rsidTr="00356AD6">
        <w:trPr>
          <w:cantSplit/>
          <w:trHeight w:val="448"/>
        </w:trPr>
        <w:tc>
          <w:tcPr>
            <w:tcW w:w="3539" w:type="dxa"/>
          </w:tcPr>
          <w:p w14:paraId="5CE8B7E1" w14:textId="77777777" w:rsidR="00360A6E" w:rsidRPr="002144F8" w:rsidRDefault="00360A6E" w:rsidP="00356AD6">
            <w:pPr>
              <w:rPr>
                <w:rFonts w:cs="Arial"/>
                <w:color w:val="000000"/>
                <w:sz w:val="20"/>
                <w:szCs w:val="20"/>
              </w:rPr>
            </w:pPr>
            <w:r>
              <w:rPr>
                <w:rFonts w:cs="Arial"/>
                <w:color w:val="000000"/>
                <w:sz w:val="20"/>
                <w:szCs w:val="20"/>
              </w:rPr>
              <w:t>Hrčki (sirijski)</w:t>
            </w:r>
          </w:p>
        </w:tc>
        <w:tc>
          <w:tcPr>
            <w:tcW w:w="1276" w:type="dxa"/>
          </w:tcPr>
          <w:p w14:paraId="66E3157E" w14:textId="796D4CF3" w:rsidR="00360A6E" w:rsidRPr="007E197F" w:rsidRDefault="00360A6E" w:rsidP="00356AD6">
            <w:pPr>
              <w:jc w:val="right"/>
              <w:rPr>
                <w:rFonts w:cs="Arial"/>
                <w:sz w:val="20"/>
                <w:szCs w:val="20"/>
              </w:rPr>
            </w:pPr>
          </w:p>
        </w:tc>
        <w:tc>
          <w:tcPr>
            <w:tcW w:w="1984" w:type="dxa"/>
          </w:tcPr>
          <w:p w14:paraId="30BC6C0D" w14:textId="622705C4" w:rsidR="00360A6E" w:rsidRDefault="00360A6E" w:rsidP="00356AD6">
            <w:pPr>
              <w:jc w:val="right"/>
              <w:rPr>
                <w:rFonts w:cs="Arial"/>
                <w:sz w:val="20"/>
                <w:szCs w:val="20"/>
              </w:rPr>
            </w:pPr>
            <w:r>
              <w:rPr>
                <w:rFonts w:cs="Arial"/>
                <w:sz w:val="20"/>
                <w:szCs w:val="20"/>
              </w:rPr>
              <w:t>38</w:t>
            </w:r>
          </w:p>
        </w:tc>
        <w:tc>
          <w:tcPr>
            <w:tcW w:w="2410" w:type="dxa"/>
          </w:tcPr>
          <w:p w14:paraId="4789EA11" w14:textId="77777777" w:rsidR="00360A6E" w:rsidRDefault="00360A6E" w:rsidP="00356AD6">
            <w:pPr>
              <w:jc w:val="right"/>
              <w:rPr>
                <w:rFonts w:cs="Arial"/>
                <w:sz w:val="20"/>
                <w:szCs w:val="20"/>
              </w:rPr>
            </w:pPr>
          </w:p>
        </w:tc>
        <w:tc>
          <w:tcPr>
            <w:tcW w:w="2693" w:type="dxa"/>
          </w:tcPr>
          <w:p w14:paraId="4B053C70" w14:textId="77777777" w:rsidR="00360A6E" w:rsidRDefault="00360A6E" w:rsidP="00356AD6">
            <w:pPr>
              <w:jc w:val="right"/>
              <w:rPr>
                <w:rFonts w:cs="Arial"/>
                <w:sz w:val="20"/>
                <w:szCs w:val="20"/>
              </w:rPr>
            </w:pPr>
          </w:p>
        </w:tc>
        <w:tc>
          <w:tcPr>
            <w:tcW w:w="1560" w:type="dxa"/>
          </w:tcPr>
          <w:p w14:paraId="22EC63E4" w14:textId="794B7AA7" w:rsidR="00360A6E" w:rsidRDefault="007F3B8D" w:rsidP="00356AD6">
            <w:pPr>
              <w:jc w:val="right"/>
              <w:rPr>
                <w:rFonts w:cs="Arial"/>
                <w:b/>
                <w:sz w:val="20"/>
                <w:szCs w:val="20"/>
              </w:rPr>
            </w:pPr>
            <w:r>
              <w:rPr>
                <w:rFonts w:cs="Arial"/>
                <w:b/>
                <w:sz w:val="20"/>
                <w:szCs w:val="20"/>
              </w:rPr>
              <w:t>38</w:t>
            </w:r>
          </w:p>
        </w:tc>
      </w:tr>
      <w:tr w:rsidR="00360A6E" w:rsidRPr="00030C46" w14:paraId="6D520928" w14:textId="77777777" w:rsidTr="00356AD6">
        <w:trPr>
          <w:cantSplit/>
          <w:trHeight w:val="448"/>
        </w:trPr>
        <w:tc>
          <w:tcPr>
            <w:tcW w:w="3539" w:type="dxa"/>
          </w:tcPr>
          <w:p w14:paraId="3DBB4365" w14:textId="77777777" w:rsidR="00360A6E" w:rsidRPr="002144F8" w:rsidRDefault="00360A6E" w:rsidP="00356AD6">
            <w:pPr>
              <w:rPr>
                <w:rFonts w:cs="Arial"/>
                <w:color w:val="000000"/>
                <w:sz w:val="20"/>
                <w:szCs w:val="20"/>
              </w:rPr>
            </w:pPr>
            <w:r w:rsidRPr="002144F8">
              <w:rPr>
                <w:rFonts w:cs="Arial"/>
                <w:color w:val="000000"/>
                <w:sz w:val="20"/>
                <w:szCs w:val="20"/>
              </w:rPr>
              <w:t>kunci (</w:t>
            </w:r>
            <w:proofErr w:type="spellStart"/>
            <w:r w:rsidRPr="002144F8">
              <w:rPr>
                <w:rFonts w:cs="Arial"/>
                <w:i/>
                <w:iCs/>
                <w:color w:val="000000"/>
                <w:sz w:val="20"/>
                <w:szCs w:val="20"/>
              </w:rPr>
              <w:t>Oryctolagus</w:t>
            </w:r>
            <w:proofErr w:type="spellEnd"/>
            <w:r w:rsidRPr="002144F8">
              <w:rPr>
                <w:rFonts w:cs="Arial"/>
                <w:i/>
                <w:iCs/>
                <w:color w:val="000000"/>
                <w:sz w:val="20"/>
                <w:szCs w:val="20"/>
              </w:rPr>
              <w:t xml:space="preserve"> </w:t>
            </w:r>
            <w:proofErr w:type="spellStart"/>
            <w:r w:rsidRPr="002144F8">
              <w:rPr>
                <w:rFonts w:cs="Arial"/>
                <w:i/>
                <w:iCs/>
                <w:color w:val="000000"/>
                <w:sz w:val="20"/>
                <w:szCs w:val="20"/>
              </w:rPr>
              <w:t>cuniculus</w:t>
            </w:r>
            <w:proofErr w:type="spellEnd"/>
            <w:r w:rsidRPr="002144F8">
              <w:rPr>
                <w:rFonts w:cs="Arial"/>
                <w:color w:val="000000"/>
                <w:sz w:val="20"/>
                <w:szCs w:val="20"/>
              </w:rPr>
              <w:t>)</w:t>
            </w:r>
          </w:p>
        </w:tc>
        <w:tc>
          <w:tcPr>
            <w:tcW w:w="1276" w:type="dxa"/>
          </w:tcPr>
          <w:p w14:paraId="54155F71" w14:textId="77777777" w:rsidR="00360A6E" w:rsidRPr="007E197F" w:rsidRDefault="00360A6E" w:rsidP="00356AD6">
            <w:pPr>
              <w:jc w:val="right"/>
              <w:rPr>
                <w:rFonts w:cs="Arial"/>
                <w:sz w:val="20"/>
                <w:szCs w:val="20"/>
              </w:rPr>
            </w:pPr>
          </w:p>
        </w:tc>
        <w:tc>
          <w:tcPr>
            <w:tcW w:w="1984" w:type="dxa"/>
          </w:tcPr>
          <w:p w14:paraId="52FB6584" w14:textId="77777777" w:rsidR="00360A6E" w:rsidRPr="002144F8" w:rsidRDefault="00360A6E" w:rsidP="00356AD6">
            <w:pPr>
              <w:jc w:val="right"/>
              <w:rPr>
                <w:rFonts w:cs="Arial"/>
                <w:sz w:val="20"/>
                <w:szCs w:val="20"/>
              </w:rPr>
            </w:pPr>
          </w:p>
        </w:tc>
        <w:tc>
          <w:tcPr>
            <w:tcW w:w="2410" w:type="dxa"/>
          </w:tcPr>
          <w:p w14:paraId="11724F46" w14:textId="611B587F" w:rsidR="00360A6E" w:rsidRPr="002144F8" w:rsidRDefault="00360A6E" w:rsidP="00356AD6">
            <w:pPr>
              <w:jc w:val="right"/>
              <w:rPr>
                <w:rFonts w:cs="Arial"/>
                <w:sz w:val="20"/>
                <w:szCs w:val="20"/>
              </w:rPr>
            </w:pPr>
            <w:r>
              <w:rPr>
                <w:rFonts w:cs="Arial"/>
                <w:sz w:val="20"/>
                <w:szCs w:val="20"/>
              </w:rPr>
              <w:t>73</w:t>
            </w:r>
          </w:p>
        </w:tc>
        <w:tc>
          <w:tcPr>
            <w:tcW w:w="2693" w:type="dxa"/>
          </w:tcPr>
          <w:p w14:paraId="6D3EFC66" w14:textId="77777777" w:rsidR="00360A6E" w:rsidRPr="002144F8" w:rsidRDefault="00360A6E" w:rsidP="00356AD6">
            <w:pPr>
              <w:jc w:val="right"/>
              <w:rPr>
                <w:rFonts w:cs="Arial"/>
                <w:sz w:val="20"/>
                <w:szCs w:val="20"/>
              </w:rPr>
            </w:pPr>
          </w:p>
        </w:tc>
        <w:tc>
          <w:tcPr>
            <w:tcW w:w="1560" w:type="dxa"/>
          </w:tcPr>
          <w:p w14:paraId="2465B809" w14:textId="18C9CE3E" w:rsidR="00360A6E" w:rsidRPr="002144F8" w:rsidRDefault="007F3B8D" w:rsidP="00356AD6">
            <w:pPr>
              <w:jc w:val="right"/>
              <w:rPr>
                <w:rFonts w:cs="Arial"/>
                <w:b/>
                <w:sz w:val="20"/>
                <w:szCs w:val="20"/>
              </w:rPr>
            </w:pPr>
            <w:r>
              <w:rPr>
                <w:rFonts w:cs="Arial"/>
                <w:b/>
                <w:sz w:val="20"/>
                <w:szCs w:val="20"/>
              </w:rPr>
              <w:t>73</w:t>
            </w:r>
          </w:p>
        </w:tc>
      </w:tr>
      <w:tr w:rsidR="00360A6E" w:rsidRPr="00030C46" w14:paraId="77B64D32" w14:textId="77777777" w:rsidTr="00356AD6">
        <w:trPr>
          <w:cantSplit/>
          <w:trHeight w:val="448"/>
        </w:trPr>
        <w:tc>
          <w:tcPr>
            <w:tcW w:w="3539" w:type="dxa"/>
          </w:tcPr>
          <w:p w14:paraId="7F364634" w14:textId="77777777" w:rsidR="00360A6E" w:rsidRPr="002144F8" w:rsidRDefault="00360A6E" w:rsidP="00356AD6">
            <w:pPr>
              <w:rPr>
                <w:rFonts w:cs="Arial"/>
                <w:color w:val="000000"/>
                <w:sz w:val="20"/>
                <w:szCs w:val="20"/>
              </w:rPr>
            </w:pPr>
            <w:r>
              <w:rPr>
                <w:rFonts w:cs="Arial"/>
                <w:color w:val="000000"/>
                <w:sz w:val="20"/>
                <w:szCs w:val="20"/>
              </w:rPr>
              <w:t>konji (</w:t>
            </w:r>
            <w:proofErr w:type="spellStart"/>
            <w:r w:rsidRPr="00352FF5">
              <w:rPr>
                <w:rFonts w:cs="Arial"/>
                <w:i/>
                <w:color w:val="000000"/>
                <w:sz w:val="20"/>
                <w:szCs w:val="20"/>
              </w:rPr>
              <w:t>Horses</w:t>
            </w:r>
            <w:proofErr w:type="spellEnd"/>
            <w:r>
              <w:rPr>
                <w:rFonts w:cs="Arial"/>
                <w:color w:val="000000"/>
                <w:sz w:val="20"/>
                <w:szCs w:val="20"/>
              </w:rPr>
              <w:t>)</w:t>
            </w:r>
          </w:p>
        </w:tc>
        <w:tc>
          <w:tcPr>
            <w:tcW w:w="1276" w:type="dxa"/>
          </w:tcPr>
          <w:p w14:paraId="603030B3" w14:textId="77777777" w:rsidR="00360A6E" w:rsidRPr="007E197F" w:rsidRDefault="00360A6E" w:rsidP="00356AD6">
            <w:pPr>
              <w:jc w:val="right"/>
              <w:rPr>
                <w:rFonts w:cs="Arial"/>
                <w:sz w:val="20"/>
                <w:szCs w:val="20"/>
              </w:rPr>
            </w:pPr>
          </w:p>
        </w:tc>
        <w:tc>
          <w:tcPr>
            <w:tcW w:w="1984" w:type="dxa"/>
          </w:tcPr>
          <w:p w14:paraId="33C92DF3" w14:textId="77777777" w:rsidR="00360A6E" w:rsidRPr="002144F8" w:rsidRDefault="00360A6E" w:rsidP="00356AD6">
            <w:pPr>
              <w:jc w:val="right"/>
              <w:rPr>
                <w:rFonts w:cs="Arial"/>
                <w:sz w:val="20"/>
                <w:szCs w:val="20"/>
              </w:rPr>
            </w:pPr>
          </w:p>
        </w:tc>
        <w:tc>
          <w:tcPr>
            <w:tcW w:w="2410" w:type="dxa"/>
          </w:tcPr>
          <w:p w14:paraId="47F4A4D5" w14:textId="77777777" w:rsidR="00360A6E" w:rsidRPr="002144F8" w:rsidRDefault="00360A6E" w:rsidP="00356AD6">
            <w:pPr>
              <w:jc w:val="right"/>
              <w:rPr>
                <w:rFonts w:cs="Arial"/>
                <w:sz w:val="20"/>
                <w:szCs w:val="20"/>
              </w:rPr>
            </w:pPr>
          </w:p>
        </w:tc>
        <w:tc>
          <w:tcPr>
            <w:tcW w:w="2693" w:type="dxa"/>
          </w:tcPr>
          <w:p w14:paraId="1A99AA2B" w14:textId="3FA966B9" w:rsidR="00360A6E" w:rsidRPr="002144F8" w:rsidRDefault="00360A6E" w:rsidP="00356AD6">
            <w:pPr>
              <w:jc w:val="right"/>
              <w:rPr>
                <w:rFonts w:cs="Arial"/>
                <w:sz w:val="20"/>
                <w:szCs w:val="20"/>
              </w:rPr>
            </w:pPr>
            <w:r>
              <w:rPr>
                <w:rFonts w:cs="Arial"/>
                <w:sz w:val="20"/>
                <w:szCs w:val="20"/>
              </w:rPr>
              <w:t>2</w:t>
            </w:r>
          </w:p>
        </w:tc>
        <w:tc>
          <w:tcPr>
            <w:tcW w:w="1560" w:type="dxa"/>
          </w:tcPr>
          <w:p w14:paraId="14220213" w14:textId="10F9CF22" w:rsidR="00360A6E" w:rsidRPr="002144F8" w:rsidRDefault="007F3B8D" w:rsidP="00356AD6">
            <w:pPr>
              <w:jc w:val="right"/>
              <w:rPr>
                <w:rFonts w:cs="Arial"/>
                <w:b/>
                <w:sz w:val="20"/>
                <w:szCs w:val="20"/>
              </w:rPr>
            </w:pPr>
            <w:r>
              <w:rPr>
                <w:rFonts w:cs="Arial"/>
                <w:b/>
                <w:sz w:val="20"/>
                <w:szCs w:val="20"/>
              </w:rPr>
              <w:t>2</w:t>
            </w:r>
          </w:p>
        </w:tc>
      </w:tr>
      <w:tr w:rsidR="00360A6E" w:rsidRPr="00030C46" w14:paraId="571E761D" w14:textId="77777777" w:rsidTr="00356AD6">
        <w:trPr>
          <w:cantSplit/>
          <w:trHeight w:val="448"/>
        </w:trPr>
        <w:tc>
          <w:tcPr>
            <w:tcW w:w="3539" w:type="dxa"/>
          </w:tcPr>
          <w:p w14:paraId="27BC5D25" w14:textId="77777777" w:rsidR="00360A6E" w:rsidRPr="002144F8" w:rsidRDefault="00360A6E" w:rsidP="00356AD6">
            <w:pPr>
              <w:rPr>
                <w:rFonts w:cs="Arial"/>
                <w:color w:val="000000"/>
                <w:sz w:val="20"/>
                <w:szCs w:val="20"/>
              </w:rPr>
            </w:pPr>
            <w:r w:rsidRPr="002144F8">
              <w:rPr>
                <w:rFonts w:cs="Arial"/>
                <w:color w:val="000000"/>
                <w:sz w:val="20"/>
                <w:szCs w:val="20"/>
              </w:rPr>
              <w:t>prašiči (</w:t>
            </w:r>
            <w:proofErr w:type="spellStart"/>
            <w:r>
              <w:rPr>
                <w:rFonts w:cs="Arial"/>
                <w:i/>
                <w:iCs/>
                <w:color w:val="000000"/>
                <w:sz w:val="20"/>
                <w:szCs w:val="20"/>
              </w:rPr>
              <w:t>Pigs</w:t>
            </w:r>
            <w:proofErr w:type="spellEnd"/>
            <w:r w:rsidRPr="002144F8">
              <w:rPr>
                <w:rFonts w:cs="Arial"/>
                <w:color w:val="000000"/>
                <w:sz w:val="20"/>
                <w:szCs w:val="20"/>
              </w:rPr>
              <w:t>)</w:t>
            </w:r>
          </w:p>
        </w:tc>
        <w:tc>
          <w:tcPr>
            <w:tcW w:w="1276" w:type="dxa"/>
          </w:tcPr>
          <w:p w14:paraId="004E102A" w14:textId="77D4FDE1" w:rsidR="00360A6E" w:rsidRPr="007E197F" w:rsidRDefault="00360A6E" w:rsidP="00356AD6">
            <w:pPr>
              <w:jc w:val="right"/>
              <w:rPr>
                <w:rFonts w:cs="Arial"/>
                <w:sz w:val="20"/>
                <w:szCs w:val="20"/>
              </w:rPr>
            </w:pPr>
          </w:p>
        </w:tc>
        <w:tc>
          <w:tcPr>
            <w:tcW w:w="1984" w:type="dxa"/>
          </w:tcPr>
          <w:p w14:paraId="4DCEC5D1" w14:textId="77777777" w:rsidR="00360A6E" w:rsidRPr="002144F8" w:rsidRDefault="00360A6E" w:rsidP="00356AD6">
            <w:pPr>
              <w:jc w:val="right"/>
              <w:rPr>
                <w:rFonts w:cs="Arial"/>
                <w:sz w:val="20"/>
                <w:szCs w:val="20"/>
              </w:rPr>
            </w:pPr>
          </w:p>
        </w:tc>
        <w:tc>
          <w:tcPr>
            <w:tcW w:w="2410" w:type="dxa"/>
          </w:tcPr>
          <w:p w14:paraId="1087C35D" w14:textId="77777777" w:rsidR="00360A6E" w:rsidRPr="002144F8" w:rsidRDefault="00360A6E" w:rsidP="00356AD6">
            <w:pPr>
              <w:jc w:val="right"/>
              <w:rPr>
                <w:rFonts w:cs="Arial"/>
                <w:sz w:val="20"/>
                <w:szCs w:val="20"/>
              </w:rPr>
            </w:pPr>
          </w:p>
        </w:tc>
        <w:tc>
          <w:tcPr>
            <w:tcW w:w="2693" w:type="dxa"/>
          </w:tcPr>
          <w:p w14:paraId="1B5CC451" w14:textId="5C578A2D" w:rsidR="00360A6E" w:rsidRPr="002144F8" w:rsidRDefault="00360A6E" w:rsidP="00356AD6">
            <w:pPr>
              <w:jc w:val="right"/>
              <w:rPr>
                <w:rFonts w:cs="Arial"/>
                <w:sz w:val="20"/>
                <w:szCs w:val="20"/>
              </w:rPr>
            </w:pPr>
            <w:r>
              <w:rPr>
                <w:rFonts w:cs="Arial"/>
                <w:sz w:val="20"/>
                <w:szCs w:val="20"/>
              </w:rPr>
              <w:t>9</w:t>
            </w:r>
          </w:p>
        </w:tc>
        <w:tc>
          <w:tcPr>
            <w:tcW w:w="1560" w:type="dxa"/>
          </w:tcPr>
          <w:p w14:paraId="50E40847" w14:textId="5A8BFE14" w:rsidR="00360A6E" w:rsidRPr="002144F8" w:rsidRDefault="007F3B8D" w:rsidP="00356AD6">
            <w:pPr>
              <w:jc w:val="right"/>
              <w:rPr>
                <w:rFonts w:cs="Arial"/>
                <w:b/>
                <w:sz w:val="20"/>
                <w:szCs w:val="20"/>
              </w:rPr>
            </w:pPr>
            <w:r>
              <w:rPr>
                <w:rFonts w:cs="Arial"/>
                <w:b/>
                <w:sz w:val="20"/>
                <w:szCs w:val="20"/>
              </w:rPr>
              <w:t>9</w:t>
            </w:r>
          </w:p>
        </w:tc>
      </w:tr>
      <w:tr w:rsidR="00360A6E" w:rsidRPr="00030C46" w14:paraId="445D2B08" w14:textId="77777777" w:rsidTr="00356AD6">
        <w:trPr>
          <w:cantSplit/>
          <w:trHeight w:val="448"/>
        </w:trPr>
        <w:tc>
          <w:tcPr>
            <w:tcW w:w="3539" w:type="dxa"/>
          </w:tcPr>
          <w:p w14:paraId="46A62D12" w14:textId="77777777" w:rsidR="00360A6E" w:rsidRPr="002144F8" w:rsidRDefault="00360A6E" w:rsidP="00356AD6">
            <w:pPr>
              <w:rPr>
                <w:rFonts w:cs="Arial"/>
                <w:color w:val="000000"/>
                <w:sz w:val="20"/>
                <w:szCs w:val="20"/>
              </w:rPr>
            </w:pPr>
            <w:r w:rsidRPr="002144F8">
              <w:rPr>
                <w:rFonts w:cs="Arial"/>
                <w:color w:val="000000"/>
                <w:sz w:val="20"/>
                <w:szCs w:val="20"/>
              </w:rPr>
              <w:t>ovce (</w:t>
            </w:r>
            <w:proofErr w:type="spellStart"/>
            <w:r w:rsidRPr="002144F8">
              <w:rPr>
                <w:rFonts w:cs="Arial"/>
                <w:i/>
                <w:iCs/>
                <w:color w:val="000000"/>
                <w:sz w:val="20"/>
                <w:szCs w:val="20"/>
              </w:rPr>
              <w:t>Ovis</w:t>
            </w:r>
            <w:proofErr w:type="spellEnd"/>
            <w:r w:rsidRPr="002144F8">
              <w:rPr>
                <w:rFonts w:cs="Arial"/>
                <w:i/>
                <w:iCs/>
                <w:color w:val="000000"/>
                <w:sz w:val="20"/>
                <w:szCs w:val="20"/>
              </w:rPr>
              <w:t>)</w:t>
            </w:r>
          </w:p>
        </w:tc>
        <w:tc>
          <w:tcPr>
            <w:tcW w:w="1276" w:type="dxa"/>
          </w:tcPr>
          <w:p w14:paraId="701BF303" w14:textId="1F34B0A1" w:rsidR="00360A6E" w:rsidRPr="007E197F" w:rsidRDefault="00360A6E" w:rsidP="00356AD6">
            <w:pPr>
              <w:jc w:val="right"/>
              <w:rPr>
                <w:rFonts w:cs="Arial"/>
                <w:sz w:val="20"/>
                <w:szCs w:val="20"/>
              </w:rPr>
            </w:pPr>
            <w:r w:rsidRPr="007E197F">
              <w:rPr>
                <w:rFonts w:cs="Arial"/>
                <w:sz w:val="20"/>
                <w:szCs w:val="20"/>
              </w:rPr>
              <w:t>2</w:t>
            </w:r>
          </w:p>
        </w:tc>
        <w:tc>
          <w:tcPr>
            <w:tcW w:w="1984" w:type="dxa"/>
          </w:tcPr>
          <w:p w14:paraId="7B46B45F" w14:textId="77777777" w:rsidR="00360A6E" w:rsidRPr="002144F8" w:rsidRDefault="00360A6E" w:rsidP="00356AD6">
            <w:pPr>
              <w:jc w:val="right"/>
              <w:rPr>
                <w:rFonts w:cs="Arial"/>
                <w:sz w:val="20"/>
                <w:szCs w:val="20"/>
              </w:rPr>
            </w:pPr>
          </w:p>
        </w:tc>
        <w:tc>
          <w:tcPr>
            <w:tcW w:w="2410" w:type="dxa"/>
          </w:tcPr>
          <w:p w14:paraId="62828B22" w14:textId="77777777" w:rsidR="00360A6E" w:rsidRPr="002144F8" w:rsidRDefault="00360A6E" w:rsidP="00356AD6">
            <w:pPr>
              <w:jc w:val="right"/>
              <w:rPr>
                <w:rFonts w:cs="Arial"/>
                <w:sz w:val="20"/>
                <w:szCs w:val="20"/>
              </w:rPr>
            </w:pPr>
          </w:p>
        </w:tc>
        <w:tc>
          <w:tcPr>
            <w:tcW w:w="2693" w:type="dxa"/>
          </w:tcPr>
          <w:p w14:paraId="0B6096EC" w14:textId="77777777" w:rsidR="00360A6E" w:rsidRPr="002144F8" w:rsidRDefault="00360A6E" w:rsidP="00356AD6">
            <w:pPr>
              <w:jc w:val="right"/>
              <w:rPr>
                <w:rFonts w:cs="Arial"/>
                <w:sz w:val="20"/>
                <w:szCs w:val="20"/>
              </w:rPr>
            </w:pPr>
          </w:p>
        </w:tc>
        <w:tc>
          <w:tcPr>
            <w:tcW w:w="1560" w:type="dxa"/>
          </w:tcPr>
          <w:p w14:paraId="138A86AC" w14:textId="479F1DFB" w:rsidR="00360A6E" w:rsidRPr="002144F8" w:rsidRDefault="007F3B8D" w:rsidP="00356AD6">
            <w:pPr>
              <w:jc w:val="right"/>
              <w:rPr>
                <w:rFonts w:cs="Arial"/>
                <w:b/>
                <w:sz w:val="20"/>
                <w:szCs w:val="20"/>
              </w:rPr>
            </w:pPr>
            <w:r>
              <w:rPr>
                <w:rFonts w:cs="Arial"/>
                <w:b/>
                <w:sz w:val="20"/>
                <w:szCs w:val="20"/>
              </w:rPr>
              <w:t>2</w:t>
            </w:r>
          </w:p>
        </w:tc>
      </w:tr>
      <w:tr w:rsidR="00360A6E" w:rsidRPr="00030C46" w14:paraId="1BBF43D9" w14:textId="77777777" w:rsidTr="00356AD6">
        <w:trPr>
          <w:cantSplit/>
          <w:trHeight w:val="448"/>
        </w:trPr>
        <w:tc>
          <w:tcPr>
            <w:tcW w:w="3539" w:type="dxa"/>
          </w:tcPr>
          <w:p w14:paraId="4548B4BD" w14:textId="77777777" w:rsidR="00360A6E" w:rsidRPr="002144F8" w:rsidRDefault="00360A6E" w:rsidP="00356AD6">
            <w:pPr>
              <w:rPr>
                <w:rFonts w:cs="Arial"/>
                <w:color w:val="000000"/>
                <w:sz w:val="20"/>
                <w:szCs w:val="20"/>
              </w:rPr>
            </w:pPr>
            <w:r w:rsidRPr="002144F8">
              <w:rPr>
                <w:rFonts w:cs="Arial"/>
                <w:color w:val="000000"/>
                <w:sz w:val="20"/>
                <w:szCs w:val="20"/>
              </w:rPr>
              <w:t>domača kokoš (</w:t>
            </w:r>
            <w:r w:rsidRPr="002144F8">
              <w:rPr>
                <w:rFonts w:cs="Arial"/>
                <w:i/>
                <w:color w:val="000000"/>
                <w:sz w:val="20"/>
                <w:szCs w:val="20"/>
              </w:rPr>
              <w:t xml:space="preserve">Gallus </w:t>
            </w:r>
            <w:proofErr w:type="spellStart"/>
            <w:r w:rsidRPr="002144F8">
              <w:rPr>
                <w:rFonts w:cs="Arial"/>
                <w:i/>
                <w:color w:val="000000"/>
                <w:sz w:val="20"/>
                <w:szCs w:val="20"/>
              </w:rPr>
              <w:t>gallus</w:t>
            </w:r>
            <w:proofErr w:type="spellEnd"/>
            <w:r w:rsidRPr="002144F8">
              <w:rPr>
                <w:rFonts w:cs="Arial"/>
                <w:i/>
                <w:color w:val="000000"/>
                <w:sz w:val="20"/>
                <w:szCs w:val="20"/>
              </w:rPr>
              <w:t xml:space="preserve"> </w:t>
            </w:r>
            <w:proofErr w:type="spellStart"/>
            <w:r w:rsidRPr="002144F8">
              <w:rPr>
                <w:rFonts w:cs="Arial"/>
                <w:i/>
                <w:color w:val="000000"/>
                <w:sz w:val="20"/>
                <w:szCs w:val="20"/>
              </w:rPr>
              <w:t>domesticus</w:t>
            </w:r>
            <w:proofErr w:type="spellEnd"/>
            <w:r w:rsidRPr="002144F8">
              <w:rPr>
                <w:rFonts w:cs="Arial"/>
                <w:color w:val="000000"/>
                <w:sz w:val="20"/>
                <w:szCs w:val="20"/>
              </w:rPr>
              <w:t>)</w:t>
            </w:r>
          </w:p>
        </w:tc>
        <w:tc>
          <w:tcPr>
            <w:tcW w:w="1276" w:type="dxa"/>
          </w:tcPr>
          <w:p w14:paraId="114A808B" w14:textId="77777777" w:rsidR="00360A6E" w:rsidRPr="007E197F" w:rsidRDefault="00360A6E" w:rsidP="00356AD6">
            <w:pPr>
              <w:jc w:val="right"/>
              <w:rPr>
                <w:rFonts w:cs="Arial"/>
                <w:sz w:val="20"/>
                <w:szCs w:val="20"/>
              </w:rPr>
            </w:pPr>
          </w:p>
        </w:tc>
        <w:tc>
          <w:tcPr>
            <w:tcW w:w="1984" w:type="dxa"/>
          </w:tcPr>
          <w:p w14:paraId="72320BB7" w14:textId="3B8BEF17" w:rsidR="00360A6E" w:rsidRPr="002144F8" w:rsidRDefault="00360A6E" w:rsidP="00356AD6">
            <w:pPr>
              <w:jc w:val="right"/>
              <w:rPr>
                <w:rFonts w:cs="Arial"/>
                <w:sz w:val="20"/>
                <w:szCs w:val="20"/>
              </w:rPr>
            </w:pPr>
            <w:r>
              <w:rPr>
                <w:rFonts w:cs="Arial"/>
                <w:sz w:val="20"/>
                <w:szCs w:val="20"/>
              </w:rPr>
              <w:t>383</w:t>
            </w:r>
          </w:p>
        </w:tc>
        <w:tc>
          <w:tcPr>
            <w:tcW w:w="2410" w:type="dxa"/>
          </w:tcPr>
          <w:p w14:paraId="04F866AB" w14:textId="77777777" w:rsidR="00360A6E" w:rsidRPr="002144F8" w:rsidRDefault="00360A6E" w:rsidP="00356AD6">
            <w:pPr>
              <w:jc w:val="right"/>
              <w:rPr>
                <w:rFonts w:cs="Arial"/>
                <w:sz w:val="20"/>
                <w:szCs w:val="20"/>
              </w:rPr>
            </w:pPr>
          </w:p>
        </w:tc>
        <w:tc>
          <w:tcPr>
            <w:tcW w:w="2693" w:type="dxa"/>
          </w:tcPr>
          <w:p w14:paraId="0A84959B" w14:textId="77777777" w:rsidR="00360A6E" w:rsidRPr="00063B02" w:rsidRDefault="00360A6E" w:rsidP="00356AD6">
            <w:pPr>
              <w:jc w:val="right"/>
              <w:rPr>
                <w:rFonts w:cs="Arial"/>
                <w:sz w:val="20"/>
                <w:szCs w:val="20"/>
              </w:rPr>
            </w:pPr>
          </w:p>
        </w:tc>
        <w:tc>
          <w:tcPr>
            <w:tcW w:w="1560" w:type="dxa"/>
          </w:tcPr>
          <w:p w14:paraId="1B6C106F" w14:textId="425E3C16" w:rsidR="00360A6E" w:rsidRPr="002144F8" w:rsidRDefault="007F3B8D" w:rsidP="00356AD6">
            <w:pPr>
              <w:jc w:val="right"/>
              <w:rPr>
                <w:rFonts w:cs="Arial"/>
                <w:b/>
                <w:sz w:val="20"/>
                <w:szCs w:val="20"/>
              </w:rPr>
            </w:pPr>
            <w:r>
              <w:rPr>
                <w:rFonts w:cs="Arial"/>
                <w:b/>
                <w:sz w:val="20"/>
                <w:szCs w:val="20"/>
              </w:rPr>
              <w:t>383</w:t>
            </w:r>
          </w:p>
        </w:tc>
      </w:tr>
      <w:tr w:rsidR="00360A6E" w:rsidRPr="00030C46" w14:paraId="49EF775B" w14:textId="77777777" w:rsidTr="00356AD6">
        <w:trPr>
          <w:cantSplit/>
          <w:trHeight w:val="448"/>
        </w:trPr>
        <w:tc>
          <w:tcPr>
            <w:tcW w:w="3539" w:type="dxa"/>
          </w:tcPr>
          <w:p w14:paraId="139AA74A" w14:textId="6CB01509" w:rsidR="00360A6E" w:rsidRPr="002144F8" w:rsidRDefault="00360A6E" w:rsidP="00356AD6">
            <w:pPr>
              <w:rPr>
                <w:rFonts w:cs="Arial"/>
                <w:color w:val="000000"/>
                <w:sz w:val="20"/>
                <w:szCs w:val="20"/>
              </w:rPr>
            </w:pPr>
            <w:r>
              <w:rPr>
                <w:rFonts w:cs="Arial"/>
                <w:color w:val="000000"/>
                <w:sz w:val="20"/>
                <w:szCs w:val="20"/>
              </w:rPr>
              <w:t>losos, postrv, zlatovčica, lipan</w:t>
            </w:r>
          </w:p>
        </w:tc>
        <w:tc>
          <w:tcPr>
            <w:tcW w:w="1276" w:type="dxa"/>
          </w:tcPr>
          <w:p w14:paraId="2F1071FD" w14:textId="13DCBB72" w:rsidR="00360A6E" w:rsidRPr="007E197F" w:rsidRDefault="00360A6E" w:rsidP="00356AD6">
            <w:pPr>
              <w:jc w:val="right"/>
              <w:rPr>
                <w:rFonts w:cs="Arial"/>
                <w:sz w:val="20"/>
                <w:szCs w:val="20"/>
              </w:rPr>
            </w:pPr>
            <w:r w:rsidRPr="007E197F">
              <w:rPr>
                <w:rFonts w:cs="Arial"/>
                <w:sz w:val="20"/>
                <w:szCs w:val="20"/>
              </w:rPr>
              <w:t>875</w:t>
            </w:r>
          </w:p>
        </w:tc>
        <w:tc>
          <w:tcPr>
            <w:tcW w:w="1984" w:type="dxa"/>
          </w:tcPr>
          <w:p w14:paraId="24F1C1EA" w14:textId="77777777" w:rsidR="00360A6E" w:rsidRDefault="00360A6E" w:rsidP="00356AD6">
            <w:pPr>
              <w:jc w:val="right"/>
              <w:rPr>
                <w:rFonts w:cs="Arial"/>
                <w:sz w:val="20"/>
                <w:szCs w:val="20"/>
              </w:rPr>
            </w:pPr>
          </w:p>
        </w:tc>
        <w:tc>
          <w:tcPr>
            <w:tcW w:w="2410" w:type="dxa"/>
          </w:tcPr>
          <w:p w14:paraId="69A90107" w14:textId="77777777" w:rsidR="00360A6E" w:rsidRDefault="00360A6E" w:rsidP="00356AD6">
            <w:pPr>
              <w:jc w:val="right"/>
              <w:rPr>
                <w:rFonts w:cs="Arial"/>
                <w:sz w:val="20"/>
                <w:szCs w:val="20"/>
              </w:rPr>
            </w:pPr>
          </w:p>
        </w:tc>
        <w:tc>
          <w:tcPr>
            <w:tcW w:w="2693" w:type="dxa"/>
          </w:tcPr>
          <w:p w14:paraId="7B364733" w14:textId="228036F8" w:rsidR="00360A6E" w:rsidRPr="00063B02" w:rsidRDefault="00360A6E" w:rsidP="00356AD6">
            <w:pPr>
              <w:jc w:val="right"/>
              <w:rPr>
                <w:rFonts w:cs="Arial"/>
                <w:sz w:val="20"/>
                <w:szCs w:val="20"/>
              </w:rPr>
            </w:pPr>
            <w:r>
              <w:rPr>
                <w:rFonts w:cs="Arial"/>
                <w:sz w:val="20"/>
                <w:szCs w:val="20"/>
              </w:rPr>
              <w:t>55</w:t>
            </w:r>
          </w:p>
        </w:tc>
        <w:tc>
          <w:tcPr>
            <w:tcW w:w="1560" w:type="dxa"/>
          </w:tcPr>
          <w:p w14:paraId="6C566862" w14:textId="3D67A731" w:rsidR="00360A6E" w:rsidRDefault="003C3AD3" w:rsidP="00356AD6">
            <w:pPr>
              <w:jc w:val="right"/>
              <w:rPr>
                <w:rFonts w:cs="Arial"/>
                <w:b/>
                <w:sz w:val="20"/>
                <w:szCs w:val="20"/>
              </w:rPr>
            </w:pPr>
            <w:r>
              <w:rPr>
                <w:rFonts w:cs="Arial"/>
                <w:b/>
                <w:sz w:val="20"/>
                <w:szCs w:val="20"/>
              </w:rPr>
              <w:t>930</w:t>
            </w:r>
          </w:p>
        </w:tc>
      </w:tr>
      <w:tr w:rsidR="00360A6E" w:rsidRPr="00030C46" w14:paraId="52F63ECB" w14:textId="77777777" w:rsidTr="00356AD6">
        <w:trPr>
          <w:cantSplit/>
          <w:trHeight w:val="448"/>
        </w:trPr>
        <w:tc>
          <w:tcPr>
            <w:tcW w:w="3539" w:type="dxa"/>
          </w:tcPr>
          <w:p w14:paraId="02C2AC5D" w14:textId="77777777" w:rsidR="00360A6E" w:rsidRPr="002144F8" w:rsidRDefault="00360A6E" w:rsidP="00356AD6">
            <w:pPr>
              <w:rPr>
                <w:rFonts w:cs="Arial"/>
                <w:b/>
                <w:sz w:val="20"/>
                <w:szCs w:val="20"/>
              </w:rPr>
            </w:pPr>
            <w:r w:rsidRPr="002144F8">
              <w:rPr>
                <w:rFonts w:cs="Arial"/>
                <w:b/>
                <w:sz w:val="20"/>
                <w:szCs w:val="20"/>
              </w:rPr>
              <w:t>Skupaj</w:t>
            </w:r>
          </w:p>
        </w:tc>
        <w:tc>
          <w:tcPr>
            <w:tcW w:w="1276" w:type="dxa"/>
          </w:tcPr>
          <w:p w14:paraId="015B1826" w14:textId="5D4F9AA8" w:rsidR="00360A6E" w:rsidRPr="007E197F" w:rsidRDefault="00360A6E" w:rsidP="00356AD6">
            <w:pPr>
              <w:jc w:val="right"/>
              <w:rPr>
                <w:rFonts w:cs="Arial"/>
                <w:b/>
                <w:sz w:val="20"/>
                <w:szCs w:val="20"/>
              </w:rPr>
            </w:pPr>
            <w:r w:rsidRPr="007E197F">
              <w:rPr>
                <w:rFonts w:cs="Arial"/>
                <w:b/>
                <w:sz w:val="20"/>
                <w:szCs w:val="20"/>
              </w:rPr>
              <w:t>1.6</w:t>
            </w:r>
            <w:r w:rsidR="007E197F" w:rsidRPr="007E197F">
              <w:rPr>
                <w:rFonts w:cs="Arial"/>
                <w:b/>
                <w:sz w:val="20"/>
                <w:szCs w:val="20"/>
              </w:rPr>
              <w:t>05</w:t>
            </w:r>
          </w:p>
        </w:tc>
        <w:tc>
          <w:tcPr>
            <w:tcW w:w="1984" w:type="dxa"/>
          </w:tcPr>
          <w:p w14:paraId="1EBA0B4D" w14:textId="5958534B" w:rsidR="00360A6E" w:rsidRPr="002144F8" w:rsidRDefault="00360A6E" w:rsidP="00356AD6">
            <w:pPr>
              <w:jc w:val="right"/>
              <w:rPr>
                <w:rFonts w:cs="Arial"/>
                <w:b/>
                <w:sz w:val="20"/>
                <w:szCs w:val="20"/>
              </w:rPr>
            </w:pPr>
            <w:r>
              <w:rPr>
                <w:rFonts w:cs="Arial"/>
                <w:b/>
                <w:sz w:val="20"/>
                <w:szCs w:val="20"/>
              </w:rPr>
              <w:t>2.557</w:t>
            </w:r>
          </w:p>
        </w:tc>
        <w:tc>
          <w:tcPr>
            <w:tcW w:w="2410" w:type="dxa"/>
          </w:tcPr>
          <w:p w14:paraId="62505ADD" w14:textId="7076A121" w:rsidR="00360A6E" w:rsidRPr="002144F8" w:rsidRDefault="00360A6E" w:rsidP="00356AD6">
            <w:pPr>
              <w:jc w:val="right"/>
              <w:rPr>
                <w:rFonts w:cs="Arial"/>
                <w:b/>
                <w:sz w:val="20"/>
                <w:szCs w:val="20"/>
              </w:rPr>
            </w:pPr>
            <w:r>
              <w:rPr>
                <w:rFonts w:cs="Arial"/>
                <w:b/>
                <w:sz w:val="20"/>
                <w:szCs w:val="20"/>
              </w:rPr>
              <w:t>2.191</w:t>
            </w:r>
          </w:p>
        </w:tc>
        <w:tc>
          <w:tcPr>
            <w:tcW w:w="2693" w:type="dxa"/>
          </w:tcPr>
          <w:p w14:paraId="774FAD11" w14:textId="0E336967" w:rsidR="00360A6E" w:rsidRPr="002144F8" w:rsidRDefault="00360A6E" w:rsidP="00356AD6">
            <w:pPr>
              <w:jc w:val="right"/>
              <w:rPr>
                <w:rFonts w:cs="Arial"/>
                <w:b/>
                <w:sz w:val="20"/>
                <w:szCs w:val="20"/>
              </w:rPr>
            </w:pPr>
            <w:r>
              <w:rPr>
                <w:rFonts w:cs="Arial"/>
                <w:b/>
                <w:sz w:val="20"/>
                <w:szCs w:val="20"/>
              </w:rPr>
              <w:t>84</w:t>
            </w:r>
          </w:p>
        </w:tc>
        <w:tc>
          <w:tcPr>
            <w:tcW w:w="1560" w:type="dxa"/>
          </w:tcPr>
          <w:p w14:paraId="46AF6D05" w14:textId="561AFEB9" w:rsidR="00360A6E" w:rsidRPr="002144F8" w:rsidRDefault="003C3AD3" w:rsidP="00356AD6">
            <w:pPr>
              <w:jc w:val="right"/>
              <w:rPr>
                <w:rFonts w:cs="Arial"/>
                <w:b/>
                <w:sz w:val="20"/>
                <w:szCs w:val="20"/>
              </w:rPr>
            </w:pPr>
            <w:r>
              <w:rPr>
                <w:rFonts w:cs="Arial"/>
                <w:b/>
                <w:sz w:val="20"/>
                <w:szCs w:val="20"/>
              </w:rPr>
              <w:t>6.</w:t>
            </w:r>
            <w:r w:rsidR="00822AB6">
              <w:rPr>
                <w:rFonts w:cs="Arial"/>
                <w:b/>
                <w:sz w:val="20"/>
                <w:szCs w:val="20"/>
              </w:rPr>
              <w:t>523</w:t>
            </w:r>
          </w:p>
        </w:tc>
      </w:tr>
    </w:tbl>
    <w:p w14:paraId="4BD3D3C0" w14:textId="77777777" w:rsidR="005A4042" w:rsidRPr="000608B1" w:rsidRDefault="005A4042" w:rsidP="00030C46">
      <w:pPr>
        <w:pStyle w:val="Navadensplet"/>
        <w:spacing w:before="0" w:beforeAutospacing="0" w:after="0" w:afterAutospacing="0"/>
        <w:ind w:left="-1191" w:firstLine="1191"/>
        <w:rPr>
          <w:rFonts w:asciiTheme="minorHAnsi" w:hAnsiTheme="minorHAnsi" w:cs="Arial"/>
          <w:sz w:val="22"/>
          <w:szCs w:val="22"/>
        </w:rPr>
      </w:pPr>
    </w:p>
    <w:p w14:paraId="186F5D12" w14:textId="77777777" w:rsidR="00C04D95" w:rsidRDefault="00C04D95" w:rsidP="00F65811">
      <w:pPr>
        <w:rPr>
          <w:rFonts w:ascii="Arial" w:hAnsi="Arial" w:cs="Arial"/>
        </w:rPr>
      </w:pPr>
    </w:p>
    <w:p w14:paraId="035239BC" w14:textId="77777777" w:rsidR="00C746F9" w:rsidRDefault="00C746F9" w:rsidP="00F65811">
      <w:pPr>
        <w:rPr>
          <w:rFonts w:cs="Arial"/>
          <w:i/>
        </w:rPr>
      </w:pPr>
    </w:p>
    <w:p w14:paraId="05C7BCF3" w14:textId="77777777" w:rsidR="00BD0A01" w:rsidRDefault="00BD0A01" w:rsidP="00F33DD6">
      <w:pPr>
        <w:spacing w:after="0" w:line="240" w:lineRule="auto"/>
        <w:jc w:val="both"/>
        <w:rPr>
          <w:rFonts w:cs="Arial"/>
        </w:rPr>
      </w:pPr>
    </w:p>
    <w:p w14:paraId="3169ECF6" w14:textId="77777777" w:rsidR="007979F8" w:rsidRDefault="007979F8" w:rsidP="009F50E3">
      <w:pPr>
        <w:jc w:val="both"/>
        <w:rPr>
          <w:rFonts w:ascii="Calibri" w:hAnsi="Calibri" w:cs="Arial"/>
          <w:iCs/>
        </w:rPr>
      </w:pPr>
    </w:p>
    <w:p w14:paraId="6DD4AB08" w14:textId="1BB3EDA2" w:rsidR="007979F8" w:rsidRPr="00356AD6" w:rsidRDefault="009F50E3" w:rsidP="00356AD6">
      <w:pPr>
        <w:jc w:val="both"/>
        <w:rPr>
          <w:rFonts w:ascii="Calibri" w:hAnsi="Calibri" w:cs="Arial"/>
          <w:i/>
        </w:rPr>
      </w:pPr>
      <w:r w:rsidRPr="002F3E6A">
        <w:rPr>
          <w:rFonts w:ascii="Calibri" w:hAnsi="Calibri" w:cs="Arial"/>
          <w:iCs/>
        </w:rPr>
        <w:t>V nadaljevanju so predstavljeni trendi uporabe živali v zadnjih 5-ih letih. Iz grafikona je razvidno, da se v Sloveniji največ živali uporabi za namen translacijskih in uporabnih raziskav. Sledijo regulatorna uporaba in rutinska proizvodnja in temeljne raziskave. Manjši procent živali se uporabi še za namen visokošolskega izobraževanja</w:t>
      </w:r>
      <w:r w:rsidR="00386CCA" w:rsidRPr="002F3E6A">
        <w:rPr>
          <w:rFonts w:ascii="Calibri" w:hAnsi="Calibri" w:cs="Arial"/>
          <w:iCs/>
        </w:rPr>
        <w:t>, ohranjanja poklicne usposobljenosti</w:t>
      </w:r>
      <w:r w:rsidRPr="002F3E6A">
        <w:rPr>
          <w:rFonts w:ascii="Calibri" w:hAnsi="Calibri" w:cs="Arial"/>
          <w:iCs/>
        </w:rPr>
        <w:t xml:space="preserve"> </w:t>
      </w:r>
      <w:r w:rsidR="00386CCA" w:rsidRPr="002F3E6A">
        <w:rPr>
          <w:rFonts w:ascii="Calibri" w:hAnsi="Calibri" w:cs="Arial"/>
          <w:iCs/>
        </w:rPr>
        <w:t>ter</w:t>
      </w:r>
      <w:r w:rsidRPr="002F3E6A">
        <w:rPr>
          <w:rFonts w:ascii="Calibri" w:hAnsi="Calibri" w:cs="Arial"/>
          <w:iCs/>
        </w:rPr>
        <w:t xml:space="preserve"> usposabljanj, ki so nujno potrebna za osebe, ki sodelujejo v projektih, ki vključujejo tudi postopke na živalih</w:t>
      </w:r>
      <w:r w:rsidR="00386CCA" w:rsidRPr="002F3E6A">
        <w:rPr>
          <w:rFonts w:ascii="Calibri" w:hAnsi="Calibri" w:cs="Arial"/>
          <w:iCs/>
        </w:rPr>
        <w:t xml:space="preserve"> (oskrbovalci, izvajalci, ter vodje projektov).</w:t>
      </w:r>
      <w:r w:rsidR="005645E2" w:rsidRPr="002F3E6A">
        <w:rPr>
          <w:rFonts w:ascii="Calibri" w:hAnsi="Calibri" w:cs="Arial"/>
          <w:iCs/>
        </w:rPr>
        <w:t xml:space="preserve"> </w:t>
      </w:r>
      <w:r w:rsidR="00241C3A" w:rsidRPr="002F3E6A">
        <w:rPr>
          <w:rFonts w:ascii="Calibri" w:hAnsi="Calibri" w:cs="Arial"/>
          <w:iCs/>
        </w:rPr>
        <w:t>N</w:t>
      </w:r>
      <w:r w:rsidR="005645E2" w:rsidRPr="002F3E6A">
        <w:rPr>
          <w:rFonts w:ascii="Calibri" w:hAnsi="Calibri" w:cs="Arial"/>
          <w:iCs/>
        </w:rPr>
        <w:t xml:space="preserve">ajveč živali </w:t>
      </w:r>
      <w:r w:rsidR="00241C3A" w:rsidRPr="002F3E6A">
        <w:rPr>
          <w:rFonts w:ascii="Calibri" w:hAnsi="Calibri" w:cs="Arial"/>
          <w:iCs/>
        </w:rPr>
        <w:t xml:space="preserve">je </w:t>
      </w:r>
      <w:r w:rsidR="005645E2" w:rsidRPr="002F3E6A">
        <w:rPr>
          <w:rFonts w:ascii="Calibri" w:hAnsi="Calibri" w:cs="Arial"/>
          <w:iCs/>
        </w:rPr>
        <w:t>uporabljen</w:t>
      </w:r>
      <w:r w:rsidR="00E87B46" w:rsidRPr="002F3E6A">
        <w:rPr>
          <w:rFonts w:ascii="Calibri" w:hAnsi="Calibri" w:cs="Arial"/>
          <w:iCs/>
        </w:rPr>
        <w:t>ih</w:t>
      </w:r>
      <w:r w:rsidR="005645E2" w:rsidRPr="002F3E6A">
        <w:rPr>
          <w:rFonts w:ascii="Calibri" w:hAnsi="Calibri" w:cs="Arial"/>
          <w:iCs/>
        </w:rPr>
        <w:t xml:space="preserve"> </w:t>
      </w:r>
      <w:r w:rsidR="00241C3A" w:rsidRPr="002F3E6A">
        <w:rPr>
          <w:rFonts w:ascii="Calibri" w:hAnsi="Calibri" w:cs="Arial"/>
          <w:iCs/>
        </w:rPr>
        <w:t>v raziskavah rakavih obolenj</w:t>
      </w:r>
      <w:r w:rsidR="005645E2" w:rsidRPr="002F3E6A">
        <w:rPr>
          <w:rFonts w:ascii="Calibri" w:hAnsi="Calibri" w:cs="Arial"/>
          <w:iCs/>
        </w:rPr>
        <w:t>, prebavnega trakta ter imunskega in endokrinega sistema</w:t>
      </w:r>
      <w:r w:rsidR="00E87B46" w:rsidRPr="002F3E6A">
        <w:rPr>
          <w:rFonts w:ascii="Calibri" w:hAnsi="Calibri" w:cs="Arial"/>
          <w:iCs/>
        </w:rPr>
        <w:t>.</w:t>
      </w:r>
      <w:r w:rsidR="00241C3A" w:rsidRPr="002F3E6A">
        <w:rPr>
          <w:rFonts w:ascii="Calibri" w:hAnsi="Calibri" w:cs="Arial"/>
          <w:iCs/>
        </w:rPr>
        <w:t xml:space="preserve"> Velik odstotek živali je uporabljen tudi v farmacevtski industriji in sicer za kontrolo kakovosti, vključno z varnostjo</w:t>
      </w:r>
      <w:r w:rsidR="00DA791E" w:rsidRPr="002F3E6A">
        <w:rPr>
          <w:rFonts w:ascii="Calibri" w:hAnsi="Calibri" w:cs="Arial"/>
          <w:iCs/>
        </w:rPr>
        <w:t xml:space="preserve"> in učinkovitostjo</w:t>
      </w:r>
      <w:r w:rsidR="00241C3A" w:rsidRPr="002F3E6A">
        <w:rPr>
          <w:rFonts w:ascii="Calibri" w:hAnsi="Calibri" w:cs="Arial"/>
          <w:iCs/>
        </w:rPr>
        <w:t xml:space="preserve"> zdravil.</w:t>
      </w:r>
    </w:p>
    <w:p w14:paraId="7FB79A4C" w14:textId="15D593E5" w:rsidR="009F50E3" w:rsidRPr="002F3E6A" w:rsidRDefault="00AB1A7E" w:rsidP="009F50E3">
      <w:pPr>
        <w:tabs>
          <w:tab w:val="left" w:pos="6705"/>
        </w:tabs>
        <w:ind w:left="-142"/>
        <w:rPr>
          <w:rFonts w:cstheme="minorHAnsi"/>
          <w:i/>
          <w:iCs/>
        </w:rPr>
      </w:pPr>
      <w:r>
        <w:rPr>
          <w:rFonts w:cstheme="minorHAnsi"/>
          <w:i/>
          <w:iCs/>
        </w:rPr>
        <w:t xml:space="preserve">  </w:t>
      </w:r>
      <w:r w:rsidR="009F50E3" w:rsidRPr="002F3E6A">
        <w:rPr>
          <w:rFonts w:cstheme="minorHAnsi"/>
          <w:i/>
          <w:iCs/>
        </w:rPr>
        <w:t xml:space="preserve"> Grafikon</w:t>
      </w:r>
      <w:r w:rsidR="002F3E6A">
        <w:rPr>
          <w:rFonts w:cstheme="minorHAnsi"/>
          <w:i/>
          <w:iCs/>
        </w:rPr>
        <w:t xml:space="preserve"> 1</w:t>
      </w:r>
      <w:r w:rsidR="009F50E3" w:rsidRPr="002F3E6A">
        <w:rPr>
          <w:rFonts w:cstheme="minorHAnsi"/>
          <w:i/>
          <w:iCs/>
        </w:rPr>
        <w:t>: Uporaba živali glede na namen (2017 – 2022)</w:t>
      </w:r>
    </w:p>
    <w:p w14:paraId="11DCADFB" w14:textId="3B9FC0E4" w:rsidR="009F50E3" w:rsidRDefault="009F50E3" w:rsidP="00B23CC2">
      <w:pPr>
        <w:tabs>
          <w:tab w:val="left" w:pos="6705"/>
        </w:tabs>
        <w:rPr>
          <w:rFonts w:ascii="Calibri" w:hAnsi="Calibri" w:cs="Arial"/>
          <w:i/>
        </w:rPr>
      </w:pPr>
      <w:r>
        <w:rPr>
          <w:noProof/>
        </w:rPr>
        <w:drawing>
          <wp:inline distT="0" distB="0" distL="0" distR="0" wp14:anchorId="7AB7B24E" wp14:editId="474EC083">
            <wp:extent cx="6198670" cy="3493971"/>
            <wp:effectExtent l="0" t="0" r="12065" b="11430"/>
            <wp:docPr id="1" name="Grafikon 1" descr="Grafikon, ki prikazuje število uporabljenih živali glede na različne namene v letih od 2017 do 2022: &#10;- temeljne raziskave&#10;- translacijske in uporabne raziskave&#10;- regulativna uporaba in rutinska proizvodnja&#10;- zaščita naravnega okolja v korist zdravja ali dobrobiti ljudi ali živali&#10;- ohranjanje vrst&#10;- visokošolsko izobraževanje ali usposabljanje">
              <a:extLst xmlns:a="http://schemas.openxmlformats.org/drawingml/2006/main">
                <a:ext uri="{FF2B5EF4-FFF2-40B4-BE49-F238E27FC236}">
                  <a16:creationId xmlns:a16="http://schemas.microsoft.com/office/drawing/2014/main" id="{567322AD-E7CA-1D8D-77E5-E28C85C5AB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7F11995" w14:textId="4A6DDBF1" w:rsidR="009F50E3" w:rsidRDefault="009F50E3" w:rsidP="00B23CC2">
      <w:pPr>
        <w:tabs>
          <w:tab w:val="left" w:pos="6705"/>
        </w:tabs>
        <w:rPr>
          <w:rFonts w:ascii="Calibri" w:hAnsi="Calibri" w:cs="Arial"/>
          <w:iCs/>
        </w:rPr>
      </w:pPr>
    </w:p>
    <w:p w14:paraId="24687C23" w14:textId="73D64651" w:rsidR="002F3E6A" w:rsidRDefault="00C3301E" w:rsidP="0095128C">
      <w:pPr>
        <w:tabs>
          <w:tab w:val="left" w:pos="6705"/>
        </w:tabs>
        <w:ind w:left="-142"/>
        <w:rPr>
          <w:rFonts w:cstheme="minorHAnsi"/>
          <w:i/>
          <w:iCs/>
        </w:rPr>
      </w:pPr>
      <w:r>
        <w:rPr>
          <w:rFonts w:cstheme="minorHAnsi"/>
          <w:i/>
          <w:iCs/>
        </w:rPr>
        <w:t xml:space="preserve"> </w:t>
      </w:r>
    </w:p>
    <w:p w14:paraId="19B128AE" w14:textId="77777777" w:rsidR="00356AD6" w:rsidRDefault="00356AD6" w:rsidP="00356AD6">
      <w:pPr>
        <w:tabs>
          <w:tab w:val="left" w:pos="6705"/>
        </w:tabs>
        <w:jc w:val="both"/>
        <w:rPr>
          <w:rFonts w:cstheme="minorHAnsi"/>
        </w:rPr>
      </w:pPr>
    </w:p>
    <w:p w14:paraId="60795E4D" w14:textId="30286B82" w:rsidR="00356AD6" w:rsidRPr="0065445E" w:rsidRDefault="00356AD6" w:rsidP="00356AD6">
      <w:pPr>
        <w:tabs>
          <w:tab w:val="left" w:pos="6705"/>
        </w:tabs>
        <w:jc w:val="both"/>
        <w:rPr>
          <w:rFonts w:cstheme="minorHAnsi"/>
        </w:rPr>
      </w:pPr>
      <w:r w:rsidRPr="0065445E">
        <w:rPr>
          <w:rFonts w:cstheme="minorHAnsi"/>
        </w:rPr>
        <w:lastRenderedPageBreak/>
        <w:t>V Sloveniji se večina živali uporabi v postopkih, ki so uvrščeni v kategorijo težavnosti »blaga«. Gre za postopke na živalih, po katerih lahko živali občutijo kratkotrajne blage bolečine, trpljenje ali stisko, in postopke brez znatnega poslabšanja optimalnega počutja ali splošnega stanja živali</w:t>
      </w:r>
      <w:r>
        <w:rPr>
          <w:rFonts w:cstheme="minorHAnsi"/>
        </w:rPr>
        <w:t xml:space="preserve"> (npr. dajanje anestezije, ne-invazivno preslikavanje živali, biopsija ušes, dajanje snovi podkožno, v mišico, v trebušno votlino ali v veno, kadar snov blago učinkuje na žival, kratkotrajno zadrževanje v presnovnih kletkah – do 1 dan, ipd.)</w:t>
      </w:r>
      <w:r w:rsidRPr="0065445E">
        <w:rPr>
          <w:rFonts w:cstheme="minorHAnsi"/>
        </w:rPr>
        <w:t xml:space="preserve"> </w:t>
      </w:r>
    </w:p>
    <w:p w14:paraId="2B2396C7" w14:textId="4C2B7559" w:rsidR="00356AD6" w:rsidRDefault="00356AD6" w:rsidP="00356AD6">
      <w:pPr>
        <w:tabs>
          <w:tab w:val="left" w:pos="6705"/>
        </w:tabs>
        <w:jc w:val="both"/>
        <w:rPr>
          <w:rFonts w:cstheme="minorHAnsi"/>
        </w:rPr>
      </w:pPr>
      <w:r w:rsidRPr="0065445E">
        <w:rPr>
          <w:rFonts w:cstheme="minorHAnsi"/>
        </w:rPr>
        <w:t>V postopkih označenih kot »težavni« se letno uporabi manj kot 1% živali, namenjenih za uporabo v znanstvene namene.</w:t>
      </w:r>
      <w:r>
        <w:rPr>
          <w:rFonts w:cstheme="minorHAnsi"/>
        </w:rPr>
        <w:t xml:space="preserve"> Gre za postopke, kjer lahko živali občutijo hude bolečine, trpljenje ali stisko, ali dolgotrajne zmerne bolečine, trpljenje ali stisko in za katere je verjetno, da bo pri živali prišlo do hudega poslabšanja počutja (npr. preskušanje toksičnosti, kirurški ali drugi posegi na živalih v splošni anesteziji, ki pričakovano povzročijo hude ali trajne zmerne bolečine, modeli povzročanja tumorjev ali naravno nastali tumorji, ki pričakovano povzročijo napredovalo bolezen in smrt, ipd.).</w:t>
      </w:r>
    </w:p>
    <w:p w14:paraId="3A41ACE7" w14:textId="0492DE08" w:rsidR="00356AD6" w:rsidRDefault="00356AD6" w:rsidP="00356AD6">
      <w:pPr>
        <w:tabs>
          <w:tab w:val="left" w:pos="6705"/>
        </w:tabs>
        <w:jc w:val="both"/>
        <w:rPr>
          <w:rFonts w:cstheme="minorHAnsi"/>
        </w:rPr>
      </w:pPr>
    </w:p>
    <w:p w14:paraId="115C90A8" w14:textId="5285A945" w:rsidR="00356AD6" w:rsidRPr="0065445E" w:rsidRDefault="00356AD6" w:rsidP="00356AD6">
      <w:pPr>
        <w:tabs>
          <w:tab w:val="left" w:pos="6705"/>
        </w:tabs>
        <w:jc w:val="both"/>
        <w:rPr>
          <w:rFonts w:cstheme="minorHAnsi"/>
        </w:rPr>
      </w:pPr>
      <w:r>
        <w:rPr>
          <w:rFonts w:cstheme="minorHAnsi"/>
          <w:i/>
          <w:iCs/>
        </w:rPr>
        <w:t>Grafikon 2: Težavnost postopkov na živalih (2017 – 2022</w:t>
      </w:r>
      <w:r>
        <w:rPr>
          <w:rFonts w:cstheme="minorHAnsi"/>
          <w:i/>
          <w:iCs/>
        </w:rPr>
        <w:t>).</w:t>
      </w:r>
    </w:p>
    <w:p w14:paraId="4B7C4D11" w14:textId="0F13C00E" w:rsidR="00DA791E" w:rsidRDefault="00264300" w:rsidP="002F3E6A">
      <w:pPr>
        <w:tabs>
          <w:tab w:val="left" w:pos="6705"/>
        </w:tabs>
        <w:rPr>
          <w:rFonts w:cstheme="minorHAnsi"/>
          <w:i/>
          <w:iCs/>
        </w:rPr>
      </w:pPr>
      <w:r>
        <w:rPr>
          <w:noProof/>
        </w:rPr>
        <w:drawing>
          <wp:inline distT="0" distB="0" distL="0" distR="0" wp14:anchorId="4320656D" wp14:editId="4E29F0B6">
            <wp:extent cx="5322770" cy="3089710"/>
            <wp:effectExtent l="0" t="0" r="11430" b="15875"/>
            <wp:docPr id="5" name="Grafikon 5" descr="Grafikon, ki prikazuje težavnost postopkov na živalih v letih od 2017 - 2022 v odstotkih. Težavnosti so opredeljeno kot nepovraten postopek, blaga, zmerna in težavna">
              <a:extLst xmlns:a="http://schemas.openxmlformats.org/drawingml/2006/main">
                <a:ext uri="{FF2B5EF4-FFF2-40B4-BE49-F238E27FC236}">
                  <a16:creationId xmlns:a16="http://schemas.microsoft.com/office/drawing/2014/main" id="{C995D26F-8653-5500-6E36-889464B4C5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6FED15F" w14:textId="1EE8BD9D" w:rsidR="00AC1847" w:rsidRDefault="00AC1847" w:rsidP="00AC1847">
      <w:pPr>
        <w:tabs>
          <w:tab w:val="left" w:pos="6705"/>
        </w:tabs>
        <w:ind w:left="-142"/>
        <w:rPr>
          <w:noProof/>
        </w:rPr>
      </w:pPr>
    </w:p>
    <w:p w14:paraId="51402FA4" w14:textId="12EBC88F" w:rsidR="00AC1847" w:rsidRPr="00AC1847" w:rsidRDefault="00AC1847" w:rsidP="00AC1847">
      <w:pPr>
        <w:tabs>
          <w:tab w:val="left" w:pos="6705"/>
        </w:tabs>
        <w:ind w:left="-142"/>
        <w:rPr>
          <w:rFonts w:cstheme="minorHAnsi"/>
          <w:i/>
          <w:iCs/>
        </w:rPr>
      </w:pPr>
    </w:p>
    <w:p w14:paraId="07767BA6" w14:textId="6A9E8288" w:rsidR="009F50E3" w:rsidRDefault="009F50E3" w:rsidP="00B23CC2">
      <w:pPr>
        <w:tabs>
          <w:tab w:val="left" w:pos="6705"/>
        </w:tabs>
        <w:rPr>
          <w:rFonts w:ascii="Calibri" w:hAnsi="Calibri" w:cs="Arial"/>
          <w:i/>
        </w:rPr>
      </w:pPr>
    </w:p>
    <w:p w14:paraId="5158187E" w14:textId="4E481EBD" w:rsidR="001361C0" w:rsidRDefault="001361C0" w:rsidP="001361C0">
      <w:pPr>
        <w:tabs>
          <w:tab w:val="left" w:pos="6705"/>
        </w:tabs>
        <w:jc w:val="both"/>
        <w:rPr>
          <w:rFonts w:cstheme="minorHAnsi"/>
        </w:rPr>
      </w:pPr>
      <w:r w:rsidRPr="0065445E">
        <w:rPr>
          <w:rFonts w:cstheme="minorHAnsi"/>
        </w:rPr>
        <w:t>V obdobju 2017 – 2022 so se v težavnih postopkih uporabile naslednje vrste živali: miši, podgane, prašiči in ribe (postrvi). Živali so se v največjem številu uporabile za namen temeljnih in uporabnih raziskav na področju proučevanja rakavih obolenj, imunskega sistema in prebavnega trakta z jetri.</w:t>
      </w:r>
    </w:p>
    <w:p w14:paraId="3BB0860C" w14:textId="77777777" w:rsidR="001361C0" w:rsidRPr="0065445E" w:rsidRDefault="001361C0" w:rsidP="001361C0">
      <w:pPr>
        <w:tabs>
          <w:tab w:val="left" w:pos="6705"/>
        </w:tabs>
        <w:jc w:val="both"/>
        <w:rPr>
          <w:rFonts w:cstheme="minorHAnsi"/>
        </w:rPr>
      </w:pPr>
      <w:r>
        <w:rPr>
          <w:rFonts w:cstheme="minorHAnsi"/>
        </w:rPr>
        <w:t>Ostale živali so bile uporabljene v postopkih, označenih kot nepovratni (postopki se v celoti izvajajo v splošni anesteziji, živali pa se zavest ne povrne) in zmerni (živali lahko občutijo kratkotrajne zmerne bolečine, trpljenje ali stisko, ali dolgotrajne blage bolečine, trpljenje ali stisko; npr. pogosto dajanje testnih snovi, ki povzročijo zmerne klinične učinke, odvzem krvi pri zavesti v nekajdnevnem obdobju brez nadomeščanja volumna, kirurški posegi v splošni anesteziji in z analgezijo, povezani s poslabšanjem splošnega stanja, uporaba presnovnih kletk v daljšem časovnem obdobju – do 5 dni, ipd.)</w:t>
      </w:r>
    </w:p>
    <w:p w14:paraId="64093C38" w14:textId="7D649B07" w:rsidR="001361C0" w:rsidRDefault="00356AD6" w:rsidP="00B23CC2">
      <w:pPr>
        <w:tabs>
          <w:tab w:val="left" w:pos="6705"/>
        </w:tabs>
        <w:rPr>
          <w:rFonts w:ascii="Calibri" w:hAnsi="Calibri" w:cs="Arial"/>
          <w:i/>
        </w:rPr>
      </w:pPr>
      <w:r>
        <w:rPr>
          <w:rFonts w:ascii="Calibri" w:hAnsi="Calibri" w:cs="Arial"/>
          <w:i/>
        </w:rPr>
        <w:t>Grafikon 3: težavnost postopkov glede na namen uporabe v letu 2022</w:t>
      </w:r>
    </w:p>
    <w:p w14:paraId="5C758331" w14:textId="28526E77" w:rsidR="009F50E3" w:rsidRDefault="00264300" w:rsidP="00B23CC2">
      <w:pPr>
        <w:tabs>
          <w:tab w:val="left" w:pos="6705"/>
        </w:tabs>
        <w:rPr>
          <w:rFonts w:ascii="Calibri" w:hAnsi="Calibri" w:cs="Arial"/>
          <w:i/>
        </w:rPr>
      </w:pPr>
      <w:r>
        <w:rPr>
          <w:noProof/>
        </w:rPr>
        <w:drawing>
          <wp:inline distT="0" distB="0" distL="0" distR="0" wp14:anchorId="6D4D1E39" wp14:editId="422BBA06">
            <wp:extent cx="8219975" cy="3561347"/>
            <wp:effectExtent l="0" t="0" r="10160" b="1270"/>
            <wp:docPr id="4" name="Grafikon 4" descr="Grafikon, ki prikazuje težavnost postopkov glede na namen uporabe v letu 2022. Nameni uporabe so regulatorna uporaba in rutinska proizvodna, temeljne raziskave, translacijske in uporabne raziskave ter visokošolsko izobraževanje ali usposabljanje. ">
              <a:extLst xmlns:a="http://schemas.openxmlformats.org/drawingml/2006/main">
                <a:ext uri="{FF2B5EF4-FFF2-40B4-BE49-F238E27FC236}">
                  <a16:creationId xmlns:a16="http://schemas.microsoft.com/office/drawing/2014/main" id="{C23226B1-E888-0DBC-19A4-DC36B7A6AF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534B70" w14:textId="24BD1177" w:rsidR="00264300" w:rsidRDefault="00264300" w:rsidP="00B23CC2">
      <w:pPr>
        <w:tabs>
          <w:tab w:val="left" w:pos="6705"/>
        </w:tabs>
        <w:rPr>
          <w:rFonts w:ascii="Calibri" w:hAnsi="Calibri" w:cs="Arial"/>
          <w:i/>
        </w:rPr>
      </w:pPr>
    </w:p>
    <w:p w14:paraId="55D0D171" w14:textId="52EDC230" w:rsidR="00E54E4A" w:rsidRPr="007979F8" w:rsidRDefault="00FE4C6F" w:rsidP="00356AD6">
      <w:pPr>
        <w:tabs>
          <w:tab w:val="left" w:pos="6705"/>
        </w:tabs>
        <w:rPr>
          <w:rFonts w:ascii="Calibri" w:hAnsi="Calibri" w:cs="Arial"/>
          <w:iCs/>
        </w:rPr>
      </w:pPr>
      <w:r>
        <w:rPr>
          <w:rFonts w:ascii="Calibri" w:hAnsi="Calibri" w:cs="Arial"/>
          <w:iCs/>
        </w:rPr>
        <w:t xml:space="preserve"> </w:t>
      </w:r>
    </w:p>
    <w:p w14:paraId="5B05DC98" w14:textId="77777777" w:rsidR="00E54E4A" w:rsidRDefault="00E54E4A" w:rsidP="009C4184">
      <w:pPr>
        <w:tabs>
          <w:tab w:val="center" w:pos="7002"/>
        </w:tabs>
        <w:spacing w:after="0" w:line="240" w:lineRule="auto"/>
        <w:rPr>
          <w:rFonts w:ascii="Calibri" w:hAnsi="Calibri" w:cs="Arial"/>
          <w:i/>
        </w:rPr>
      </w:pPr>
    </w:p>
    <w:p w14:paraId="4ED27E82" w14:textId="77777777" w:rsidR="001B53D3" w:rsidRDefault="00264300" w:rsidP="001D1273">
      <w:pPr>
        <w:tabs>
          <w:tab w:val="center" w:pos="7002"/>
        </w:tabs>
        <w:spacing w:after="0" w:line="240" w:lineRule="auto"/>
        <w:jc w:val="both"/>
        <w:rPr>
          <w:rFonts w:ascii="Calibri" w:hAnsi="Calibri" w:cs="Arial"/>
          <w:iCs/>
        </w:rPr>
      </w:pPr>
      <w:r>
        <w:rPr>
          <w:rFonts w:ascii="Calibri" w:hAnsi="Calibri" w:cs="Arial"/>
          <w:iCs/>
        </w:rPr>
        <w:t xml:space="preserve">V letu 2022 je bilo </w:t>
      </w:r>
      <w:r w:rsidR="0095128C">
        <w:rPr>
          <w:rFonts w:ascii="Calibri" w:hAnsi="Calibri" w:cs="Arial"/>
          <w:iCs/>
        </w:rPr>
        <w:t>cca. 5.400 živali</w:t>
      </w:r>
      <w:r>
        <w:rPr>
          <w:rFonts w:ascii="Calibri" w:hAnsi="Calibri" w:cs="Arial"/>
          <w:iCs/>
        </w:rPr>
        <w:t xml:space="preserve"> uporabljenih v postopkih</w:t>
      </w:r>
      <w:r w:rsidR="00CB2CFE">
        <w:rPr>
          <w:rFonts w:ascii="Calibri" w:hAnsi="Calibri" w:cs="Arial"/>
          <w:iCs/>
        </w:rPr>
        <w:t xml:space="preserve">, označenih kot </w:t>
      </w:r>
      <w:r w:rsidR="0095128C">
        <w:rPr>
          <w:rFonts w:ascii="Calibri" w:hAnsi="Calibri" w:cs="Arial"/>
          <w:iCs/>
        </w:rPr>
        <w:t>»</w:t>
      </w:r>
      <w:r w:rsidR="00CB2CFE">
        <w:rPr>
          <w:rFonts w:ascii="Calibri" w:hAnsi="Calibri" w:cs="Arial"/>
          <w:iCs/>
        </w:rPr>
        <w:t>blag</w:t>
      </w:r>
      <w:r w:rsidR="0095128C">
        <w:rPr>
          <w:rFonts w:ascii="Calibri" w:hAnsi="Calibri" w:cs="Arial"/>
          <w:iCs/>
        </w:rPr>
        <w:t>«</w:t>
      </w:r>
      <w:r w:rsidR="007E22C9">
        <w:rPr>
          <w:rFonts w:ascii="Calibri" w:hAnsi="Calibri" w:cs="Arial"/>
          <w:iCs/>
        </w:rPr>
        <w:t xml:space="preserve">, </w:t>
      </w:r>
      <w:r w:rsidR="0095128C">
        <w:rPr>
          <w:rFonts w:ascii="Calibri" w:hAnsi="Calibri" w:cs="Arial"/>
          <w:iCs/>
        </w:rPr>
        <w:t xml:space="preserve">največ </w:t>
      </w:r>
      <w:r>
        <w:rPr>
          <w:rFonts w:ascii="Calibri" w:hAnsi="Calibri" w:cs="Arial"/>
          <w:iCs/>
        </w:rPr>
        <w:t xml:space="preserve">za namen </w:t>
      </w:r>
      <w:r w:rsidR="00EE0971">
        <w:rPr>
          <w:rFonts w:ascii="Calibri" w:hAnsi="Calibri" w:cs="Arial"/>
          <w:iCs/>
        </w:rPr>
        <w:t>kontrole varnosti in učinkovitosti serij</w:t>
      </w:r>
      <w:r w:rsidR="0095128C">
        <w:rPr>
          <w:rFonts w:ascii="Calibri" w:hAnsi="Calibri" w:cs="Arial"/>
          <w:iCs/>
        </w:rPr>
        <w:t>e</w:t>
      </w:r>
      <w:r w:rsidR="00EE0971">
        <w:rPr>
          <w:rFonts w:ascii="Calibri" w:hAnsi="Calibri" w:cs="Arial"/>
          <w:iCs/>
        </w:rPr>
        <w:t xml:space="preserve"> zdravil</w:t>
      </w:r>
      <w:r>
        <w:rPr>
          <w:rFonts w:ascii="Calibri" w:hAnsi="Calibri" w:cs="Arial"/>
          <w:iCs/>
        </w:rPr>
        <w:t xml:space="preserve"> ter </w:t>
      </w:r>
      <w:r w:rsidR="00EE0971">
        <w:rPr>
          <w:rFonts w:ascii="Calibri" w:hAnsi="Calibri" w:cs="Arial"/>
          <w:iCs/>
        </w:rPr>
        <w:t xml:space="preserve">za </w:t>
      </w:r>
      <w:r w:rsidR="0095128C">
        <w:rPr>
          <w:rFonts w:ascii="Calibri" w:hAnsi="Calibri" w:cs="Arial"/>
          <w:iCs/>
        </w:rPr>
        <w:t xml:space="preserve">naslednja področja: </w:t>
      </w:r>
      <w:r w:rsidR="00EE0971">
        <w:rPr>
          <w:rFonts w:ascii="Calibri" w:hAnsi="Calibri" w:cs="Arial"/>
          <w:iCs/>
        </w:rPr>
        <w:t>raziskave raka pri ljudeh, diagnostik</w:t>
      </w:r>
      <w:r w:rsidR="0095128C">
        <w:rPr>
          <w:rFonts w:ascii="Calibri" w:hAnsi="Calibri" w:cs="Arial"/>
          <w:iCs/>
        </w:rPr>
        <w:t>a</w:t>
      </w:r>
      <w:r w:rsidR="00EE0971">
        <w:rPr>
          <w:rFonts w:ascii="Calibri" w:hAnsi="Calibri" w:cs="Arial"/>
          <w:iCs/>
        </w:rPr>
        <w:t xml:space="preserve"> bolezni, motnje endokrinega sistema/metabolizma pri ljudeh</w:t>
      </w:r>
      <w:r w:rsidR="00CB2CFE">
        <w:rPr>
          <w:rFonts w:ascii="Calibri" w:hAnsi="Calibri" w:cs="Arial"/>
          <w:iCs/>
        </w:rPr>
        <w:t>,</w:t>
      </w:r>
      <w:r w:rsidR="0095128C">
        <w:rPr>
          <w:rFonts w:ascii="Calibri" w:hAnsi="Calibri" w:cs="Arial"/>
          <w:iCs/>
        </w:rPr>
        <w:t xml:space="preserve"> </w:t>
      </w:r>
      <w:r w:rsidR="00CB2CFE">
        <w:rPr>
          <w:rFonts w:ascii="Calibri" w:hAnsi="Calibri" w:cs="Arial"/>
          <w:iCs/>
        </w:rPr>
        <w:t xml:space="preserve"> </w:t>
      </w:r>
      <w:r w:rsidR="0095128C">
        <w:rPr>
          <w:rFonts w:ascii="Calibri" w:hAnsi="Calibri" w:cs="Arial"/>
          <w:iCs/>
        </w:rPr>
        <w:t xml:space="preserve">prebavni sistem vključno z jetri, </w:t>
      </w:r>
      <w:r w:rsidR="00CB2CFE">
        <w:rPr>
          <w:rFonts w:ascii="Calibri" w:hAnsi="Calibri" w:cs="Arial"/>
          <w:iCs/>
        </w:rPr>
        <w:t>prehran</w:t>
      </w:r>
      <w:r w:rsidR="0095128C">
        <w:rPr>
          <w:rFonts w:ascii="Calibri" w:hAnsi="Calibri" w:cs="Arial"/>
          <w:iCs/>
        </w:rPr>
        <w:t>a</w:t>
      </w:r>
      <w:r w:rsidR="00CB2CFE">
        <w:rPr>
          <w:rFonts w:ascii="Calibri" w:hAnsi="Calibri" w:cs="Arial"/>
          <w:iCs/>
        </w:rPr>
        <w:t xml:space="preserve"> živali ter bolezni in mot</w:t>
      </w:r>
      <w:r w:rsidR="0095128C">
        <w:rPr>
          <w:rFonts w:ascii="Calibri" w:hAnsi="Calibri" w:cs="Arial"/>
          <w:iCs/>
        </w:rPr>
        <w:t>nje</w:t>
      </w:r>
      <w:r w:rsidR="00CB2CFE">
        <w:rPr>
          <w:rFonts w:ascii="Calibri" w:hAnsi="Calibri" w:cs="Arial"/>
          <w:iCs/>
        </w:rPr>
        <w:t xml:space="preserve"> pri živalih</w:t>
      </w:r>
      <w:r w:rsidR="0095128C">
        <w:rPr>
          <w:rFonts w:ascii="Calibri" w:hAnsi="Calibri" w:cs="Arial"/>
          <w:iCs/>
        </w:rPr>
        <w:t>. Med uporabljenimi vrstami živalmi prevladujejo</w:t>
      </w:r>
      <w:r w:rsidR="00EE0971">
        <w:rPr>
          <w:rFonts w:ascii="Calibri" w:hAnsi="Calibri" w:cs="Arial"/>
          <w:iCs/>
        </w:rPr>
        <w:t xml:space="preserve"> miši, sledijo</w:t>
      </w:r>
      <w:r w:rsidR="001B53D3">
        <w:rPr>
          <w:rFonts w:ascii="Calibri" w:hAnsi="Calibri" w:cs="Arial"/>
          <w:iCs/>
        </w:rPr>
        <w:t xml:space="preserve"> postrvi,</w:t>
      </w:r>
      <w:r w:rsidR="00EE0971">
        <w:rPr>
          <w:rFonts w:ascii="Calibri" w:hAnsi="Calibri" w:cs="Arial"/>
          <w:iCs/>
        </w:rPr>
        <w:t xml:space="preserve"> kokoši</w:t>
      </w:r>
      <w:r w:rsidR="001B53D3">
        <w:rPr>
          <w:rFonts w:ascii="Calibri" w:hAnsi="Calibri" w:cs="Arial"/>
          <w:iCs/>
        </w:rPr>
        <w:t xml:space="preserve">, </w:t>
      </w:r>
      <w:r w:rsidR="00EE0971">
        <w:rPr>
          <w:rFonts w:ascii="Calibri" w:hAnsi="Calibri" w:cs="Arial"/>
          <w:iCs/>
        </w:rPr>
        <w:t>zlati hrčki</w:t>
      </w:r>
      <w:r w:rsidR="001B53D3">
        <w:rPr>
          <w:rFonts w:ascii="Calibri" w:hAnsi="Calibri" w:cs="Arial"/>
          <w:iCs/>
        </w:rPr>
        <w:t>, podgane, prašiči in konji</w:t>
      </w:r>
      <w:r w:rsidR="00EE0971">
        <w:rPr>
          <w:rFonts w:ascii="Calibri" w:hAnsi="Calibri" w:cs="Arial"/>
          <w:iCs/>
        </w:rPr>
        <w:t xml:space="preserve">. </w:t>
      </w:r>
    </w:p>
    <w:p w14:paraId="31481A79" w14:textId="7C4C1C09" w:rsidR="00E54E4A" w:rsidRDefault="00CB2CFE" w:rsidP="001D1273">
      <w:pPr>
        <w:tabs>
          <w:tab w:val="center" w:pos="7002"/>
        </w:tabs>
        <w:spacing w:after="0" w:line="240" w:lineRule="auto"/>
        <w:jc w:val="both"/>
        <w:rPr>
          <w:rFonts w:ascii="Calibri" w:hAnsi="Calibri" w:cs="Arial"/>
          <w:iCs/>
        </w:rPr>
      </w:pPr>
      <w:r>
        <w:rPr>
          <w:rFonts w:ascii="Calibri" w:hAnsi="Calibri" w:cs="Arial"/>
          <w:iCs/>
        </w:rPr>
        <w:t>70 živali (miši in podgane) je bilo uporabljenih v nepovratnih postopkih, v okviru temeljnih raziskav za proučevanje prebavnega sistema z jetri in več organskih sistemov</w:t>
      </w:r>
      <w:r w:rsidR="0095128C">
        <w:rPr>
          <w:rFonts w:ascii="Calibri" w:hAnsi="Calibri" w:cs="Arial"/>
          <w:iCs/>
        </w:rPr>
        <w:t xml:space="preserve">. </w:t>
      </w:r>
    </w:p>
    <w:p w14:paraId="0EDC8B2B" w14:textId="545CC665" w:rsidR="001B53D3" w:rsidRDefault="001B53D3" w:rsidP="001D1273">
      <w:pPr>
        <w:tabs>
          <w:tab w:val="center" w:pos="7002"/>
        </w:tabs>
        <w:spacing w:after="0" w:line="240" w:lineRule="auto"/>
        <w:jc w:val="both"/>
        <w:rPr>
          <w:rFonts w:ascii="Calibri" w:hAnsi="Calibri" w:cs="Arial"/>
          <w:iCs/>
        </w:rPr>
      </w:pPr>
      <w:r>
        <w:rPr>
          <w:rFonts w:ascii="Calibri" w:hAnsi="Calibri" w:cs="Arial"/>
          <w:iCs/>
        </w:rPr>
        <w:t>V zmernih postopkih je bilo uporabljenih cca 1.000 živali, večinoma miši (885 živali), ostalo so podgane, kunci in ovce. Živali so bile uporabljene za namen raziskav na področju rakavih obolenj, živčnega, dihalnega, prebavnega, endokrinega in imunskega sistema</w:t>
      </w:r>
      <w:r w:rsidR="001D1273">
        <w:rPr>
          <w:rFonts w:ascii="Calibri" w:hAnsi="Calibri" w:cs="Arial"/>
          <w:iCs/>
        </w:rPr>
        <w:t xml:space="preserve"> ter kontrole kakovosti serije zdravil.</w:t>
      </w:r>
    </w:p>
    <w:p w14:paraId="0633F8D9" w14:textId="1C44ABFB" w:rsidR="001D1273" w:rsidRPr="00264300" w:rsidRDefault="001D1273" w:rsidP="001D1273">
      <w:pPr>
        <w:tabs>
          <w:tab w:val="center" w:pos="7002"/>
        </w:tabs>
        <w:spacing w:after="0" w:line="240" w:lineRule="auto"/>
        <w:jc w:val="both"/>
        <w:rPr>
          <w:rFonts w:ascii="Calibri" w:hAnsi="Calibri" w:cs="Arial"/>
          <w:iCs/>
        </w:rPr>
      </w:pPr>
      <w:r>
        <w:rPr>
          <w:rFonts w:ascii="Calibri" w:hAnsi="Calibri" w:cs="Arial"/>
          <w:iCs/>
        </w:rPr>
        <w:t>V težavnih postopkih je bilo za namen proučevanja živčnega, imunskega in prebavnega sistema, diagnostiko bolezni ter bolezni in motnje pri živalih uporabljenih 64 živali in sicer miši in postrvi.</w:t>
      </w:r>
    </w:p>
    <w:p w14:paraId="27CAFC34" w14:textId="77777777" w:rsidR="00E54E4A" w:rsidRDefault="00E54E4A" w:rsidP="009C4184">
      <w:pPr>
        <w:tabs>
          <w:tab w:val="center" w:pos="7002"/>
        </w:tabs>
        <w:spacing w:after="0" w:line="240" w:lineRule="auto"/>
        <w:rPr>
          <w:rFonts w:ascii="Calibri" w:hAnsi="Calibri" w:cs="Arial"/>
          <w:i/>
        </w:rPr>
      </w:pPr>
    </w:p>
    <w:p w14:paraId="1F7512BB" w14:textId="77777777" w:rsidR="00E54E4A" w:rsidRDefault="00E54E4A" w:rsidP="009C4184">
      <w:pPr>
        <w:tabs>
          <w:tab w:val="center" w:pos="7002"/>
        </w:tabs>
        <w:spacing w:after="0" w:line="240" w:lineRule="auto"/>
        <w:rPr>
          <w:rFonts w:ascii="Calibri" w:hAnsi="Calibri" w:cs="Arial"/>
          <w:i/>
        </w:rPr>
      </w:pPr>
    </w:p>
    <w:p w14:paraId="1BC0DAC4" w14:textId="68B193F7" w:rsidR="00CF4CC9" w:rsidRPr="009C4184" w:rsidRDefault="00CF4CC9" w:rsidP="009C4184">
      <w:pPr>
        <w:tabs>
          <w:tab w:val="center" w:pos="7002"/>
        </w:tabs>
        <w:spacing w:after="0" w:line="240" w:lineRule="auto"/>
        <w:rPr>
          <w:rFonts w:cs="Arial"/>
          <w:i/>
        </w:rPr>
      </w:pPr>
      <w:r w:rsidRPr="00E228A6">
        <w:rPr>
          <w:rFonts w:ascii="Calibri" w:hAnsi="Calibri" w:cs="Arial"/>
          <w:i/>
        </w:rPr>
        <w:t xml:space="preserve">Preglednica </w:t>
      </w:r>
      <w:r w:rsidR="000430C6">
        <w:rPr>
          <w:rFonts w:ascii="Calibri" w:hAnsi="Calibri" w:cs="Arial"/>
          <w:i/>
        </w:rPr>
        <w:t>2</w:t>
      </w:r>
      <w:r w:rsidRPr="00E228A6">
        <w:rPr>
          <w:rFonts w:ascii="Calibri" w:hAnsi="Calibri" w:cs="Arial"/>
          <w:i/>
        </w:rPr>
        <w:t xml:space="preserve"> – vrste živali in genetski status</w:t>
      </w:r>
      <w:r w:rsidR="009C4184">
        <w:rPr>
          <w:rFonts w:ascii="Calibri" w:hAnsi="Calibri" w:cs="Arial"/>
          <w:i/>
        </w:rPr>
        <w:t xml:space="preserve"> v letu 2022</w:t>
      </w:r>
    </w:p>
    <w:p w14:paraId="50954B6C" w14:textId="18C61087" w:rsidR="00D16075" w:rsidRPr="00CF4CC9" w:rsidRDefault="00D16075" w:rsidP="00CF4CC9">
      <w:pPr>
        <w:tabs>
          <w:tab w:val="center" w:pos="7002"/>
        </w:tabs>
        <w:spacing w:after="0" w:line="240" w:lineRule="auto"/>
        <w:ind w:left="-142"/>
        <w:rPr>
          <w:rFonts w:cs="Arial"/>
          <w:i/>
        </w:rPr>
      </w:pPr>
    </w:p>
    <w:tbl>
      <w:tblPr>
        <w:tblStyle w:val="Tabelamrea"/>
        <w:tblW w:w="12328" w:type="dxa"/>
        <w:tblLayout w:type="fixed"/>
        <w:tblLook w:val="04A0" w:firstRow="1" w:lastRow="0" w:firstColumn="1" w:lastColumn="0" w:noHBand="0" w:noVBand="1"/>
      </w:tblPr>
      <w:tblGrid>
        <w:gridCol w:w="2972"/>
        <w:gridCol w:w="2126"/>
        <w:gridCol w:w="3119"/>
        <w:gridCol w:w="2693"/>
        <w:gridCol w:w="1418"/>
      </w:tblGrid>
      <w:tr w:rsidR="00D16075" w:rsidRPr="00030C46" w14:paraId="6DE88B02" w14:textId="77777777" w:rsidTr="00356AD6">
        <w:trPr>
          <w:cantSplit/>
          <w:trHeight w:val="438"/>
          <w:tblHeader/>
        </w:trPr>
        <w:tc>
          <w:tcPr>
            <w:tcW w:w="2972" w:type="dxa"/>
          </w:tcPr>
          <w:p w14:paraId="0A7B4D3F" w14:textId="77777777" w:rsidR="00D16075" w:rsidRPr="002144F8" w:rsidRDefault="00D16075" w:rsidP="00356AD6">
            <w:pPr>
              <w:rPr>
                <w:rFonts w:cs="Arial"/>
                <w:b/>
                <w:sz w:val="20"/>
                <w:szCs w:val="20"/>
              </w:rPr>
            </w:pPr>
            <w:r w:rsidRPr="002144F8">
              <w:rPr>
                <w:rFonts w:cs="Arial"/>
                <w:b/>
                <w:sz w:val="20"/>
                <w:szCs w:val="20"/>
              </w:rPr>
              <w:t>Vrsta živali/</w:t>
            </w:r>
            <w:r>
              <w:rPr>
                <w:rFonts w:cs="Arial"/>
                <w:b/>
                <w:sz w:val="20"/>
                <w:szCs w:val="20"/>
              </w:rPr>
              <w:t>Genetski status</w:t>
            </w:r>
          </w:p>
        </w:tc>
        <w:tc>
          <w:tcPr>
            <w:tcW w:w="2126" w:type="dxa"/>
          </w:tcPr>
          <w:p w14:paraId="374F29A7" w14:textId="77777777" w:rsidR="00D16075" w:rsidRPr="002144F8" w:rsidRDefault="00D16075" w:rsidP="00356AD6">
            <w:pPr>
              <w:rPr>
                <w:rFonts w:cs="Arial"/>
                <w:b/>
                <w:sz w:val="20"/>
                <w:szCs w:val="20"/>
              </w:rPr>
            </w:pPr>
            <w:r>
              <w:rPr>
                <w:rFonts w:cs="Arial"/>
                <w:b/>
                <w:sz w:val="20"/>
                <w:szCs w:val="20"/>
              </w:rPr>
              <w:t>Niso gensko spremenjene</w:t>
            </w:r>
          </w:p>
        </w:tc>
        <w:tc>
          <w:tcPr>
            <w:tcW w:w="3119" w:type="dxa"/>
          </w:tcPr>
          <w:p w14:paraId="72FDB53F" w14:textId="77777777" w:rsidR="00D16075" w:rsidRPr="002144F8" w:rsidRDefault="00D16075" w:rsidP="00356AD6">
            <w:pPr>
              <w:rPr>
                <w:rFonts w:cs="Arial"/>
                <w:b/>
                <w:sz w:val="20"/>
                <w:szCs w:val="20"/>
              </w:rPr>
            </w:pPr>
            <w:r>
              <w:rPr>
                <w:rFonts w:cs="Arial"/>
                <w:b/>
                <w:sz w:val="20"/>
                <w:szCs w:val="20"/>
              </w:rPr>
              <w:t>Gensko spremenjene – neškodljiv fenotip</w:t>
            </w:r>
          </w:p>
        </w:tc>
        <w:tc>
          <w:tcPr>
            <w:tcW w:w="2693" w:type="dxa"/>
          </w:tcPr>
          <w:p w14:paraId="0A1F19F7" w14:textId="77777777" w:rsidR="00D16075" w:rsidRPr="002144F8" w:rsidRDefault="00D16075" w:rsidP="00356AD6">
            <w:pPr>
              <w:rPr>
                <w:rFonts w:cs="Arial"/>
                <w:b/>
                <w:sz w:val="20"/>
                <w:szCs w:val="20"/>
              </w:rPr>
            </w:pPr>
            <w:r>
              <w:rPr>
                <w:rFonts w:cs="Arial"/>
                <w:b/>
                <w:sz w:val="20"/>
                <w:szCs w:val="20"/>
              </w:rPr>
              <w:t>Gensko spremenjene – škodljiv fenotip</w:t>
            </w:r>
          </w:p>
        </w:tc>
        <w:tc>
          <w:tcPr>
            <w:tcW w:w="1418" w:type="dxa"/>
          </w:tcPr>
          <w:p w14:paraId="6633D7BE" w14:textId="77777777" w:rsidR="00D16075" w:rsidRPr="002144F8" w:rsidRDefault="00D16075" w:rsidP="00356AD6">
            <w:pPr>
              <w:jc w:val="center"/>
              <w:rPr>
                <w:rFonts w:cs="Arial"/>
                <w:b/>
                <w:sz w:val="20"/>
                <w:szCs w:val="20"/>
              </w:rPr>
            </w:pPr>
            <w:r w:rsidRPr="002144F8">
              <w:rPr>
                <w:rFonts w:cs="Arial"/>
                <w:b/>
                <w:sz w:val="20"/>
                <w:szCs w:val="20"/>
              </w:rPr>
              <w:t>Skupaj</w:t>
            </w:r>
          </w:p>
        </w:tc>
      </w:tr>
      <w:tr w:rsidR="00D16075" w:rsidRPr="00030C46" w14:paraId="7DC60626" w14:textId="77777777" w:rsidTr="00356AD6">
        <w:trPr>
          <w:cantSplit/>
          <w:trHeight w:val="363"/>
        </w:trPr>
        <w:tc>
          <w:tcPr>
            <w:tcW w:w="2972" w:type="dxa"/>
          </w:tcPr>
          <w:p w14:paraId="0D29B6A7" w14:textId="77777777" w:rsidR="00D16075" w:rsidRPr="002144F8" w:rsidRDefault="00D16075" w:rsidP="00356AD6">
            <w:pPr>
              <w:rPr>
                <w:rFonts w:cs="Arial"/>
                <w:color w:val="000000"/>
                <w:sz w:val="20"/>
                <w:szCs w:val="20"/>
              </w:rPr>
            </w:pPr>
            <w:r w:rsidRPr="002144F8">
              <w:rPr>
                <w:rFonts w:cs="Arial"/>
                <w:color w:val="000000"/>
                <w:sz w:val="20"/>
                <w:szCs w:val="20"/>
              </w:rPr>
              <w:t>miši (</w:t>
            </w:r>
            <w:r w:rsidRPr="002144F8">
              <w:rPr>
                <w:rFonts w:cs="Arial"/>
                <w:i/>
                <w:iCs/>
                <w:color w:val="000000"/>
                <w:sz w:val="20"/>
                <w:szCs w:val="20"/>
              </w:rPr>
              <w:t xml:space="preserve">Mus </w:t>
            </w:r>
            <w:proofErr w:type="spellStart"/>
            <w:r w:rsidRPr="002144F8">
              <w:rPr>
                <w:rFonts w:cs="Arial"/>
                <w:i/>
                <w:iCs/>
                <w:color w:val="000000"/>
                <w:sz w:val="20"/>
                <w:szCs w:val="20"/>
              </w:rPr>
              <w:t>musculus</w:t>
            </w:r>
            <w:proofErr w:type="spellEnd"/>
            <w:r w:rsidRPr="002144F8">
              <w:rPr>
                <w:rFonts w:cs="Arial"/>
                <w:color w:val="000000"/>
                <w:sz w:val="20"/>
                <w:szCs w:val="20"/>
              </w:rPr>
              <w:t>)</w:t>
            </w:r>
          </w:p>
        </w:tc>
        <w:tc>
          <w:tcPr>
            <w:tcW w:w="2126" w:type="dxa"/>
          </w:tcPr>
          <w:p w14:paraId="1450DFF0" w14:textId="354DD040" w:rsidR="00D16075" w:rsidRPr="002144F8" w:rsidRDefault="00A84AF5" w:rsidP="00356AD6">
            <w:pPr>
              <w:jc w:val="right"/>
              <w:rPr>
                <w:rFonts w:cs="Arial"/>
                <w:sz w:val="20"/>
                <w:szCs w:val="20"/>
              </w:rPr>
            </w:pPr>
            <w:r>
              <w:rPr>
                <w:rFonts w:cs="Arial"/>
                <w:sz w:val="20"/>
                <w:szCs w:val="20"/>
              </w:rPr>
              <w:t>4.763</w:t>
            </w:r>
          </w:p>
        </w:tc>
        <w:tc>
          <w:tcPr>
            <w:tcW w:w="3119" w:type="dxa"/>
          </w:tcPr>
          <w:p w14:paraId="7DABC7A9" w14:textId="1B70565E" w:rsidR="00D16075" w:rsidRPr="002144F8" w:rsidRDefault="008B7313" w:rsidP="00356AD6">
            <w:pPr>
              <w:jc w:val="right"/>
              <w:rPr>
                <w:rFonts w:cs="Arial"/>
                <w:sz w:val="20"/>
                <w:szCs w:val="20"/>
              </w:rPr>
            </w:pPr>
            <w:r>
              <w:rPr>
                <w:rFonts w:cs="Arial"/>
                <w:sz w:val="20"/>
                <w:szCs w:val="20"/>
              </w:rPr>
              <w:t>198</w:t>
            </w:r>
          </w:p>
        </w:tc>
        <w:tc>
          <w:tcPr>
            <w:tcW w:w="2693" w:type="dxa"/>
          </w:tcPr>
          <w:p w14:paraId="4217978E" w14:textId="5583D8A1" w:rsidR="00D16075" w:rsidRPr="002144F8" w:rsidRDefault="00E228A6" w:rsidP="00356AD6">
            <w:pPr>
              <w:jc w:val="right"/>
              <w:rPr>
                <w:rFonts w:cs="Arial"/>
                <w:sz w:val="20"/>
                <w:szCs w:val="20"/>
              </w:rPr>
            </w:pPr>
            <w:r>
              <w:rPr>
                <w:rFonts w:cs="Arial"/>
                <w:sz w:val="20"/>
                <w:szCs w:val="20"/>
              </w:rPr>
              <w:t>44</w:t>
            </w:r>
          </w:p>
        </w:tc>
        <w:tc>
          <w:tcPr>
            <w:tcW w:w="1418" w:type="dxa"/>
          </w:tcPr>
          <w:p w14:paraId="1E1DF17D" w14:textId="7903CDB0" w:rsidR="00D16075" w:rsidRPr="002144F8" w:rsidRDefault="008B7313" w:rsidP="00356AD6">
            <w:pPr>
              <w:jc w:val="right"/>
              <w:rPr>
                <w:rFonts w:cs="Arial"/>
                <w:b/>
                <w:sz w:val="20"/>
                <w:szCs w:val="20"/>
              </w:rPr>
            </w:pPr>
            <w:r>
              <w:rPr>
                <w:rFonts w:cs="Arial"/>
                <w:b/>
                <w:sz w:val="20"/>
                <w:szCs w:val="20"/>
              </w:rPr>
              <w:t>5.005</w:t>
            </w:r>
          </w:p>
        </w:tc>
      </w:tr>
      <w:tr w:rsidR="00D16075" w:rsidRPr="00030C46" w14:paraId="767E9DD0" w14:textId="77777777" w:rsidTr="00356AD6">
        <w:trPr>
          <w:cantSplit/>
          <w:trHeight w:val="363"/>
        </w:trPr>
        <w:tc>
          <w:tcPr>
            <w:tcW w:w="2972" w:type="dxa"/>
          </w:tcPr>
          <w:p w14:paraId="30E6D36C" w14:textId="77777777" w:rsidR="00D16075" w:rsidRPr="002144F8" w:rsidRDefault="00D16075" w:rsidP="00356AD6">
            <w:pPr>
              <w:rPr>
                <w:rFonts w:cs="Arial"/>
                <w:color w:val="000000"/>
                <w:sz w:val="20"/>
                <w:szCs w:val="20"/>
              </w:rPr>
            </w:pPr>
            <w:r w:rsidRPr="002144F8">
              <w:rPr>
                <w:rFonts w:cs="Arial"/>
                <w:color w:val="000000"/>
                <w:sz w:val="20"/>
                <w:szCs w:val="20"/>
              </w:rPr>
              <w:t>podgane (</w:t>
            </w:r>
            <w:proofErr w:type="spellStart"/>
            <w:r w:rsidRPr="002144F8">
              <w:rPr>
                <w:rFonts w:cs="Arial"/>
                <w:i/>
                <w:iCs/>
                <w:color w:val="000000"/>
                <w:sz w:val="20"/>
                <w:szCs w:val="20"/>
              </w:rPr>
              <w:t>Rattus</w:t>
            </w:r>
            <w:proofErr w:type="spellEnd"/>
            <w:r w:rsidRPr="002144F8">
              <w:rPr>
                <w:rFonts w:cs="Arial"/>
                <w:i/>
                <w:iCs/>
                <w:color w:val="000000"/>
                <w:sz w:val="20"/>
                <w:szCs w:val="20"/>
              </w:rPr>
              <w:t xml:space="preserve"> </w:t>
            </w:r>
            <w:proofErr w:type="spellStart"/>
            <w:r w:rsidRPr="002144F8">
              <w:rPr>
                <w:rFonts w:cs="Arial"/>
                <w:i/>
                <w:iCs/>
                <w:color w:val="000000"/>
                <w:sz w:val="20"/>
                <w:szCs w:val="20"/>
              </w:rPr>
              <w:t>norvegicus</w:t>
            </w:r>
            <w:proofErr w:type="spellEnd"/>
            <w:r w:rsidRPr="002144F8">
              <w:rPr>
                <w:rFonts w:cs="Arial"/>
                <w:color w:val="000000"/>
                <w:sz w:val="20"/>
                <w:szCs w:val="20"/>
              </w:rPr>
              <w:t>)</w:t>
            </w:r>
          </w:p>
        </w:tc>
        <w:tc>
          <w:tcPr>
            <w:tcW w:w="2126" w:type="dxa"/>
          </w:tcPr>
          <w:p w14:paraId="22499434" w14:textId="444F3966" w:rsidR="00D16075" w:rsidRPr="002144F8" w:rsidRDefault="00A84AF5" w:rsidP="00356AD6">
            <w:pPr>
              <w:jc w:val="right"/>
              <w:rPr>
                <w:rFonts w:cs="Arial"/>
                <w:sz w:val="20"/>
                <w:szCs w:val="20"/>
              </w:rPr>
            </w:pPr>
            <w:r>
              <w:rPr>
                <w:rFonts w:cs="Arial"/>
                <w:sz w:val="20"/>
                <w:szCs w:val="20"/>
              </w:rPr>
              <w:t>81</w:t>
            </w:r>
          </w:p>
        </w:tc>
        <w:tc>
          <w:tcPr>
            <w:tcW w:w="3119" w:type="dxa"/>
          </w:tcPr>
          <w:p w14:paraId="7BC74AAE" w14:textId="4AF727B4" w:rsidR="00D16075" w:rsidRPr="002144F8" w:rsidRDefault="00E228A6" w:rsidP="00356AD6">
            <w:pPr>
              <w:jc w:val="right"/>
              <w:rPr>
                <w:rFonts w:cs="Arial"/>
                <w:sz w:val="20"/>
                <w:szCs w:val="20"/>
              </w:rPr>
            </w:pPr>
            <w:r>
              <w:rPr>
                <w:rFonts w:cs="Arial"/>
                <w:sz w:val="20"/>
                <w:szCs w:val="20"/>
              </w:rPr>
              <w:t>0</w:t>
            </w:r>
          </w:p>
        </w:tc>
        <w:tc>
          <w:tcPr>
            <w:tcW w:w="2693" w:type="dxa"/>
          </w:tcPr>
          <w:p w14:paraId="2788F378" w14:textId="3E1A71F4" w:rsidR="00D16075" w:rsidRPr="002144F8" w:rsidRDefault="00E228A6" w:rsidP="00356AD6">
            <w:pPr>
              <w:jc w:val="right"/>
              <w:rPr>
                <w:rFonts w:cs="Arial"/>
                <w:sz w:val="20"/>
                <w:szCs w:val="20"/>
              </w:rPr>
            </w:pPr>
            <w:r>
              <w:rPr>
                <w:rFonts w:cs="Arial"/>
                <w:sz w:val="20"/>
                <w:szCs w:val="20"/>
              </w:rPr>
              <w:t>0</w:t>
            </w:r>
          </w:p>
        </w:tc>
        <w:tc>
          <w:tcPr>
            <w:tcW w:w="1418" w:type="dxa"/>
          </w:tcPr>
          <w:p w14:paraId="4BF0F89E" w14:textId="7DF1F80C" w:rsidR="00D16075" w:rsidRPr="002144F8" w:rsidRDefault="00E228A6" w:rsidP="00356AD6">
            <w:pPr>
              <w:jc w:val="right"/>
              <w:rPr>
                <w:rFonts w:cs="Arial"/>
                <w:b/>
                <w:sz w:val="20"/>
                <w:szCs w:val="20"/>
              </w:rPr>
            </w:pPr>
            <w:r>
              <w:rPr>
                <w:rFonts w:cs="Arial"/>
                <w:b/>
                <w:sz w:val="20"/>
                <w:szCs w:val="20"/>
              </w:rPr>
              <w:t>81</w:t>
            </w:r>
          </w:p>
        </w:tc>
      </w:tr>
      <w:tr w:rsidR="00D16075" w:rsidRPr="00030C46" w14:paraId="5DABC9A8" w14:textId="77777777" w:rsidTr="00356AD6">
        <w:trPr>
          <w:cantSplit/>
          <w:trHeight w:val="363"/>
        </w:trPr>
        <w:tc>
          <w:tcPr>
            <w:tcW w:w="2972" w:type="dxa"/>
          </w:tcPr>
          <w:p w14:paraId="72791B49" w14:textId="77777777" w:rsidR="00D16075" w:rsidRPr="002144F8" w:rsidRDefault="00D16075" w:rsidP="00356AD6">
            <w:pPr>
              <w:rPr>
                <w:rFonts w:cs="Arial"/>
                <w:color w:val="000000"/>
                <w:sz w:val="20"/>
                <w:szCs w:val="20"/>
              </w:rPr>
            </w:pPr>
            <w:r>
              <w:rPr>
                <w:rFonts w:cs="Arial"/>
                <w:color w:val="000000"/>
                <w:sz w:val="20"/>
                <w:szCs w:val="20"/>
              </w:rPr>
              <w:t>Hrčki (sirijski)</w:t>
            </w:r>
          </w:p>
        </w:tc>
        <w:tc>
          <w:tcPr>
            <w:tcW w:w="2126" w:type="dxa"/>
          </w:tcPr>
          <w:p w14:paraId="2B18C0EC" w14:textId="45B9B503" w:rsidR="00D16075" w:rsidRDefault="00A84AF5" w:rsidP="00356AD6">
            <w:pPr>
              <w:jc w:val="right"/>
              <w:rPr>
                <w:rFonts w:cs="Arial"/>
                <w:sz w:val="20"/>
                <w:szCs w:val="20"/>
              </w:rPr>
            </w:pPr>
            <w:r>
              <w:rPr>
                <w:rFonts w:cs="Arial"/>
                <w:sz w:val="20"/>
                <w:szCs w:val="20"/>
              </w:rPr>
              <w:t>38</w:t>
            </w:r>
          </w:p>
        </w:tc>
        <w:tc>
          <w:tcPr>
            <w:tcW w:w="3119" w:type="dxa"/>
          </w:tcPr>
          <w:p w14:paraId="6FADEBE2" w14:textId="06BB0EF1" w:rsidR="00D16075" w:rsidRDefault="00E228A6" w:rsidP="00356AD6">
            <w:pPr>
              <w:jc w:val="right"/>
              <w:rPr>
                <w:rFonts w:cs="Arial"/>
                <w:sz w:val="20"/>
                <w:szCs w:val="20"/>
              </w:rPr>
            </w:pPr>
            <w:r>
              <w:rPr>
                <w:rFonts w:cs="Arial"/>
                <w:sz w:val="20"/>
                <w:szCs w:val="20"/>
              </w:rPr>
              <w:t>0</w:t>
            </w:r>
          </w:p>
        </w:tc>
        <w:tc>
          <w:tcPr>
            <w:tcW w:w="2693" w:type="dxa"/>
          </w:tcPr>
          <w:p w14:paraId="7E3F283F" w14:textId="179272D6" w:rsidR="00D16075" w:rsidRDefault="00E228A6" w:rsidP="00356AD6">
            <w:pPr>
              <w:jc w:val="right"/>
              <w:rPr>
                <w:rFonts w:cs="Arial"/>
                <w:sz w:val="20"/>
                <w:szCs w:val="20"/>
              </w:rPr>
            </w:pPr>
            <w:r>
              <w:rPr>
                <w:rFonts w:cs="Arial"/>
                <w:sz w:val="20"/>
                <w:szCs w:val="20"/>
              </w:rPr>
              <w:t>0</w:t>
            </w:r>
          </w:p>
        </w:tc>
        <w:tc>
          <w:tcPr>
            <w:tcW w:w="1418" w:type="dxa"/>
          </w:tcPr>
          <w:p w14:paraId="57F7EF7F" w14:textId="322BAB0F" w:rsidR="00D16075" w:rsidRDefault="00E228A6" w:rsidP="00356AD6">
            <w:pPr>
              <w:jc w:val="right"/>
              <w:rPr>
                <w:rFonts w:cs="Arial"/>
                <w:b/>
                <w:sz w:val="20"/>
                <w:szCs w:val="20"/>
              </w:rPr>
            </w:pPr>
            <w:r>
              <w:rPr>
                <w:rFonts w:cs="Arial"/>
                <w:b/>
                <w:sz w:val="20"/>
                <w:szCs w:val="20"/>
              </w:rPr>
              <w:t>38</w:t>
            </w:r>
          </w:p>
        </w:tc>
      </w:tr>
      <w:tr w:rsidR="00D16075" w:rsidRPr="00030C46" w14:paraId="44E3FF4A" w14:textId="77777777" w:rsidTr="00356AD6">
        <w:trPr>
          <w:cantSplit/>
          <w:trHeight w:val="363"/>
        </w:trPr>
        <w:tc>
          <w:tcPr>
            <w:tcW w:w="2972" w:type="dxa"/>
          </w:tcPr>
          <w:p w14:paraId="226408CD" w14:textId="77777777" w:rsidR="00D16075" w:rsidRPr="002144F8" w:rsidRDefault="00D16075" w:rsidP="00356AD6">
            <w:pPr>
              <w:rPr>
                <w:rFonts w:cs="Arial"/>
                <w:color w:val="000000"/>
                <w:sz w:val="20"/>
                <w:szCs w:val="20"/>
              </w:rPr>
            </w:pPr>
            <w:r w:rsidRPr="002144F8">
              <w:rPr>
                <w:rFonts w:cs="Arial"/>
                <w:color w:val="000000"/>
                <w:sz w:val="20"/>
                <w:szCs w:val="20"/>
              </w:rPr>
              <w:t>kunci (</w:t>
            </w:r>
            <w:proofErr w:type="spellStart"/>
            <w:r w:rsidRPr="002144F8">
              <w:rPr>
                <w:rFonts w:cs="Arial"/>
                <w:i/>
                <w:iCs/>
                <w:color w:val="000000"/>
                <w:sz w:val="20"/>
                <w:szCs w:val="20"/>
              </w:rPr>
              <w:t>Oryctolagus</w:t>
            </w:r>
            <w:proofErr w:type="spellEnd"/>
            <w:r w:rsidRPr="002144F8">
              <w:rPr>
                <w:rFonts w:cs="Arial"/>
                <w:i/>
                <w:iCs/>
                <w:color w:val="000000"/>
                <w:sz w:val="20"/>
                <w:szCs w:val="20"/>
              </w:rPr>
              <w:t xml:space="preserve"> </w:t>
            </w:r>
            <w:proofErr w:type="spellStart"/>
            <w:r w:rsidRPr="002144F8">
              <w:rPr>
                <w:rFonts w:cs="Arial"/>
                <w:i/>
                <w:iCs/>
                <w:color w:val="000000"/>
                <w:sz w:val="20"/>
                <w:szCs w:val="20"/>
              </w:rPr>
              <w:t>cuniculus</w:t>
            </w:r>
            <w:proofErr w:type="spellEnd"/>
            <w:r w:rsidRPr="002144F8">
              <w:rPr>
                <w:rFonts w:cs="Arial"/>
                <w:color w:val="000000"/>
                <w:sz w:val="20"/>
                <w:szCs w:val="20"/>
              </w:rPr>
              <w:t>)</w:t>
            </w:r>
          </w:p>
        </w:tc>
        <w:tc>
          <w:tcPr>
            <w:tcW w:w="2126" w:type="dxa"/>
          </w:tcPr>
          <w:p w14:paraId="72B260FC" w14:textId="4DFC46C7" w:rsidR="00D16075" w:rsidRPr="002144F8" w:rsidRDefault="00A84AF5" w:rsidP="00356AD6">
            <w:pPr>
              <w:jc w:val="right"/>
              <w:rPr>
                <w:rFonts w:cs="Arial"/>
                <w:sz w:val="20"/>
                <w:szCs w:val="20"/>
              </w:rPr>
            </w:pPr>
            <w:r>
              <w:rPr>
                <w:rFonts w:cs="Arial"/>
                <w:sz w:val="20"/>
                <w:szCs w:val="20"/>
              </w:rPr>
              <w:t>73</w:t>
            </w:r>
          </w:p>
        </w:tc>
        <w:tc>
          <w:tcPr>
            <w:tcW w:w="3119" w:type="dxa"/>
          </w:tcPr>
          <w:p w14:paraId="403F8C72" w14:textId="5138F244" w:rsidR="00D16075" w:rsidRPr="002144F8" w:rsidRDefault="00E228A6" w:rsidP="00356AD6">
            <w:pPr>
              <w:jc w:val="right"/>
              <w:rPr>
                <w:rFonts w:cs="Arial"/>
                <w:sz w:val="20"/>
                <w:szCs w:val="20"/>
              </w:rPr>
            </w:pPr>
            <w:r>
              <w:rPr>
                <w:rFonts w:cs="Arial"/>
                <w:sz w:val="20"/>
                <w:szCs w:val="20"/>
              </w:rPr>
              <w:t>0</w:t>
            </w:r>
          </w:p>
        </w:tc>
        <w:tc>
          <w:tcPr>
            <w:tcW w:w="2693" w:type="dxa"/>
          </w:tcPr>
          <w:p w14:paraId="60FBD6A4" w14:textId="684C435F" w:rsidR="00D16075" w:rsidRPr="002144F8" w:rsidRDefault="00E228A6" w:rsidP="00356AD6">
            <w:pPr>
              <w:jc w:val="right"/>
              <w:rPr>
                <w:rFonts w:cs="Arial"/>
                <w:sz w:val="20"/>
                <w:szCs w:val="20"/>
              </w:rPr>
            </w:pPr>
            <w:r>
              <w:rPr>
                <w:rFonts w:cs="Arial"/>
                <w:sz w:val="20"/>
                <w:szCs w:val="20"/>
              </w:rPr>
              <w:t>0</w:t>
            </w:r>
          </w:p>
        </w:tc>
        <w:tc>
          <w:tcPr>
            <w:tcW w:w="1418" w:type="dxa"/>
          </w:tcPr>
          <w:p w14:paraId="38663AA1" w14:textId="6225F3D3" w:rsidR="00D16075" w:rsidRPr="002144F8" w:rsidRDefault="00E228A6" w:rsidP="00356AD6">
            <w:pPr>
              <w:jc w:val="right"/>
              <w:rPr>
                <w:rFonts w:cs="Arial"/>
                <w:b/>
                <w:sz w:val="20"/>
                <w:szCs w:val="20"/>
              </w:rPr>
            </w:pPr>
            <w:r>
              <w:rPr>
                <w:rFonts w:cs="Arial"/>
                <w:b/>
                <w:sz w:val="20"/>
                <w:szCs w:val="20"/>
              </w:rPr>
              <w:t>73</w:t>
            </w:r>
          </w:p>
        </w:tc>
      </w:tr>
      <w:tr w:rsidR="00D16075" w:rsidRPr="00030C46" w14:paraId="62F231C6" w14:textId="77777777" w:rsidTr="00356AD6">
        <w:trPr>
          <w:cantSplit/>
          <w:trHeight w:val="363"/>
        </w:trPr>
        <w:tc>
          <w:tcPr>
            <w:tcW w:w="2972" w:type="dxa"/>
          </w:tcPr>
          <w:p w14:paraId="79C59AB0" w14:textId="77777777" w:rsidR="00D16075" w:rsidRPr="002144F8" w:rsidRDefault="00D16075" w:rsidP="00356AD6">
            <w:pPr>
              <w:rPr>
                <w:rFonts w:cs="Arial"/>
                <w:color w:val="000000"/>
                <w:sz w:val="20"/>
                <w:szCs w:val="20"/>
              </w:rPr>
            </w:pPr>
            <w:r>
              <w:rPr>
                <w:rFonts w:cs="Arial"/>
                <w:color w:val="000000"/>
                <w:sz w:val="20"/>
                <w:szCs w:val="20"/>
              </w:rPr>
              <w:t>konji (</w:t>
            </w:r>
            <w:proofErr w:type="spellStart"/>
            <w:r w:rsidRPr="00352FF5">
              <w:rPr>
                <w:rFonts w:cs="Arial"/>
                <w:i/>
                <w:color w:val="000000"/>
                <w:sz w:val="20"/>
                <w:szCs w:val="20"/>
              </w:rPr>
              <w:t>Horses</w:t>
            </w:r>
            <w:proofErr w:type="spellEnd"/>
            <w:r>
              <w:rPr>
                <w:rFonts w:cs="Arial"/>
                <w:color w:val="000000"/>
                <w:sz w:val="20"/>
                <w:szCs w:val="20"/>
              </w:rPr>
              <w:t>)</w:t>
            </w:r>
          </w:p>
        </w:tc>
        <w:tc>
          <w:tcPr>
            <w:tcW w:w="2126" w:type="dxa"/>
          </w:tcPr>
          <w:p w14:paraId="2CCC45DA" w14:textId="62341C9B" w:rsidR="00D16075" w:rsidRPr="002144F8" w:rsidRDefault="00A84AF5" w:rsidP="00356AD6">
            <w:pPr>
              <w:jc w:val="right"/>
              <w:rPr>
                <w:rFonts w:cs="Arial"/>
                <w:sz w:val="20"/>
                <w:szCs w:val="20"/>
              </w:rPr>
            </w:pPr>
            <w:r>
              <w:rPr>
                <w:rFonts w:cs="Arial"/>
                <w:sz w:val="20"/>
                <w:szCs w:val="20"/>
              </w:rPr>
              <w:t>2</w:t>
            </w:r>
          </w:p>
        </w:tc>
        <w:tc>
          <w:tcPr>
            <w:tcW w:w="3119" w:type="dxa"/>
          </w:tcPr>
          <w:p w14:paraId="33A09609" w14:textId="10B2F5D2" w:rsidR="00D16075" w:rsidRPr="002144F8" w:rsidRDefault="00E228A6" w:rsidP="00356AD6">
            <w:pPr>
              <w:jc w:val="right"/>
              <w:rPr>
                <w:rFonts w:cs="Arial"/>
                <w:sz w:val="20"/>
                <w:szCs w:val="20"/>
              </w:rPr>
            </w:pPr>
            <w:r>
              <w:rPr>
                <w:rFonts w:cs="Arial"/>
                <w:sz w:val="20"/>
                <w:szCs w:val="20"/>
              </w:rPr>
              <w:t>0</w:t>
            </w:r>
          </w:p>
        </w:tc>
        <w:tc>
          <w:tcPr>
            <w:tcW w:w="2693" w:type="dxa"/>
          </w:tcPr>
          <w:p w14:paraId="32A8A8F1" w14:textId="50C1863A" w:rsidR="00D16075" w:rsidRPr="002144F8" w:rsidRDefault="00E228A6" w:rsidP="00356AD6">
            <w:pPr>
              <w:jc w:val="right"/>
              <w:rPr>
                <w:rFonts w:cs="Arial"/>
                <w:sz w:val="20"/>
                <w:szCs w:val="20"/>
              </w:rPr>
            </w:pPr>
            <w:r>
              <w:rPr>
                <w:rFonts w:cs="Arial"/>
                <w:sz w:val="20"/>
                <w:szCs w:val="20"/>
              </w:rPr>
              <w:t>0</w:t>
            </w:r>
          </w:p>
        </w:tc>
        <w:tc>
          <w:tcPr>
            <w:tcW w:w="1418" w:type="dxa"/>
          </w:tcPr>
          <w:p w14:paraId="0B65FEF2" w14:textId="6507BF44" w:rsidR="00D16075" w:rsidRPr="002144F8" w:rsidRDefault="00E228A6" w:rsidP="00356AD6">
            <w:pPr>
              <w:jc w:val="right"/>
              <w:rPr>
                <w:rFonts w:cs="Arial"/>
                <w:b/>
                <w:sz w:val="20"/>
                <w:szCs w:val="20"/>
              </w:rPr>
            </w:pPr>
            <w:r>
              <w:rPr>
                <w:rFonts w:cs="Arial"/>
                <w:b/>
                <w:sz w:val="20"/>
                <w:szCs w:val="20"/>
              </w:rPr>
              <w:t>2</w:t>
            </w:r>
          </w:p>
        </w:tc>
      </w:tr>
      <w:tr w:rsidR="00D16075" w:rsidRPr="00030C46" w14:paraId="1ED53858" w14:textId="77777777" w:rsidTr="00356AD6">
        <w:trPr>
          <w:cantSplit/>
          <w:trHeight w:val="363"/>
        </w:trPr>
        <w:tc>
          <w:tcPr>
            <w:tcW w:w="2972" w:type="dxa"/>
          </w:tcPr>
          <w:p w14:paraId="006C6B0D" w14:textId="77777777" w:rsidR="00D16075" w:rsidRPr="002144F8" w:rsidRDefault="00D16075" w:rsidP="00356AD6">
            <w:pPr>
              <w:rPr>
                <w:rFonts w:cs="Arial"/>
                <w:color w:val="000000"/>
                <w:sz w:val="20"/>
                <w:szCs w:val="20"/>
              </w:rPr>
            </w:pPr>
            <w:r w:rsidRPr="002144F8">
              <w:rPr>
                <w:rFonts w:cs="Arial"/>
                <w:color w:val="000000"/>
                <w:sz w:val="20"/>
                <w:szCs w:val="20"/>
              </w:rPr>
              <w:t>prašiči (</w:t>
            </w:r>
            <w:proofErr w:type="spellStart"/>
            <w:r>
              <w:rPr>
                <w:rFonts w:cs="Arial"/>
                <w:i/>
                <w:iCs/>
                <w:color w:val="000000"/>
                <w:sz w:val="20"/>
                <w:szCs w:val="20"/>
              </w:rPr>
              <w:t>Pigs</w:t>
            </w:r>
            <w:proofErr w:type="spellEnd"/>
            <w:r w:rsidRPr="002144F8">
              <w:rPr>
                <w:rFonts w:cs="Arial"/>
                <w:color w:val="000000"/>
                <w:sz w:val="20"/>
                <w:szCs w:val="20"/>
              </w:rPr>
              <w:t>)</w:t>
            </w:r>
          </w:p>
        </w:tc>
        <w:tc>
          <w:tcPr>
            <w:tcW w:w="2126" w:type="dxa"/>
          </w:tcPr>
          <w:p w14:paraId="5A537756" w14:textId="043A4625" w:rsidR="00D16075" w:rsidRPr="002144F8" w:rsidRDefault="00A84AF5" w:rsidP="00356AD6">
            <w:pPr>
              <w:jc w:val="right"/>
              <w:rPr>
                <w:rFonts w:cs="Arial"/>
                <w:sz w:val="20"/>
                <w:szCs w:val="20"/>
              </w:rPr>
            </w:pPr>
            <w:r>
              <w:rPr>
                <w:rFonts w:cs="Arial"/>
                <w:sz w:val="20"/>
                <w:szCs w:val="20"/>
              </w:rPr>
              <w:t>9</w:t>
            </w:r>
          </w:p>
        </w:tc>
        <w:tc>
          <w:tcPr>
            <w:tcW w:w="3119" w:type="dxa"/>
          </w:tcPr>
          <w:p w14:paraId="4F15FF20" w14:textId="3C8D27F8" w:rsidR="00D16075" w:rsidRPr="002144F8" w:rsidRDefault="00E228A6" w:rsidP="00356AD6">
            <w:pPr>
              <w:jc w:val="right"/>
              <w:rPr>
                <w:rFonts w:cs="Arial"/>
                <w:sz w:val="20"/>
                <w:szCs w:val="20"/>
              </w:rPr>
            </w:pPr>
            <w:r>
              <w:rPr>
                <w:rFonts w:cs="Arial"/>
                <w:sz w:val="20"/>
                <w:szCs w:val="20"/>
              </w:rPr>
              <w:t>0</w:t>
            </w:r>
          </w:p>
        </w:tc>
        <w:tc>
          <w:tcPr>
            <w:tcW w:w="2693" w:type="dxa"/>
          </w:tcPr>
          <w:p w14:paraId="19E94E9C" w14:textId="2B473C6F" w:rsidR="00D16075" w:rsidRPr="002144F8" w:rsidRDefault="00E228A6" w:rsidP="00356AD6">
            <w:pPr>
              <w:jc w:val="right"/>
              <w:rPr>
                <w:rFonts w:cs="Arial"/>
                <w:sz w:val="20"/>
                <w:szCs w:val="20"/>
              </w:rPr>
            </w:pPr>
            <w:r>
              <w:rPr>
                <w:rFonts w:cs="Arial"/>
                <w:sz w:val="20"/>
                <w:szCs w:val="20"/>
              </w:rPr>
              <w:t>0</w:t>
            </w:r>
          </w:p>
        </w:tc>
        <w:tc>
          <w:tcPr>
            <w:tcW w:w="1418" w:type="dxa"/>
          </w:tcPr>
          <w:p w14:paraId="2679844D" w14:textId="754176D5" w:rsidR="00D16075" w:rsidRPr="002144F8" w:rsidRDefault="00E228A6" w:rsidP="00356AD6">
            <w:pPr>
              <w:jc w:val="right"/>
              <w:rPr>
                <w:rFonts w:cs="Arial"/>
                <w:b/>
                <w:sz w:val="20"/>
                <w:szCs w:val="20"/>
              </w:rPr>
            </w:pPr>
            <w:r>
              <w:rPr>
                <w:rFonts w:cs="Arial"/>
                <w:b/>
                <w:sz w:val="20"/>
                <w:szCs w:val="20"/>
              </w:rPr>
              <w:t>9</w:t>
            </w:r>
          </w:p>
        </w:tc>
      </w:tr>
      <w:tr w:rsidR="00D16075" w:rsidRPr="00030C46" w14:paraId="7A52AAE3" w14:textId="77777777" w:rsidTr="00356AD6">
        <w:trPr>
          <w:cantSplit/>
          <w:trHeight w:val="363"/>
        </w:trPr>
        <w:tc>
          <w:tcPr>
            <w:tcW w:w="2972" w:type="dxa"/>
          </w:tcPr>
          <w:p w14:paraId="74DF4E8C" w14:textId="77777777" w:rsidR="00D16075" w:rsidRPr="002144F8" w:rsidRDefault="00D16075" w:rsidP="00356AD6">
            <w:pPr>
              <w:rPr>
                <w:rFonts w:cs="Arial"/>
                <w:color w:val="000000"/>
                <w:sz w:val="20"/>
                <w:szCs w:val="20"/>
              </w:rPr>
            </w:pPr>
            <w:r w:rsidRPr="002144F8">
              <w:rPr>
                <w:rFonts w:cs="Arial"/>
                <w:color w:val="000000"/>
                <w:sz w:val="20"/>
                <w:szCs w:val="20"/>
              </w:rPr>
              <w:t>ovce (</w:t>
            </w:r>
            <w:proofErr w:type="spellStart"/>
            <w:r w:rsidRPr="002144F8">
              <w:rPr>
                <w:rFonts w:cs="Arial"/>
                <w:i/>
                <w:iCs/>
                <w:color w:val="000000"/>
                <w:sz w:val="20"/>
                <w:szCs w:val="20"/>
              </w:rPr>
              <w:t>Ovis</w:t>
            </w:r>
            <w:proofErr w:type="spellEnd"/>
            <w:r w:rsidRPr="002144F8">
              <w:rPr>
                <w:rFonts w:cs="Arial"/>
                <w:i/>
                <w:iCs/>
                <w:color w:val="000000"/>
                <w:sz w:val="20"/>
                <w:szCs w:val="20"/>
              </w:rPr>
              <w:t>)</w:t>
            </w:r>
          </w:p>
        </w:tc>
        <w:tc>
          <w:tcPr>
            <w:tcW w:w="2126" w:type="dxa"/>
          </w:tcPr>
          <w:p w14:paraId="35D5551C" w14:textId="4AA1B921" w:rsidR="00D16075" w:rsidRPr="002144F8" w:rsidRDefault="00A84AF5" w:rsidP="00356AD6">
            <w:pPr>
              <w:jc w:val="right"/>
              <w:rPr>
                <w:rFonts w:cs="Arial"/>
                <w:sz w:val="20"/>
                <w:szCs w:val="20"/>
              </w:rPr>
            </w:pPr>
            <w:r>
              <w:rPr>
                <w:rFonts w:cs="Arial"/>
                <w:sz w:val="20"/>
                <w:szCs w:val="20"/>
              </w:rPr>
              <w:t>2</w:t>
            </w:r>
          </w:p>
        </w:tc>
        <w:tc>
          <w:tcPr>
            <w:tcW w:w="3119" w:type="dxa"/>
          </w:tcPr>
          <w:p w14:paraId="542EDD93" w14:textId="0E433528" w:rsidR="00D16075" w:rsidRPr="002144F8" w:rsidRDefault="00E228A6" w:rsidP="00356AD6">
            <w:pPr>
              <w:jc w:val="right"/>
              <w:rPr>
                <w:rFonts w:cs="Arial"/>
                <w:sz w:val="20"/>
                <w:szCs w:val="20"/>
              </w:rPr>
            </w:pPr>
            <w:r>
              <w:rPr>
                <w:rFonts w:cs="Arial"/>
                <w:sz w:val="20"/>
                <w:szCs w:val="20"/>
              </w:rPr>
              <w:t>0</w:t>
            </w:r>
          </w:p>
        </w:tc>
        <w:tc>
          <w:tcPr>
            <w:tcW w:w="2693" w:type="dxa"/>
          </w:tcPr>
          <w:p w14:paraId="24F73868" w14:textId="66E62E3C" w:rsidR="00D16075" w:rsidRPr="002144F8" w:rsidRDefault="00E228A6" w:rsidP="00356AD6">
            <w:pPr>
              <w:jc w:val="right"/>
              <w:rPr>
                <w:rFonts w:cs="Arial"/>
                <w:sz w:val="20"/>
                <w:szCs w:val="20"/>
              </w:rPr>
            </w:pPr>
            <w:r>
              <w:rPr>
                <w:rFonts w:cs="Arial"/>
                <w:sz w:val="20"/>
                <w:szCs w:val="20"/>
              </w:rPr>
              <w:t>0</w:t>
            </w:r>
          </w:p>
        </w:tc>
        <w:tc>
          <w:tcPr>
            <w:tcW w:w="1418" w:type="dxa"/>
          </w:tcPr>
          <w:p w14:paraId="3B3BA5C1" w14:textId="6B78AF21" w:rsidR="00D16075" w:rsidRPr="002144F8" w:rsidRDefault="00E228A6" w:rsidP="00356AD6">
            <w:pPr>
              <w:jc w:val="right"/>
              <w:rPr>
                <w:rFonts w:cs="Arial"/>
                <w:b/>
                <w:sz w:val="20"/>
                <w:szCs w:val="20"/>
              </w:rPr>
            </w:pPr>
            <w:r>
              <w:rPr>
                <w:rFonts w:cs="Arial"/>
                <w:b/>
                <w:sz w:val="20"/>
                <w:szCs w:val="20"/>
              </w:rPr>
              <w:t>2</w:t>
            </w:r>
          </w:p>
        </w:tc>
      </w:tr>
      <w:tr w:rsidR="00D16075" w:rsidRPr="00030C46" w14:paraId="6DE53009" w14:textId="77777777" w:rsidTr="00356AD6">
        <w:trPr>
          <w:cantSplit/>
          <w:trHeight w:val="363"/>
        </w:trPr>
        <w:tc>
          <w:tcPr>
            <w:tcW w:w="2972" w:type="dxa"/>
          </w:tcPr>
          <w:p w14:paraId="5072B522" w14:textId="77777777" w:rsidR="00D16075" w:rsidRPr="002144F8" w:rsidRDefault="00D16075" w:rsidP="00356AD6">
            <w:pPr>
              <w:rPr>
                <w:rFonts w:cs="Arial"/>
                <w:color w:val="000000"/>
                <w:sz w:val="20"/>
                <w:szCs w:val="20"/>
              </w:rPr>
            </w:pPr>
            <w:r w:rsidRPr="002144F8">
              <w:rPr>
                <w:rFonts w:cs="Arial"/>
                <w:color w:val="000000"/>
                <w:sz w:val="20"/>
                <w:szCs w:val="20"/>
              </w:rPr>
              <w:t>domača kokoš (</w:t>
            </w:r>
            <w:r w:rsidRPr="002144F8">
              <w:rPr>
                <w:rFonts w:cs="Arial"/>
                <w:i/>
                <w:color w:val="000000"/>
                <w:sz w:val="20"/>
                <w:szCs w:val="20"/>
              </w:rPr>
              <w:t xml:space="preserve">Gallus </w:t>
            </w:r>
            <w:proofErr w:type="spellStart"/>
            <w:r w:rsidRPr="002144F8">
              <w:rPr>
                <w:rFonts w:cs="Arial"/>
                <w:i/>
                <w:color w:val="000000"/>
                <w:sz w:val="20"/>
                <w:szCs w:val="20"/>
              </w:rPr>
              <w:t>gallus</w:t>
            </w:r>
            <w:proofErr w:type="spellEnd"/>
            <w:r w:rsidRPr="002144F8">
              <w:rPr>
                <w:rFonts w:cs="Arial"/>
                <w:i/>
                <w:color w:val="000000"/>
                <w:sz w:val="20"/>
                <w:szCs w:val="20"/>
              </w:rPr>
              <w:t xml:space="preserve"> </w:t>
            </w:r>
            <w:proofErr w:type="spellStart"/>
            <w:r w:rsidRPr="002144F8">
              <w:rPr>
                <w:rFonts w:cs="Arial"/>
                <w:i/>
                <w:color w:val="000000"/>
                <w:sz w:val="20"/>
                <w:szCs w:val="20"/>
              </w:rPr>
              <w:t>domesticus</w:t>
            </w:r>
            <w:proofErr w:type="spellEnd"/>
            <w:r w:rsidRPr="002144F8">
              <w:rPr>
                <w:rFonts w:cs="Arial"/>
                <w:color w:val="000000"/>
                <w:sz w:val="20"/>
                <w:szCs w:val="20"/>
              </w:rPr>
              <w:t>)</w:t>
            </w:r>
          </w:p>
        </w:tc>
        <w:tc>
          <w:tcPr>
            <w:tcW w:w="2126" w:type="dxa"/>
          </w:tcPr>
          <w:p w14:paraId="5B9BBE21" w14:textId="3DB5453E" w:rsidR="00D16075" w:rsidRPr="002144F8" w:rsidRDefault="00A84AF5" w:rsidP="00356AD6">
            <w:pPr>
              <w:jc w:val="right"/>
              <w:rPr>
                <w:rFonts w:cs="Arial"/>
                <w:sz w:val="20"/>
                <w:szCs w:val="20"/>
              </w:rPr>
            </w:pPr>
            <w:r>
              <w:rPr>
                <w:rFonts w:cs="Arial"/>
                <w:sz w:val="20"/>
                <w:szCs w:val="20"/>
              </w:rPr>
              <w:t>383</w:t>
            </w:r>
          </w:p>
        </w:tc>
        <w:tc>
          <w:tcPr>
            <w:tcW w:w="3119" w:type="dxa"/>
          </w:tcPr>
          <w:p w14:paraId="00D9DD98" w14:textId="435AEDC3" w:rsidR="00D16075" w:rsidRPr="002144F8" w:rsidRDefault="00E228A6" w:rsidP="00356AD6">
            <w:pPr>
              <w:jc w:val="right"/>
              <w:rPr>
                <w:rFonts w:cs="Arial"/>
                <w:sz w:val="20"/>
                <w:szCs w:val="20"/>
              </w:rPr>
            </w:pPr>
            <w:r>
              <w:rPr>
                <w:rFonts w:cs="Arial"/>
                <w:sz w:val="20"/>
                <w:szCs w:val="20"/>
              </w:rPr>
              <w:t>0</w:t>
            </w:r>
          </w:p>
        </w:tc>
        <w:tc>
          <w:tcPr>
            <w:tcW w:w="2693" w:type="dxa"/>
          </w:tcPr>
          <w:p w14:paraId="4116CF62" w14:textId="2788B1AE" w:rsidR="00D16075" w:rsidRPr="002144F8" w:rsidRDefault="00E228A6" w:rsidP="00356AD6">
            <w:pPr>
              <w:jc w:val="right"/>
              <w:rPr>
                <w:rFonts w:cs="Arial"/>
                <w:sz w:val="20"/>
                <w:szCs w:val="20"/>
              </w:rPr>
            </w:pPr>
            <w:r>
              <w:rPr>
                <w:rFonts w:cs="Arial"/>
                <w:sz w:val="20"/>
                <w:szCs w:val="20"/>
              </w:rPr>
              <w:t>0</w:t>
            </w:r>
          </w:p>
        </w:tc>
        <w:tc>
          <w:tcPr>
            <w:tcW w:w="1418" w:type="dxa"/>
          </w:tcPr>
          <w:p w14:paraId="231EC12A" w14:textId="3F29AF96" w:rsidR="00D16075" w:rsidRPr="002144F8" w:rsidRDefault="00E228A6" w:rsidP="00356AD6">
            <w:pPr>
              <w:jc w:val="right"/>
              <w:rPr>
                <w:rFonts w:cs="Arial"/>
                <w:b/>
                <w:sz w:val="20"/>
                <w:szCs w:val="20"/>
              </w:rPr>
            </w:pPr>
            <w:r>
              <w:rPr>
                <w:rFonts w:cs="Arial"/>
                <w:b/>
                <w:sz w:val="20"/>
                <w:szCs w:val="20"/>
              </w:rPr>
              <w:t>383</w:t>
            </w:r>
          </w:p>
        </w:tc>
      </w:tr>
      <w:tr w:rsidR="00D16075" w:rsidRPr="00030C46" w14:paraId="17FFBEFC" w14:textId="77777777" w:rsidTr="00356AD6">
        <w:trPr>
          <w:cantSplit/>
          <w:trHeight w:val="363"/>
        </w:trPr>
        <w:tc>
          <w:tcPr>
            <w:tcW w:w="2972" w:type="dxa"/>
          </w:tcPr>
          <w:p w14:paraId="0C70C9ED" w14:textId="410DDC18" w:rsidR="00D16075" w:rsidRPr="002144F8" w:rsidRDefault="00A84AF5" w:rsidP="00356AD6">
            <w:pPr>
              <w:rPr>
                <w:rFonts w:cs="Arial"/>
                <w:color w:val="000000"/>
                <w:sz w:val="20"/>
                <w:szCs w:val="20"/>
              </w:rPr>
            </w:pPr>
            <w:r>
              <w:rPr>
                <w:rFonts w:cs="Arial"/>
                <w:color w:val="000000"/>
                <w:sz w:val="20"/>
                <w:szCs w:val="20"/>
              </w:rPr>
              <w:t>losos, postrv, zlatovčica, lipan</w:t>
            </w:r>
          </w:p>
        </w:tc>
        <w:tc>
          <w:tcPr>
            <w:tcW w:w="2126" w:type="dxa"/>
          </w:tcPr>
          <w:p w14:paraId="5DFF37ED" w14:textId="349D1B24" w:rsidR="00D16075" w:rsidRDefault="00A84AF5" w:rsidP="00356AD6">
            <w:pPr>
              <w:jc w:val="right"/>
              <w:rPr>
                <w:rFonts w:cs="Arial"/>
                <w:sz w:val="20"/>
                <w:szCs w:val="20"/>
              </w:rPr>
            </w:pPr>
            <w:r>
              <w:rPr>
                <w:rFonts w:cs="Arial"/>
                <w:sz w:val="20"/>
                <w:szCs w:val="20"/>
              </w:rPr>
              <w:t>930</w:t>
            </w:r>
          </w:p>
        </w:tc>
        <w:tc>
          <w:tcPr>
            <w:tcW w:w="3119" w:type="dxa"/>
          </w:tcPr>
          <w:p w14:paraId="23116D18" w14:textId="12602E74" w:rsidR="00D16075" w:rsidRDefault="00E228A6" w:rsidP="00356AD6">
            <w:pPr>
              <w:jc w:val="right"/>
              <w:rPr>
                <w:rFonts w:cs="Arial"/>
                <w:sz w:val="20"/>
                <w:szCs w:val="20"/>
              </w:rPr>
            </w:pPr>
            <w:r>
              <w:rPr>
                <w:rFonts w:cs="Arial"/>
                <w:sz w:val="20"/>
                <w:szCs w:val="20"/>
              </w:rPr>
              <w:t>0</w:t>
            </w:r>
          </w:p>
        </w:tc>
        <w:tc>
          <w:tcPr>
            <w:tcW w:w="2693" w:type="dxa"/>
          </w:tcPr>
          <w:p w14:paraId="6E92FE11" w14:textId="421519AE" w:rsidR="00D16075" w:rsidRDefault="00E228A6" w:rsidP="00356AD6">
            <w:pPr>
              <w:jc w:val="right"/>
              <w:rPr>
                <w:rFonts w:cs="Arial"/>
                <w:sz w:val="20"/>
                <w:szCs w:val="20"/>
              </w:rPr>
            </w:pPr>
            <w:r>
              <w:rPr>
                <w:rFonts w:cs="Arial"/>
                <w:sz w:val="20"/>
                <w:szCs w:val="20"/>
              </w:rPr>
              <w:t>0</w:t>
            </w:r>
          </w:p>
        </w:tc>
        <w:tc>
          <w:tcPr>
            <w:tcW w:w="1418" w:type="dxa"/>
          </w:tcPr>
          <w:p w14:paraId="1829D5E7" w14:textId="24A12E75" w:rsidR="00D16075" w:rsidRDefault="00E228A6" w:rsidP="00356AD6">
            <w:pPr>
              <w:jc w:val="right"/>
              <w:rPr>
                <w:rFonts w:cs="Arial"/>
                <w:b/>
                <w:sz w:val="20"/>
                <w:szCs w:val="20"/>
              </w:rPr>
            </w:pPr>
            <w:r>
              <w:rPr>
                <w:rFonts w:cs="Arial"/>
                <w:b/>
                <w:sz w:val="20"/>
                <w:szCs w:val="20"/>
              </w:rPr>
              <w:t>930</w:t>
            </w:r>
          </w:p>
        </w:tc>
      </w:tr>
      <w:tr w:rsidR="00D16075" w:rsidRPr="00030C46" w14:paraId="34D4A986" w14:textId="77777777" w:rsidTr="00356AD6">
        <w:trPr>
          <w:cantSplit/>
          <w:trHeight w:val="363"/>
        </w:trPr>
        <w:tc>
          <w:tcPr>
            <w:tcW w:w="2972" w:type="dxa"/>
          </w:tcPr>
          <w:p w14:paraId="494E88A3" w14:textId="77777777" w:rsidR="00D16075" w:rsidRPr="002144F8" w:rsidRDefault="00D16075" w:rsidP="00356AD6">
            <w:pPr>
              <w:rPr>
                <w:rFonts w:cs="Arial"/>
                <w:b/>
                <w:sz w:val="20"/>
                <w:szCs w:val="20"/>
              </w:rPr>
            </w:pPr>
            <w:r w:rsidRPr="002144F8">
              <w:rPr>
                <w:rFonts w:cs="Arial"/>
                <w:b/>
                <w:sz w:val="20"/>
                <w:szCs w:val="20"/>
              </w:rPr>
              <w:t>Skupaj</w:t>
            </w:r>
          </w:p>
        </w:tc>
        <w:tc>
          <w:tcPr>
            <w:tcW w:w="2126" w:type="dxa"/>
          </w:tcPr>
          <w:p w14:paraId="64DCACCE" w14:textId="2218AA39" w:rsidR="00D16075" w:rsidRPr="002144F8" w:rsidRDefault="00A84AF5" w:rsidP="00356AD6">
            <w:pPr>
              <w:jc w:val="right"/>
              <w:rPr>
                <w:rFonts w:cs="Arial"/>
                <w:b/>
                <w:sz w:val="20"/>
                <w:szCs w:val="20"/>
              </w:rPr>
            </w:pPr>
            <w:r>
              <w:rPr>
                <w:rFonts w:cs="Arial"/>
                <w:b/>
                <w:sz w:val="20"/>
                <w:szCs w:val="20"/>
              </w:rPr>
              <w:t>6.281</w:t>
            </w:r>
          </w:p>
        </w:tc>
        <w:tc>
          <w:tcPr>
            <w:tcW w:w="3119" w:type="dxa"/>
          </w:tcPr>
          <w:p w14:paraId="00DE41A4" w14:textId="5C45CCE3" w:rsidR="00D16075" w:rsidRPr="002144F8" w:rsidRDefault="002027A2" w:rsidP="00356AD6">
            <w:pPr>
              <w:jc w:val="right"/>
              <w:rPr>
                <w:rFonts w:cs="Arial"/>
                <w:b/>
                <w:sz w:val="20"/>
                <w:szCs w:val="20"/>
              </w:rPr>
            </w:pPr>
            <w:r>
              <w:rPr>
                <w:rFonts w:cs="Arial"/>
                <w:b/>
                <w:sz w:val="20"/>
                <w:szCs w:val="20"/>
              </w:rPr>
              <w:t>198</w:t>
            </w:r>
          </w:p>
        </w:tc>
        <w:tc>
          <w:tcPr>
            <w:tcW w:w="2693" w:type="dxa"/>
          </w:tcPr>
          <w:p w14:paraId="6988EC25" w14:textId="1DD5D5E9" w:rsidR="00D16075" w:rsidRPr="002144F8" w:rsidRDefault="00E228A6" w:rsidP="00356AD6">
            <w:pPr>
              <w:jc w:val="right"/>
              <w:rPr>
                <w:rFonts w:cs="Arial"/>
                <w:b/>
                <w:sz w:val="20"/>
                <w:szCs w:val="20"/>
              </w:rPr>
            </w:pPr>
            <w:r>
              <w:rPr>
                <w:rFonts w:cs="Arial"/>
                <w:b/>
                <w:sz w:val="20"/>
                <w:szCs w:val="20"/>
              </w:rPr>
              <w:t>44</w:t>
            </w:r>
          </w:p>
        </w:tc>
        <w:tc>
          <w:tcPr>
            <w:tcW w:w="1418" w:type="dxa"/>
          </w:tcPr>
          <w:p w14:paraId="44D830CB" w14:textId="333D7072" w:rsidR="00D16075" w:rsidRPr="002144F8" w:rsidRDefault="00E228A6" w:rsidP="00356AD6">
            <w:pPr>
              <w:jc w:val="right"/>
              <w:rPr>
                <w:rFonts w:cs="Arial"/>
                <w:b/>
                <w:sz w:val="20"/>
                <w:szCs w:val="20"/>
              </w:rPr>
            </w:pPr>
            <w:r>
              <w:rPr>
                <w:rFonts w:cs="Arial"/>
                <w:b/>
                <w:sz w:val="20"/>
                <w:szCs w:val="20"/>
              </w:rPr>
              <w:t>6.</w:t>
            </w:r>
            <w:r w:rsidR="00D37BA5">
              <w:rPr>
                <w:rFonts w:cs="Arial"/>
                <w:b/>
                <w:sz w:val="20"/>
                <w:szCs w:val="20"/>
              </w:rPr>
              <w:t>523</w:t>
            </w:r>
          </w:p>
        </w:tc>
      </w:tr>
    </w:tbl>
    <w:p w14:paraId="5D7841FC" w14:textId="285A30D3" w:rsidR="00A53869" w:rsidRDefault="00A53869" w:rsidP="00B23CC2">
      <w:pPr>
        <w:tabs>
          <w:tab w:val="left" w:pos="6705"/>
        </w:tabs>
        <w:rPr>
          <w:rFonts w:ascii="Arial" w:hAnsi="Arial" w:cs="Arial"/>
        </w:rPr>
      </w:pPr>
    </w:p>
    <w:p w14:paraId="69884540" w14:textId="1CBE2231" w:rsidR="00A53869" w:rsidRDefault="00A53869" w:rsidP="00B23CC2">
      <w:pPr>
        <w:tabs>
          <w:tab w:val="left" w:pos="6705"/>
        </w:tabs>
        <w:rPr>
          <w:rFonts w:ascii="Arial" w:hAnsi="Arial" w:cs="Arial"/>
        </w:rPr>
      </w:pPr>
    </w:p>
    <w:p w14:paraId="2BD586E3" w14:textId="2D292BD7" w:rsidR="00A557D0" w:rsidRDefault="00A557D0" w:rsidP="00B23CC2">
      <w:pPr>
        <w:tabs>
          <w:tab w:val="left" w:pos="6705"/>
        </w:tabs>
        <w:rPr>
          <w:rFonts w:ascii="Arial" w:hAnsi="Arial" w:cs="Arial"/>
        </w:rPr>
      </w:pPr>
    </w:p>
    <w:p w14:paraId="46F78D86" w14:textId="0A616308" w:rsidR="00356AD6" w:rsidRDefault="00B23CC2" w:rsidP="00B23CC2">
      <w:pPr>
        <w:tabs>
          <w:tab w:val="left" w:pos="6705"/>
        </w:tabs>
        <w:rPr>
          <w:rFonts w:ascii="Arial" w:hAnsi="Arial" w:cs="Arial"/>
        </w:rPr>
      </w:pPr>
      <w:r>
        <w:rPr>
          <w:rFonts w:ascii="Arial" w:hAnsi="Arial" w:cs="Arial"/>
        </w:rPr>
        <w:lastRenderedPageBreak/>
        <w:tab/>
      </w:r>
    </w:p>
    <w:p w14:paraId="03614517" w14:textId="77777777" w:rsidR="00356AD6" w:rsidRDefault="00356AD6" w:rsidP="00356AD6">
      <w:pPr>
        <w:jc w:val="both"/>
      </w:pPr>
      <w:r>
        <w:t xml:space="preserve">Večina živali, ki se v Sloveniji uporabi v znanstvene namene, je gensko nespremenjenih. </w:t>
      </w:r>
    </w:p>
    <w:p w14:paraId="45A433D6" w14:textId="77777777" w:rsidR="00356AD6" w:rsidRPr="002E3BEA" w:rsidRDefault="00356AD6" w:rsidP="00356AD6">
      <w:pPr>
        <w:jc w:val="both"/>
      </w:pPr>
      <w:r w:rsidRPr="002E3BEA">
        <w:t xml:space="preserve">V letu 2022 je bilo uporabljenih 242 miši, ki so bile gensko spremenjene, od tega 198 z neškodljivim fenotipom in 44 z izraženim škodljivim fenotipom. </w:t>
      </w:r>
    </w:p>
    <w:p w14:paraId="630CF6B4" w14:textId="41731ED5" w:rsidR="00356AD6" w:rsidRPr="00356AD6" w:rsidRDefault="00356AD6" w:rsidP="00356AD6">
      <w:pPr>
        <w:jc w:val="both"/>
      </w:pPr>
      <w:r w:rsidRPr="002E3BEA">
        <w:t>Živali so bile uporabljene za namen proučevanja živčnega in endokrinega sistema/metabolizma, ugotavljanja fiziološke vloge proteaz, proučevanja rakavih obolenj, delovanja imunskega sistema in infekcijskih motenj pri ljudeh.</w:t>
      </w:r>
      <w:r>
        <w:t xml:space="preserve"> </w:t>
      </w:r>
    </w:p>
    <w:p w14:paraId="1BDA43BC" w14:textId="658965A2" w:rsidR="003D6A3E" w:rsidRDefault="000430C6" w:rsidP="00B23CC2">
      <w:pPr>
        <w:tabs>
          <w:tab w:val="left" w:pos="6705"/>
        </w:tabs>
        <w:rPr>
          <w:rFonts w:ascii="Arial" w:hAnsi="Arial" w:cs="Arial"/>
        </w:rPr>
      </w:pPr>
      <w:r>
        <w:rPr>
          <w:noProof/>
        </w:rPr>
        <w:drawing>
          <wp:inline distT="0" distB="0" distL="0" distR="0" wp14:anchorId="6FC2A109" wp14:editId="076BB965">
            <wp:extent cx="5324475" cy="2962275"/>
            <wp:effectExtent l="0" t="0" r="9525" b="9525"/>
            <wp:docPr id="7" name="Grafikon 7" descr="Grafikon prikazuje delež uporabe gensko spremenjenih živalih od leta 2017 do leta 2022. ">
              <a:extLst xmlns:a="http://schemas.openxmlformats.org/drawingml/2006/main">
                <a:ext uri="{FF2B5EF4-FFF2-40B4-BE49-F238E27FC236}">
                  <a16:creationId xmlns:a16="http://schemas.microsoft.com/office/drawing/2014/main" id="{9602D877-6C9E-214F-C290-32D7F8A0AA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6540BE" w14:textId="7872AFEF" w:rsidR="00A53869" w:rsidRDefault="00A53869" w:rsidP="00A53869">
      <w:pPr>
        <w:tabs>
          <w:tab w:val="left" w:pos="6705"/>
        </w:tabs>
        <w:ind w:left="-142"/>
        <w:rPr>
          <w:rFonts w:ascii="Arial" w:hAnsi="Arial" w:cs="Arial"/>
        </w:rPr>
      </w:pPr>
    </w:p>
    <w:p w14:paraId="6EFEFDC5" w14:textId="1FA9FA1B" w:rsidR="009C4184" w:rsidRDefault="009C4184" w:rsidP="009C4184">
      <w:pPr>
        <w:tabs>
          <w:tab w:val="left" w:pos="4805"/>
        </w:tabs>
        <w:ind w:left="-142"/>
        <w:rPr>
          <w:rFonts w:ascii="Arial" w:hAnsi="Arial" w:cs="Arial"/>
        </w:rPr>
      </w:pPr>
      <w:r>
        <w:rPr>
          <w:rFonts w:ascii="Arial" w:hAnsi="Arial" w:cs="Arial"/>
        </w:rPr>
        <w:tab/>
      </w:r>
    </w:p>
    <w:p w14:paraId="708C8D96" w14:textId="50C1775E" w:rsidR="009C4184" w:rsidRDefault="009C4184" w:rsidP="00A53869">
      <w:pPr>
        <w:tabs>
          <w:tab w:val="left" w:pos="6705"/>
        </w:tabs>
        <w:ind w:left="-142"/>
        <w:rPr>
          <w:rFonts w:ascii="Arial" w:hAnsi="Arial" w:cs="Arial"/>
        </w:rPr>
      </w:pPr>
    </w:p>
    <w:p w14:paraId="0A716A68" w14:textId="4A8DCC00" w:rsidR="00CF4CC9" w:rsidRDefault="00CF4CC9" w:rsidP="00A53869">
      <w:pPr>
        <w:tabs>
          <w:tab w:val="left" w:pos="6705"/>
        </w:tabs>
        <w:ind w:left="-142"/>
        <w:rPr>
          <w:rFonts w:ascii="Arial" w:hAnsi="Arial" w:cs="Arial"/>
        </w:rPr>
      </w:pPr>
    </w:p>
    <w:p w14:paraId="1FE567D7" w14:textId="73E382B8" w:rsidR="009123BE" w:rsidRDefault="009123BE" w:rsidP="00931EA6">
      <w:pPr>
        <w:tabs>
          <w:tab w:val="left" w:pos="6705"/>
        </w:tabs>
        <w:ind w:left="-142"/>
        <w:rPr>
          <w:rFonts w:ascii="Arial" w:hAnsi="Arial" w:cs="Arial"/>
        </w:rPr>
      </w:pPr>
    </w:p>
    <w:p w14:paraId="40331835" w14:textId="7D283C80" w:rsidR="009123BE" w:rsidRPr="009123BE" w:rsidRDefault="009123BE" w:rsidP="00AB1A7E">
      <w:pPr>
        <w:tabs>
          <w:tab w:val="left" w:pos="6705"/>
        </w:tabs>
        <w:rPr>
          <w:rFonts w:cstheme="minorHAnsi"/>
        </w:rPr>
      </w:pPr>
    </w:p>
    <w:sectPr w:rsidR="009123BE" w:rsidRPr="009123BE" w:rsidSect="00A53869">
      <w:headerReference w:type="default" r:id="rId10"/>
      <w:pgSz w:w="16838" w:h="11906" w:orient="landscape"/>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B7531" w14:textId="77777777" w:rsidR="00EA5DC4" w:rsidRDefault="00EA5DC4" w:rsidP="00EA5DC4">
      <w:pPr>
        <w:spacing w:after="0" w:line="240" w:lineRule="auto"/>
      </w:pPr>
      <w:r>
        <w:separator/>
      </w:r>
    </w:p>
  </w:endnote>
  <w:endnote w:type="continuationSeparator" w:id="0">
    <w:p w14:paraId="6A095C3E" w14:textId="77777777" w:rsidR="00EA5DC4" w:rsidRDefault="00EA5DC4" w:rsidP="00EA5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996A" w14:textId="77777777" w:rsidR="00EA5DC4" w:rsidRDefault="00EA5DC4" w:rsidP="00EA5DC4">
      <w:pPr>
        <w:spacing w:after="0" w:line="240" w:lineRule="auto"/>
      </w:pPr>
      <w:r>
        <w:separator/>
      </w:r>
    </w:p>
  </w:footnote>
  <w:footnote w:type="continuationSeparator" w:id="0">
    <w:p w14:paraId="215B70DA" w14:textId="77777777" w:rsidR="00EA5DC4" w:rsidRDefault="00EA5DC4" w:rsidP="00EA5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1EF8" w14:textId="77777777" w:rsidR="00EA5DC4" w:rsidRDefault="00EA5DC4">
    <w:pPr>
      <w:pStyle w:val="Glava"/>
    </w:pPr>
    <w:r>
      <w:rPr>
        <w:noProof/>
        <w:lang w:eastAsia="sl-SI"/>
      </w:rPr>
      <w:drawing>
        <wp:inline distT="0" distB="0" distL="0" distR="0" wp14:anchorId="5E3BE363" wp14:editId="5DD18D06">
          <wp:extent cx="2387924" cy="762000"/>
          <wp:effectExtent l="0" t="0" r="0" b="0"/>
          <wp:docPr id="2" name="Slika 2" descr="Grb Republike Slovenije z nazivom organa: Ministrstvo za kmetijstvo, gozdarstvo in prehrano, Uprava za varno hrano, veterinarstvo in varstvo rast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Grb Republike Slovenije z nazivom organa: Ministrstvo za kmetijstvo, gozdarstvo in prehrano, Uprava za varno hrano, veterinarstvo in varstvo rastl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924" cy="76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D95"/>
    <w:rsid w:val="00002135"/>
    <w:rsid w:val="00004148"/>
    <w:rsid w:val="00025099"/>
    <w:rsid w:val="00030C46"/>
    <w:rsid w:val="000430C6"/>
    <w:rsid w:val="000542C6"/>
    <w:rsid w:val="000551C1"/>
    <w:rsid w:val="000608B1"/>
    <w:rsid w:val="00061A15"/>
    <w:rsid w:val="00061E35"/>
    <w:rsid w:val="00063B02"/>
    <w:rsid w:val="00065A95"/>
    <w:rsid w:val="00095E9A"/>
    <w:rsid w:val="00097040"/>
    <w:rsid w:val="000A0666"/>
    <w:rsid w:val="000D6269"/>
    <w:rsid w:val="000F1F93"/>
    <w:rsid w:val="00107085"/>
    <w:rsid w:val="0011172B"/>
    <w:rsid w:val="00115A55"/>
    <w:rsid w:val="00124D5F"/>
    <w:rsid w:val="00125FD1"/>
    <w:rsid w:val="00132869"/>
    <w:rsid w:val="001361C0"/>
    <w:rsid w:val="00154C86"/>
    <w:rsid w:val="00156168"/>
    <w:rsid w:val="00172E12"/>
    <w:rsid w:val="00173A43"/>
    <w:rsid w:val="001749C0"/>
    <w:rsid w:val="001970FB"/>
    <w:rsid w:val="001A1241"/>
    <w:rsid w:val="001B53D3"/>
    <w:rsid w:val="001B7E79"/>
    <w:rsid w:val="001D1273"/>
    <w:rsid w:val="001D4A51"/>
    <w:rsid w:val="001D4B60"/>
    <w:rsid w:val="001E4438"/>
    <w:rsid w:val="001F1DA4"/>
    <w:rsid w:val="002027A2"/>
    <w:rsid w:val="002144F8"/>
    <w:rsid w:val="00221606"/>
    <w:rsid w:val="002330D8"/>
    <w:rsid w:val="00240E1C"/>
    <w:rsid w:val="00241C3A"/>
    <w:rsid w:val="00257C2D"/>
    <w:rsid w:val="002601CF"/>
    <w:rsid w:val="00264300"/>
    <w:rsid w:val="0028299D"/>
    <w:rsid w:val="0029323E"/>
    <w:rsid w:val="002A5B55"/>
    <w:rsid w:val="002C0675"/>
    <w:rsid w:val="002C56BF"/>
    <w:rsid w:val="002D72A6"/>
    <w:rsid w:val="002E0C04"/>
    <w:rsid w:val="002E19DF"/>
    <w:rsid w:val="002E3BEA"/>
    <w:rsid w:val="002F08C1"/>
    <w:rsid w:val="002F3E6A"/>
    <w:rsid w:val="002F570A"/>
    <w:rsid w:val="00306F17"/>
    <w:rsid w:val="00310258"/>
    <w:rsid w:val="0033599E"/>
    <w:rsid w:val="00343F53"/>
    <w:rsid w:val="00352FF5"/>
    <w:rsid w:val="00356AD6"/>
    <w:rsid w:val="00360A6E"/>
    <w:rsid w:val="00386CCA"/>
    <w:rsid w:val="003A7849"/>
    <w:rsid w:val="003C0943"/>
    <w:rsid w:val="003C39A4"/>
    <w:rsid w:val="003C3AD3"/>
    <w:rsid w:val="003D0313"/>
    <w:rsid w:val="003D6A3E"/>
    <w:rsid w:val="00407811"/>
    <w:rsid w:val="004402C0"/>
    <w:rsid w:val="00471595"/>
    <w:rsid w:val="004929FA"/>
    <w:rsid w:val="004B2014"/>
    <w:rsid w:val="004F18C9"/>
    <w:rsid w:val="00500CB0"/>
    <w:rsid w:val="005065B6"/>
    <w:rsid w:val="0052421E"/>
    <w:rsid w:val="005277C9"/>
    <w:rsid w:val="00552004"/>
    <w:rsid w:val="00557105"/>
    <w:rsid w:val="005645E2"/>
    <w:rsid w:val="005756D6"/>
    <w:rsid w:val="00576E44"/>
    <w:rsid w:val="00581A74"/>
    <w:rsid w:val="00582527"/>
    <w:rsid w:val="00594773"/>
    <w:rsid w:val="005A4042"/>
    <w:rsid w:val="005B5E99"/>
    <w:rsid w:val="005C0709"/>
    <w:rsid w:val="005C3319"/>
    <w:rsid w:val="005F5F91"/>
    <w:rsid w:val="0061241E"/>
    <w:rsid w:val="00637434"/>
    <w:rsid w:val="0065445E"/>
    <w:rsid w:val="006941E8"/>
    <w:rsid w:val="006A5C0E"/>
    <w:rsid w:val="006C2CC8"/>
    <w:rsid w:val="00704F19"/>
    <w:rsid w:val="007200BE"/>
    <w:rsid w:val="00732BD5"/>
    <w:rsid w:val="00742563"/>
    <w:rsid w:val="00771E4C"/>
    <w:rsid w:val="00772308"/>
    <w:rsid w:val="0077358B"/>
    <w:rsid w:val="00785F4A"/>
    <w:rsid w:val="0079337D"/>
    <w:rsid w:val="007979F8"/>
    <w:rsid w:val="007B0514"/>
    <w:rsid w:val="007D294C"/>
    <w:rsid w:val="007E197F"/>
    <w:rsid w:val="007E22C9"/>
    <w:rsid w:val="007F3B8D"/>
    <w:rsid w:val="008049AD"/>
    <w:rsid w:val="008059CD"/>
    <w:rsid w:val="00822AB6"/>
    <w:rsid w:val="00837A94"/>
    <w:rsid w:val="00852FC4"/>
    <w:rsid w:val="00872BC6"/>
    <w:rsid w:val="008B7313"/>
    <w:rsid w:val="008D204F"/>
    <w:rsid w:val="008E73F0"/>
    <w:rsid w:val="008F7051"/>
    <w:rsid w:val="00900B12"/>
    <w:rsid w:val="0090418D"/>
    <w:rsid w:val="00905D1F"/>
    <w:rsid w:val="009123BE"/>
    <w:rsid w:val="00931EA6"/>
    <w:rsid w:val="00945D28"/>
    <w:rsid w:val="0095128C"/>
    <w:rsid w:val="009569C6"/>
    <w:rsid w:val="00964515"/>
    <w:rsid w:val="00964D10"/>
    <w:rsid w:val="009A3BA9"/>
    <w:rsid w:val="009A5EA5"/>
    <w:rsid w:val="009C338A"/>
    <w:rsid w:val="009C4184"/>
    <w:rsid w:val="009F4552"/>
    <w:rsid w:val="009F50E3"/>
    <w:rsid w:val="00A064A6"/>
    <w:rsid w:val="00A1443D"/>
    <w:rsid w:val="00A17AF2"/>
    <w:rsid w:val="00A53869"/>
    <w:rsid w:val="00A557D0"/>
    <w:rsid w:val="00A81603"/>
    <w:rsid w:val="00A84AF5"/>
    <w:rsid w:val="00A93C7D"/>
    <w:rsid w:val="00AB1A7E"/>
    <w:rsid w:val="00AB4851"/>
    <w:rsid w:val="00AC1847"/>
    <w:rsid w:val="00AD6877"/>
    <w:rsid w:val="00AD7336"/>
    <w:rsid w:val="00AE56C4"/>
    <w:rsid w:val="00B11CC2"/>
    <w:rsid w:val="00B23CC2"/>
    <w:rsid w:val="00B309EF"/>
    <w:rsid w:val="00B316B7"/>
    <w:rsid w:val="00B34B44"/>
    <w:rsid w:val="00B353C5"/>
    <w:rsid w:val="00B629D1"/>
    <w:rsid w:val="00B72031"/>
    <w:rsid w:val="00B77BFC"/>
    <w:rsid w:val="00BB3602"/>
    <w:rsid w:val="00BD0A01"/>
    <w:rsid w:val="00BD4840"/>
    <w:rsid w:val="00BF461E"/>
    <w:rsid w:val="00C03754"/>
    <w:rsid w:val="00C04D95"/>
    <w:rsid w:val="00C26555"/>
    <w:rsid w:val="00C3301E"/>
    <w:rsid w:val="00C33967"/>
    <w:rsid w:val="00C404CB"/>
    <w:rsid w:val="00C55164"/>
    <w:rsid w:val="00C554A9"/>
    <w:rsid w:val="00C707C3"/>
    <w:rsid w:val="00C746F9"/>
    <w:rsid w:val="00C93BB4"/>
    <w:rsid w:val="00CA6D1B"/>
    <w:rsid w:val="00CB2CFE"/>
    <w:rsid w:val="00CB4492"/>
    <w:rsid w:val="00CF4CC9"/>
    <w:rsid w:val="00D155D8"/>
    <w:rsid w:val="00D16075"/>
    <w:rsid w:val="00D35D98"/>
    <w:rsid w:val="00D37BA5"/>
    <w:rsid w:val="00D53504"/>
    <w:rsid w:val="00D6048D"/>
    <w:rsid w:val="00D60776"/>
    <w:rsid w:val="00D70FA1"/>
    <w:rsid w:val="00D80CA5"/>
    <w:rsid w:val="00D82C8D"/>
    <w:rsid w:val="00DA3B89"/>
    <w:rsid w:val="00DA55F2"/>
    <w:rsid w:val="00DA791E"/>
    <w:rsid w:val="00DC4694"/>
    <w:rsid w:val="00DC7A41"/>
    <w:rsid w:val="00DD3658"/>
    <w:rsid w:val="00E1090D"/>
    <w:rsid w:val="00E17E41"/>
    <w:rsid w:val="00E228A6"/>
    <w:rsid w:val="00E23CA9"/>
    <w:rsid w:val="00E270CD"/>
    <w:rsid w:val="00E54E4A"/>
    <w:rsid w:val="00E75520"/>
    <w:rsid w:val="00E83C5E"/>
    <w:rsid w:val="00E87B46"/>
    <w:rsid w:val="00EA24D0"/>
    <w:rsid w:val="00EA45ED"/>
    <w:rsid w:val="00EA5DC4"/>
    <w:rsid w:val="00EA660F"/>
    <w:rsid w:val="00EB0EBD"/>
    <w:rsid w:val="00EB13E6"/>
    <w:rsid w:val="00EB2FB8"/>
    <w:rsid w:val="00EE0971"/>
    <w:rsid w:val="00EF64C6"/>
    <w:rsid w:val="00F12E3F"/>
    <w:rsid w:val="00F17380"/>
    <w:rsid w:val="00F2644C"/>
    <w:rsid w:val="00F321D1"/>
    <w:rsid w:val="00F33DD6"/>
    <w:rsid w:val="00F51954"/>
    <w:rsid w:val="00F6502B"/>
    <w:rsid w:val="00F65811"/>
    <w:rsid w:val="00F74D6D"/>
    <w:rsid w:val="00F806CD"/>
    <w:rsid w:val="00F83B47"/>
    <w:rsid w:val="00F91AF8"/>
    <w:rsid w:val="00FB62C4"/>
    <w:rsid w:val="00FD6351"/>
    <w:rsid w:val="00FE40D5"/>
    <w:rsid w:val="00FE4C6F"/>
    <w:rsid w:val="00FE6F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029D"/>
  <w15:chartTrackingRefBased/>
  <w15:docId w15:val="{097D9934-CAAD-49A9-AE4E-F961035A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3301E"/>
  </w:style>
  <w:style w:type="paragraph" w:styleId="Naslov1">
    <w:name w:val="heading 1"/>
    <w:basedOn w:val="Navadensplet"/>
    <w:next w:val="Navaden"/>
    <w:link w:val="Naslov1Znak"/>
    <w:uiPriority w:val="9"/>
    <w:qFormat/>
    <w:rsid w:val="00AB1A7E"/>
    <w:pPr>
      <w:spacing w:after="0" w:afterAutospacing="0"/>
      <w:jc w:val="center"/>
      <w:outlineLvl w:val="0"/>
    </w:pPr>
    <w:rPr>
      <w:rFonts w:asciiTheme="minorHAnsi" w:hAnsiTheme="minorHAnsi" w:cs="Arial"/>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C04D95"/>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mrea">
    <w:name w:val="Table Grid"/>
    <w:basedOn w:val="Navadnatabela"/>
    <w:uiPriority w:val="39"/>
    <w:rsid w:val="00C04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EA5DC4"/>
    <w:pPr>
      <w:tabs>
        <w:tab w:val="center" w:pos="4536"/>
        <w:tab w:val="right" w:pos="9072"/>
      </w:tabs>
      <w:spacing w:after="0" w:line="240" w:lineRule="auto"/>
    </w:pPr>
  </w:style>
  <w:style w:type="character" w:customStyle="1" w:styleId="GlavaZnak">
    <w:name w:val="Glava Znak"/>
    <w:basedOn w:val="Privzetapisavaodstavka"/>
    <w:link w:val="Glava"/>
    <w:uiPriority w:val="99"/>
    <w:rsid w:val="00EA5DC4"/>
  </w:style>
  <w:style w:type="paragraph" w:styleId="Noga">
    <w:name w:val="footer"/>
    <w:basedOn w:val="Navaden"/>
    <w:link w:val="NogaZnak"/>
    <w:uiPriority w:val="99"/>
    <w:unhideWhenUsed/>
    <w:rsid w:val="00EA5DC4"/>
    <w:pPr>
      <w:tabs>
        <w:tab w:val="center" w:pos="4536"/>
        <w:tab w:val="right" w:pos="9072"/>
      </w:tabs>
      <w:spacing w:after="0" w:line="240" w:lineRule="auto"/>
    </w:pPr>
  </w:style>
  <w:style w:type="character" w:customStyle="1" w:styleId="NogaZnak">
    <w:name w:val="Noga Znak"/>
    <w:basedOn w:val="Privzetapisavaodstavka"/>
    <w:link w:val="Noga"/>
    <w:uiPriority w:val="99"/>
    <w:rsid w:val="00EA5DC4"/>
  </w:style>
  <w:style w:type="character" w:styleId="Hiperpovezava">
    <w:name w:val="Hyperlink"/>
    <w:basedOn w:val="Privzetapisavaodstavka"/>
    <w:uiPriority w:val="99"/>
    <w:unhideWhenUsed/>
    <w:rsid w:val="00F6502B"/>
    <w:rPr>
      <w:color w:val="0563C1" w:themeColor="hyperlink"/>
      <w:u w:val="single"/>
    </w:rPr>
  </w:style>
  <w:style w:type="character" w:styleId="SledenaHiperpovezava">
    <w:name w:val="FollowedHyperlink"/>
    <w:basedOn w:val="Privzetapisavaodstavka"/>
    <w:uiPriority w:val="99"/>
    <w:semiHidden/>
    <w:unhideWhenUsed/>
    <w:rsid w:val="00F6502B"/>
    <w:rPr>
      <w:color w:val="954F72" w:themeColor="followedHyperlink"/>
      <w:u w:val="single"/>
    </w:rPr>
  </w:style>
  <w:style w:type="paragraph" w:styleId="Besedilooblaka">
    <w:name w:val="Balloon Text"/>
    <w:basedOn w:val="Navaden"/>
    <w:link w:val="BesedilooblakaZnak"/>
    <w:uiPriority w:val="99"/>
    <w:semiHidden/>
    <w:unhideWhenUsed/>
    <w:rsid w:val="00F33DD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3DD6"/>
    <w:rPr>
      <w:rFonts w:ascii="Segoe UI" w:hAnsi="Segoe UI" w:cs="Segoe UI"/>
      <w:sz w:val="18"/>
      <w:szCs w:val="18"/>
    </w:rPr>
  </w:style>
  <w:style w:type="character" w:customStyle="1" w:styleId="Naslov1Znak">
    <w:name w:val="Naslov 1 Znak"/>
    <w:basedOn w:val="Privzetapisavaodstavka"/>
    <w:link w:val="Naslov1"/>
    <w:uiPriority w:val="9"/>
    <w:rsid w:val="00AB1A7E"/>
    <w:rPr>
      <w:rFonts w:eastAsia="Times New Roman" w:cs="Arial"/>
      <w:b/>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055">
      <w:bodyDiv w:val="1"/>
      <w:marLeft w:val="0"/>
      <w:marRight w:val="0"/>
      <w:marTop w:val="0"/>
      <w:marBottom w:val="0"/>
      <w:divBdr>
        <w:top w:val="none" w:sz="0" w:space="0" w:color="auto"/>
        <w:left w:val="none" w:sz="0" w:space="0" w:color="auto"/>
        <w:bottom w:val="none" w:sz="0" w:space="0" w:color="auto"/>
        <w:right w:val="none" w:sz="0" w:space="0" w:color="auto"/>
      </w:divBdr>
    </w:div>
    <w:div w:id="78716960">
      <w:bodyDiv w:val="1"/>
      <w:marLeft w:val="0"/>
      <w:marRight w:val="0"/>
      <w:marTop w:val="0"/>
      <w:marBottom w:val="0"/>
      <w:divBdr>
        <w:top w:val="none" w:sz="0" w:space="0" w:color="auto"/>
        <w:left w:val="none" w:sz="0" w:space="0" w:color="auto"/>
        <w:bottom w:val="none" w:sz="0" w:space="0" w:color="auto"/>
        <w:right w:val="none" w:sz="0" w:space="0" w:color="auto"/>
      </w:divBdr>
    </w:div>
    <w:div w:id="91053709">
      <w:bodyDiv w:val="1"/>
      <w:marLeft w:val="0"/>
      <w:marRight w:val="0"/>
      <w:marTop w:val="0"/>
      <w:marBottom w:val="0"/>
      <w:divBdr>
        <w:top w:val="none" w:sz="0" w:space="0" w:color="auto"/>
        <w:left w:val="none" w:sz="0" w:space="0" w:color="auto"/>
        <w:bottom w:val="none" w:sz="0" w:space="0" w:color="auto"/>
        <w:right w:val="none" w:sz="0" w:space="0" w:color="auto"/>
      </w:divBdr>
    </w:div>
    <w:div w:id="94836765">
      <w:bodyDiv w:val="1"/>
      <w:marLeft w:val="0"/>
      <w:marRight w:val="0"/>
      <w:marTop w:val="0"/>
      <w:marBottom w:val="0"/>
      <w:divBdr>
        <w:top w:val="none" w:sz="0" w:space="0" w:color="auto"/>
        <w:left w:val="none" w:sz="0" w:space="0" w:color="auto"/>
        <w:bottom w:val="none" w:sz="0" w:space="0" w:color="auto"/>
        <w:right w:val="none" w:sz="0" w:space="0" w:color="auto"/>
      </w:divBdr>
    </w:div>
    <w:div w:id="199099395">
      <w:bodyDiv w:val="1"/>
      <w:marLeft w:val="0"/>
      <w:marRight w:val="0"/>
      <w:marTop w:val="0"/>
      <w:marBottom w:val="0"/>
      <w:divBdr>
        <w:top w:val="none" w:sz="0" w:space="0" w:color="auto"/>
        <w:left w:val="none" w:sz="0" w:space="0" w:color="auto"/>
        <w:bottom w:val="none" w:sz="0" w:space="0" w:color="auto"/>
        <w:right w:val="none" w:sz="0" w:space="0" w:color="auto"/>
      </w:divBdr>
    </w:div>
    <w:div w:id="227961636">
      <w:bodyDiv w:val="1"/>
      <w:marLeft w:val="0"/>
      <w:marRight w:val="0"/>
      <w:marTop w:val="0"/>
      <w:marBottom w:val="0"/>
      <w:divBdr>
        <w:top w:val="none" w:sz="0" w:space="0" w:color="auto"/>
        <w:left w:val="none" w:sz="0" w:space="0" w:color="auto"/>
        <w:bottom w:val="none" w:sz="0" w:space="0" w:color="auto"/>
        <w:right w:val="none" w:sz="0" w:space="0" w:color="auto"/>
      </w:divBdr>
    </w:div>
    <w:div w:id="279531462">
      <w:bodyDiv w:val="1"/>
      <w:marLeft w:val="0"/>
      <w:marRight w:val="0"/>
      <w:marTop w:val="0"/>
      <w:marBottom w:val="0"/>
      <w:divBdr>
        <w:top w:val="none" w:sz="0" w:space="0" w:color="auto"/>
        <w:left w:val="none" w:sz="0" w:space="0" w:color="auto"/>
        <w:bottom w:val="none" w:sz="0" w:space="0" w:color="auto"/>
        <w:right w:val="none" w:sz="0" w:space="0" w:color="auto"/>
      </w:divBdr>
    </w:div>
    <w:div w:id="343410294">
      <w:bodyDiv w:val="1"/>
      <w:marLeft w:val="0"/>
      <w:marRight w:val="0"/>
      <w:marTop w:val="0"/>
      <w:marBottom w:val="0"/>
      <w:divBdr>
        <w:top w:val="none" w:sz="0" w:space="0" w:color="auto"/>
        <w:left w:val="none" w:sz="0" w:space="0" w:color="auto"/>
        <w:bottom w:val="none" w:sz="0" w:space="0" w:color="auto"/>
        <w:right w:val="none" w:sz="0" w:space="0" w:color="auto"/>
      </w:divBdr>
    </w:div>
    <w:div w:id="347608532">
      <w:bodyDiv w:val="1"/>
      <w:marLeft w:val="0"/>
      <w:marRight w:val="0"/>
      <w:marTop w:val="0"/>
      <w:marBottom w:val="0"/>
      <w:divBdr>
        <w:top w:val="none" w:sz="0" w:space="0" w:color="auto"/>
        <w:left w:val="none" w:sz="0" w:space="0" w:color="auto"/>
        <w:bottom w:val="none" w:sz="0" w:space="0" w:color="auto"/>
        <w:right w:val="none" w:sz="0" w:space="0" w:color="auto"/>
      </w:divBdr>
    </w:div>
    <w:div w:id="381754142">
      <w:bodyDiv w:val="1"/>
      <w:marLeft w:val="0"/>
      <w:marRight w:val="0"/>
      <w:marTop w:val="0"/>
      <w:marBottom w:val="0"/>
      <w:divBdr>
        <w:top w:val="none" w:sz="0" w:space="0" w:color="auto"/>
        <w:left w:val="none" w:sz="0" w:space="0" w:color="auto"/>
        <w:bottom w:val="none" w:sz="0" w:space="0" w:color="auto"/>
        <w:right w:val="none" w:sz="0" w:space="0" w:color="auto"/>
      </w:divBdr>
    </w:div>
    <w:div w:id="445929808">
      <w:bodyDiv w:val="1"/>
      <w:marLeft w:val="0"/>
      <w:marRight w:val="0"/>
      <w:marTop w:val="0"/>
      <w:marBottom w:val="0"/>
      <w:divBdr>
        <w:top w:val="none" w:sz="0" w:space="0" w:color="auto"/>
        <w:left w:val="none" w:sz="0" w:space="0" w:color="auto"/>
        <w:bottom w:val="none" w:sz="0" w:space="0" w:color="auto"/>
        <w:right w:val="none" w:sz="0" w:space="0" w:color="auto"/>
      </w:divBdr>
    </w:div>
    <w:div w:id="492651113">
      <w:bodyDiv w:val="1"/>
      <w:marLeft w:val="0"/>
      <w:marRight w:val="0"/>
      <w:marTop w:val="0"/>
      <w:marBottom w:val="0"/>
      <w:divBdr>
        <w:top w:val="none" w:sz="0" w:space="0" w:color="auto"/>
        <w:left w:val="none" w:sz="0" w:space="0" w:color="auto"/>
        <w:bottom w:val="none" w:sz="0" w:space="0" w:color="auto"/>
        <w:right w:val="none" w:sz="0" w:space="0" w:color="auto"/>
      </w:divBdr>
    </w:div>
    <w:div w:id="537090698">
      <w:bodyDiv w:val="1"/>
      <w:marLeft w:val="0"/>
      <w:marRight w:val="0"/>
      <w:marTop w:val="0"/>
      <w:marBottom w:val="0"/>
      <w:divBdr>
        <w:top w:val="none" w:sz="0" w:space="0" w:color="auto"/>
        <w:left w:val="none" w:sz="0" w:space="0" w:color="auto"/>
        <w:bottom w:val="none" w:sz="0" w:space="0" w:color="auto"/>
        <w:right w:val="none" w:sz="0" w:space="0" w:color="auto"/>
      </w:divBdr>
    </w:div>
    <w:div w:id="585263686">
      <w:bodyDiv w:val="1"/>
      <w:marLeft w:val="0"/>
      <w:marRight w:val="0"/>
      <w:marTop w:val="0"/>
      <w:marBottom w:val="0"/>
      <w:divBdr>
        <w:top w:val="none" w:sz="0" w:space="0" w:color="auto"/>
        <w:left w:val="none" w:sz="0" w:space="0" w:color="auto"/>
        <w:bottom w:val="none" w:sz="0" w:space="0" w:color="auto"/>
        <w:right w:val="none" w:sz="0" w:space="0" w:color="auto"/>
      </w:divBdr>
    </w:div>
    <w:div w:id="642856314">
      <w:bodyDiv w:val="1"/>
      <w:marLeft w:val="0"/>
      <w:marRight w:val="0"/>
      <w:marTop w:val="0"/>
      <w:marBottom w:val="0"/>
      <w:divBdr>
        <w:top w:val="none" w:sz="0" w:space="0" w:color="auto"/>
        <w:left w:val="none" w:sz="0" w:space="0" w:color="auto"/>
        <w:bottom w:val="none" w:sz="0" w:space="0" w:color="auto"/>
        <w:right w:val="none" w:sz="0" w:space="0" w:color="auto"/>
      </w:divBdr>
    </w:div>
    <w:div w:id="664090497">
      <w:bodyDiv w:val="1"/>
      <w:marLeft w:val="0"/>
      <w:marRight w:val="0"/>
      <w:marTop w:val="0"/>
      <w:marBottom w:val="0"/>
      <w:divBdr>
        <w:top w:val="none" w:sz="0" w:space="0" w:color="auto"/>
        <w:left w:val="none" w:sz="0" w:space="0" w:color="auto"/>
        <w:bottom w:val="none" w:sz="0" w:space="0" w:color="auto"/>
        <w:right w:val="none" w:sz="0" w:space="0" w:color="auto"/>
      </w:divBdr>
    </w:div>
    <w:div w:id="682828585">
      <w:bodyDiv w:val="1"/>
      <w:marLeft w:val="0"/>
      <w:marRight w:val="0"/>
      <w:marTop w:val="0"/>
      <w:marBottom w:val="0"/>
      <w:divBdr>
        <w:top w:val="none" w:sz="0" w:space="0" w:color="auto"/>
        <w:left w:val="none" w:sz="0" w:space="0" w:color="auto"/>
        <w:bottom w:val="none" w:sz="0" w:space="0" w:color="auto"/>
        <w:right w:val="none" w:sz="0" w:space="0" w:color="auto"/>
      </w:divBdr>
    </w:div>
    <w:div w:id="781610120">
      <w:bodyDiv w:val="1"/>
      <w:marLeft w:val="0"/>
      <w:marRight w:val="0"/>
      <w:marTop w:val="0"/>
      <w:marBottom w:val="0"/>
      <w:divBdr>
        <w:top w:val="none" w:sz="0" w:space="0" w:color="auto"/>
        <w:left w:val="none" w:sz="0" w:space="0" w:color="auto"/>
        <w:bottom w:val="none" w:sz="0" w:space="0" w:color="auto"/>
        <w:right w:val="none" w:sz="0" w:space="0" w:color="auto"/>
      </w:divBdr>
    </w:div>
    <w:div w:id="789326742">
      <w:bodyDiv w:val="1"/>
      <w:marLeft w:val="0"/>
      <w:marRight w:val="0"/>
      <w:marTop w:val="0"/>
      <w:marBottom w:val="0"/>
      <w:divBdr>
        <w:top w:val="none" w:sz="0" w:space="0" w:color="auto"/>
        <w:left w:val="none" w:sz="0" w:space="0" w:color="auto"/>
        <w:bottom w:val="none" w:sz="0" w:space="0" w:color="auto"/>
        <w:right w:val="none" w:sz="0" w:space="0" w:color="auto"/>
      </w:divBdr>
    </w:div>
    <w:div w:id="886573974">
      <w:bodyDiv w:val="1"/>
      <w:marLeft w:val="0"/>
      <w:marRight w:val="0"/>
      <w:marTop w:val="0"/>
      <w:marBottom w:val="0"/>
      <w:divBdr>
        <w:top w:val="none" w:sz="0" w:space="0" w:color="auto"/>
        <w:left w:val="none" w:sz="0" w:space="0" w:color="auto"/>
        <w:bottom w:val="none" w:sz="0" w:space="0" w:color="auto"/>
        <w:right w:val="none" w:sz="0" w:space="0" w:color="auto"/>
      </w:divBdr>
    </w:div>
    <w:div w:id="895551446">
      <w:bodyDiv w:val="1"/>
      <w:marLeft w:val="0"/>
      <w:marRight w:val="0"/>
      <w:marTop w:val="0"/>
      <w:marBottom w:val="0"/>
      <w:divBdr>
        <w:top w:val="none" w:sz="0" w:space="0" w:color="auto"/>
        <w:left w:val="none" w:sz="0" w:space="0" w:color="auto"/>
        <w:bottom w:val="none" w:sz="0" w:space="0" w:color="auto"/>
        <w:right w:val="none" w:sz="0" w:space="0" w:color="auto"/>
      </w:divBdr>
    </w:div>
    <w:div w:id="899245795">
      <w:bodyDiv w:val="1"/>
      <w:marLeft w:val="0"/>
      <w:marRight w:val="0"/>
      <w:marTop w:val="0"/>
      <w:marBottom w:val="0"/>
      <w:divBdr>
        <w:top w:val="none" w:sz="0" w:space="0" w:color="auto"/>
        <w:left w:val="none" w:sz="0" w:space="0" w:color="auto"/>
        <w:bottom w:val="none" w:sz="0" w:space="0" w:color="auto"/>
        <w:right w:val="none" w:sz="0" w:space="0" w:color="auto"/>
      </w:divBdr>
    </w:div>
    <w:div w:id="902057665">
      <w:bodyDiv w:val="1"/>
      <w:marLeft w:val="0"/>
      <w:marRight w:val="0"/>
      <w:marTop w:val="0"/>
      <w:marBottom w:val="0"/>
      <w:divBdr>
        <w:top w:val="none" w:sz="0" w:space="0" w:color="auto"/>
        <w:left w:val="none" w:sz="0" w:space="0" w:color="auto"/>
        <w:bottom w:val="none" w:sz="0" w:space="0" w:color="auto"/>
        <w:right w:val="none" w:sz="0" w:space="0" w:color="auto"/>
      </w:divBdr>
    </w:div>
    <w:div w:id="944656699">
      <w:bodyDiv w:val="1"/>
      <w:marLeft w:val="0"/>
      <w:marRight w:val="0"/>
      <w:marTop w:val="0"/>
      <w:marBottom w:val="0"/>
      <w:divBdr>
        <w:top w:val="none" w:sz="0" w:space="0" w:color="auto"/>
        <w:left w:val="none" w:sz="0" w:space="0" w:color="auto"/>
        <w:bottom w:val="none" w:sz="0" w:space="0" w:color="auto"/>
        <w:right w:val="none" w:sz="0" w:space="0" w:color="auto"/>
      </w:divBdr>
    </w:div>
    <w:div w:id="1096824421">
      <w:bodyDiv w:val="1"/>
      <w:marLeft w:val="0"/>
      <w:marRight w:val="0"/>
      <w:marTop w:val="0"/>
      <w:marBottom w:val="0"/>
      <w:divBdr>
        <w:top w:val="none" w:sz="0" w:space="0" w:color="auto"/>
        <w:left w:val="none" w:sz="0" w:space="0" w:color="auto"/>
        <w:bottom w:val="none" w:sz="0" w:space="0" w:color="auto"/>
        <w:right w:val="none" w:sz="0" w:space="0" w:color="auto"/>
      </w:divBdr>
    </w:div>
    <w:div w:id="1142579465">
      <w:bodyDiv w:val="1"/>
      <w:marLeft w:val="0"/>
      <w:marRight w:val="0"/>
      <w:marTop w:val="0"/>
      <w:marBottom w:val="0"/>
      <w:divBdr>
        <w:top w:val="none" w:sz="0" w:space="0" w:color="auto"/>
        <w:left w:val="none" w:sz="0" w:space="0" w:color="auto"/>
        <w:bottom w:val="none" w:sz="0" w:space="0" w:color="auto"/>
        <w:right w:val="none" w:sz="0" w:space="0" w:color="auto"/>
      </w:divBdr>
    </w:div>
    <w:div w:id="1190528299">
      <w:bodyDiv w:val="1"/>
      <w:marLeft w:val="0"/>
      <w:marRight w:val="0"/>
      <w:marTop w:val="0"/>
      <w:marBottom w:val="0"/>
      <w:divBdr>
        <w:top w:val="none" w:sz="0" w:space="0" w:color="auto"/>
        <w:left w:val="none" w:sz="0" w:space="0" w:color="auto"/>
        <w:bottom w:val="none" w:sz="0" w:space="0" w:color="auto"/>
        <w:right w:val="none" w:sz="0" w:space="0" w:color="auto"/>
      </w:divBdr>
    </w:div>
    <w:div w:id="1343750574">
      <w:bodyDiv w:val="1"/>
      <w:marLeft w:val="0"/>
      <w:marRight w:val="0"/>
      <w:marTop w:val="0"/>
      <w:marBottom w:val="0"/>
      <w:divBdr>
        <w:top w:val="none" w:sz="0" w:space="0" w:color="auto"/>
        <w:left w:val="none" w:sz="0" w:space="0" w:color="auto"/>
        <w:bottom w:val="none" w:sz="0" w:space="0" w:color="auto"/>
        <w:right w:val="none" w:sz="0" w:space="0" w:color="auto"/>
      </w:divBdr>
    </w:div>
    <w:div w:id="1390422957">
      <w:bodyDiv w:val="1"/>
      <w:marLeft w:val="0"/>
      <w:marRight w:val="0"/>
      <w:marTop w:val="0"/>
      <w:marBottom w:val="0"/>
      <w:divBdr>
        <w:top w:val="none" w:sz="0" w:space="0" w:color="auto"/>
        <w:left w:val="none" w:sz="0" w:space="0" w:color="auto"/>
        <w:bottom w:val="none" w:sz="0" w:space="0" w:color="auto"/>
        <w:right w:val="none" w:sz="0" w:space="0" w:color="auto"/>
      </w:divBdr>
    </w:div>
    <w:div w:id="1550722060">
      <w:bodyDiv w:val="1"/>
      <w:marLeft w:val="0"/>
      <w:marRight w:val="0"/>
      <w:marTop w:val="0"/>
      <w:marBottom w:val="0"/>
      <w:divBdr>
        <w:top w:val="none" w:sz="0" w:space="0" w:color="auto"/>
        <w:left w:val="none" w:sz="0" w:space="0" w:color="auto"/>
        <w:bottom w:val="none" w:sz="0" w:space="0" w:color="auto"/>
        <w:right w:val="none" w:sz="0" w:space="0" w:color="auto"/>
      </w:divBdr>
    </w:div>
    <w:div w:id="1582988414">
      <w:bodyDiv w:val="1"/>
      <w:marLeft w:val="0"/>
      <w:marRight w:val="0"/>
      <w:marTop w:val="0"/>
      <w:marBottom w:val="0"/>
      <w:divBdr>
        <w:top w:val="none" w:sz="0" w:space="0" w:color="auto"/>
        <w:left w:val="none" w:sz="0" w:space="0" w:color="auto"/>
        <w:bottom w:val="none" w:sz="0" w:space="0" w:color="auto"/>
        <w:right w:val="none" w:sz="0" w:space="0" w:color="auto"/>
      </w:divBdr>
    </w:div>
    <w:div w:id="1636446301">
      <w:bodyDiv w:val="1"/>
      <w:marLeft w:val="0"/>
      <w:marRight w:val="0"/>
      <w:marTop w:val="0"/>
      <w:marBottom w:val="0"/>
      <w:divBdr>
        <w:top w:val="none" w:sz="0" w:space="0" w:color="auto"/>
        <w:left w:val="none" w:sz="0" w:space="0" w:color="auto"/>
        <w:bottom w:val="none" w:sz="0" w:space="0" w:color="auto"/>
        <w:right w:val="none" w:sz="0" w:space="0" w:color="auto"/>
      </w:divBdr>
    </w:div>
    <w:div w:id="1686245135">
      <w:bodyDiv w:val="1"/>
      <w:marLeft w:val="0"/>
      <w:marRight w:val="0"/>
      <w:marTop w:val="0"/>
      <w:marBottom w:val="0"/>
      <w:divBdr>
        <w:top w:val="none" w:sz="0" w:space="0" w:color="auto"/>
        <w:left w:val="none" w:sz="0" w:space="0" w:color="auto"/>
        <w:bottom w:val="none" w:sz="0" w:space="0" w:color="auto"/>
        <w:right w:val="none" w:sz="0" w:space="0" w:color="auto"/>
      </w:divBdr>
    </w:div>
    <w:div w:id="1722167188">
      <w:bodyDiv w:val="1"/>
      <w:marLeft w:val="0"/>
      <w:marRight w:val="0"/>
      <w:marTop w:val="0"/>
      <w:marBottom w:val="0"/>
      <w:divBdr>
        <w:top w:val="none" w:sz="0" w:space="0" w:color="auto"/>
        <w:left w:val="none" w:sz="0" w:space="0" w:color="auto"/>
        <w:bottom w:val="none" w:sz="0" w:space="0" w:color="auto"/>
        <w:right w:val="none" w:sz="0" w:space="0" w:color="auto"/>
      </w:divBdr>
    </w:div>
    <w:div w:id="1760370541">
      <w:bodyDiv w:val="1"/>
      <w:marLeft w:val="0"/>
      <w:marRight w:val="0"/>
      <w:marTop w:val="0"/>
      <w:marBottom w:val="0"/>
      <w:divBdr>
        <w:top w:val="none" w:sz="0" w:space="0" w:color="auto"/>
        <w:left w:val="none" w:sz="0" w:space="0" w:color="auto"/>
        <w:bottom w:val="none" w:sz="0" w:space="0" w:color="auto"/>
        <w:right w:val="none" w:sz="0" w:space="0" w:color="auto"/>
      </w:divBdr>
    </w:div>
    <w:div w:id="2038501039">
      <w:bodyDiv w:val="1"/>
      <w:marLeft w:val="0"/>
      <w:marRight w:val="0"/>
      <w:marTop w:val="0"/>
      <w:marBottom w:val="0"/>
      <w:divBdr>
        <w:top w:val="none" w:sz="0" w:space="0" w:color="auto"/>
        <w:left w:val="none" w:sz="0" w:space="0" w:color="auto"/>
        <w:bottom w:val="none" w:sz="0" w:space="0" w:color="auto"/>
        <w:right w:val="none" w:sz="0" w:space="0" w:color="auto"/>
      </w:divBdr>
    </w:div>
    <w:div w:id="2064525103">
      <w:bodyDiv w:val="1"/>
      <w:marLeft w:val="0"/>
      <w:marRight w:val="0"/>
      <w:marTop w:val="0"/>
      <w:marBottom w:val="0"/>
      <w:divBdr>
        <w:top w:val="none" w:sz="0" w:space="0" w:color="auto"/>
        <w:left w:val="none" w:sz="0" w:space="0" w:color="auto"/>
        <w:bottom w:val="none" w:sz="0" w:space="0" w:color="auto"/>
        <w:right w:val="none" w:sz="0" w:space="0" w:color="auto"/>
      </w:divBdr>
    </w:div>
    <w:div w:id="207311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ad.sigov.si\DAT\MKGP\UVH_SZDZ\66_ZA&#352;&#268;ITA\&#381;ivali%20v%20postopkih\PORO&#268;ANJE\2023\SPLET\poro&#269;ilo%20za%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d.sigov.si\DAT\MKGP\UVH_SZDZ\66_ZA&#352;&#268;ITA\&#381;ivali%20v%20postopkih\PORO&#268;ANJE\2023\SPLET\poro&#269;ilo%20za%20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d.sigov.si\DAT\MKGP\UVH_SZDZ\66_ZA&#352;&#268;ITA\&#381;ivali%20v%20postopkih\PORO&#268;ANJE\2023\SPLET\poro&#269;ilo%20za%20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d.sigov.si\DAT\MKGP\UVH_SZDZ\66_ZA&#352;&#268;ITA\&#381;ivali%20v%20postopkih\PORO&#268;ANJE\2023\SPLET\poro&#269;ilo%20za%20202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sl-SI" b="1"/>
              <a:t>Uporaba živali glede na namen (2017 - 2022)</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v>2017</c:v>
          </c:tx>
          <c:spPr>
            <a:solidFill>
              <a:schemeClr val="accent1"/>
            </a:solidFill>
            <a:ln>
              <a:noFill/>
            </a:ln>
            <a:effectLst/>
          </c:spPr>
          <c:invertIfNegative val="0"/>
          <c:cat>
            <c:strRef>
              <c:f>List2!$A$2:$A$7</c:f>
              <c:strCache>
                <c:ptCount val="6"/>
                <c:pt idx="0">
                  <c:v>Temeljne raziskave</c:v>
                </c:pt>
                <c:pt idx="1">
                  <c:v>Translacijske in uporabne raziskave</c:v>
                </c:pt>
                <c:pt idx="2">
                  <c:v>Regulativna uporaba in rutinska proizvodnja</c:v>
                </c:pt>
                <c:pt idx="3">
                  <c:v>Zaščita naravnega okolja v korist zdravja ali dobrobiti ljudi ali živali</c:v>
                </c:pt>
                <c:pt idx="4">
                  <c:v>Ohranjanje vrst</c:v>
                </c:pt>
                <c:pt idx="5">
                  <c:v>Visokošolsko izobraževanje ali usposabljanje</c:v>
                </c:pt>
              </c:strCache>
              <c:extLst/>
            </c:strRef>
          </c:cat>
          <c:val>
            <c:numRef>
              <c:f>List2!$B$2:$B$7</c:f>
              <c:numCache>
                <c:formatCode>#,##0</c:formatCode>
                <c:ptCount val="6"/>
                <c:pt idx="0">
                  <c:v>1035</c:v>
                </c:pt>
                <c:pt idx="1">
                  <c:v>1731</c:v>
                </c:pt>
                <c:pt idx="2">
                  <c:v>2183</c:v>
                </c:pt>
                <c:pt idx="3" formatCode="General">
                  <c:v>16</c:v>
                </c:pt>
                <c:pt idx="4" formatCode="General">
                  <c:v>0</c:v>
                </c:pt>
                <c:pt idx="5" formatCode="General">
                  <c:v>122</c:v>
                </c:pt>
              </c:numCache>
              <c:extLst/>
            </c:numRef>
          </c:val>
          <c:extLst>
            <c:ext xmlns:c16="http://schemas.microsoft.com/office/drawing/2014/chart" uri="{C3380CC4-5D6E-409C-BE32-E72D297353CC}">
              <c16:uniqueId val="{00000000-74E8-4707-9C48-ED5D66421A1D}"/>
            </c:ext>
          </c:extLst>
        </c:ser>
        <c:ser>
          <c:idx val="1"/>
          <c:order val="1"/>
          <c:tx>
            <c:v>2018</c:v>
          </c:tx>
          <c:spPr>
            <a:solidFill>
              <a:schemeClr val="accent2"/>
            </a:solidFill>
            <a:ln>
              <a:noFill/>
            </a:ln>
            <a:effectLst/>
          </c:spPr>
          <c:invertIfNegative val="0"/>
          <c:cat>
            <c:strRef>
              <c:f>List2!$A$2:$A$7</c:f>
              <c:strCache>
                <c:ptCount val="6"/>
                <c:pt idx="0">
                  <c:v>Temeljne raziskave</c:v>
                </c:pt>
                <c:pt idx="1">
                  <c:v>Translacijske in uporabne raziskave</c:v>
                </c:pt>
                <c:pt idx="2">
                  <c:v>Regulativna uporaba in rutinska proizvodnja</c:v>
                </c:pt>
                <c:pt idx="3">
                  <c:v>Zaščita naravnega okolja v korist zdravja ali dobrobiti ljudi ali živali</c:v>
                </c:pt>
                <c:pt idx="4">
                  <c:v>Ohranjanje vrst</c:v>
                </c:pt>
                <c:pt idx="5">
                  <c:v>Visokošolsko izobraževanje ali usposabljanje</c:v>
                </c:pt>
              </c:strCache>
              <c:extLst/>
            </c:strRef>
          </c:cat>
          <c:val>
            <c:numRef>
              <c:f>List2!$C$2:$C$7</c:f>
              <c:numCache>
                <c:formatCode>#,##0</c:formatCode>
                <c:ptCount val="6"/>
                <c:pt idx="0">
                  <c:v>1069</c:v>
                </c:pt>
                <c:pt idx="1">
                  <c:v>1832</c:v>
                </c:pt>
                <c:pt idx="2">
                  <c:v>1982</c:v>
                </c:pt>
                <c:pt idx="3" formatCode="General">
                  <c:v>0</c:v>
                </c:pt>
                <c:pt idx="4" formatCode="General">
                  <c:v>115</c:v>
                </c:pt>
                <c:pt idx="5" formatCode="General">
                  <c:v>106</c:v>
                </c:pt>
              </c:numCache>
              <c:extLst/>
            </c:numRef>
          </c:val>
          <c:extLst>
            <c:ext xmlns:c16="http://schemas.microsoft.com/office/drawing/2014/chart" uri="{C3380CC4-5D6E-409C-BE32-E72D297353CC}">
              <c16:uniqueId val="{00000001-74E8-4707-9C48-ED5D66421A1D}"/>
            </c:ext>
          </c:extLst>
        </c:ser>
        <c:ser>
          <c:idx val="2"/>
          <c:order val="2"/>
          <c:tx>
            <c:v>2019</c:v>
          </c:tx>
          <c:spPr>
            <a:solidFill>
              <a:schemeClr val="accent3"/>
            </a:solidFill>
            <a:ln>
              <a:noFill/>
            </a:ln>
            <a:effectLst/>
          </c:spPr>
          <c:invertIfNegative val="0"/>
          <c:cat>
            <c:strRef>
              <c:f>List2!$A$2:$A$7</c:f>
              <c:strCache>
                <c:ptCount val="6"/>
                <c:pt idx="0">
                  <c:v>Temeljne raziskave</c:v>
                </c:pt>
                <c:pt idx="1">
                  <c:v>Translacijske in uporabne raziskave</c:v>
                </c:pt>
                <c:pt idx="2">
                  <c:v>Regulativna uporaba in rutinska proizvodnja</c:v>
                </c:pt>
                <c:pt idx="3">
                  <c:v>Zaščita naravnega okolja v korist zdravja ali dobrobiti ljudi ali živali</c:v>
                </c:pt>
                <c:pt idx="4">
                  <c:v>Ohranjanje vrst</c:v>
                </c:pt>
                <c:pt idx="5">
                  <c:v>Visokošolsko izobraževanje ali usposabljanje</c:v>
                </c:pt>
              </c:strCache>
              <c:extLst/>
            </c:strRef>
          </c:cat>
          <c:val>
            <c:numRef>
              <c:f>List2!$D$2:$D$7</c:f>
              <c:numCache>
                <c:formatCode>#,##0</c:formatCode>
                <c:ptCount val="6"/>
                <c:pt idx="0" formatCode="General">
                  <c:v>770</c:v>
                </c:pt>
                <c:pt idx="1">
                  <c:v>2128</c:v>
                </c:pt>
                <c:pt idx="2">
                  <c:v>2268</c:v>
                </c:pt>
                <c:pt idx="3" formatCode="General">
                  <c:v>0</c:v>
                </c:pt>
                <c:pt idx="4" formatCode="General">
                  <c:v>80</c:v>
                </c:pt>
                <c:pt idx="5" formatCode="General">
                  <c:v>65</c:v>
                </c:pt>
              </c:numCache>
              <c:extLst/>
            </c:numRef>
          </c:val>
          <c:extLst>
            <c:ext xmlns:c16="http://schemas.microsoft.com/office/drawing/2014/chart" uri="{C3380CC4-5D6E-409C-BE32-E72D297353CC}">
              <c16:uniqueId val="{00000002-74E8-4707-9C48-ED5D66421A1D}"/>
            </c:ext>
          </c:extLst>
        </c:ser>
        <c:ser>
          <c:idx val="3"/>
          <c:order val="3"/>
          <c:tx>
            <c:v>2020</c:v>
          </c:tx>
          <c:spPr>
            <a:solidFill>
              <a:schemeClr val="accent4"/>
            </a:solidFill>
            <a:ln>
              <a:noFill/>
            </a:ln>
            <a:effectLst/>
          </c:spPr>
          <c:invertIfNegative val="0"/>
          <c:cat>
            <c:strRef>
              <c:f>List2!$A$2:$A$7</c:f>
              <c:strCache>
                <c:ptCount val="6"/>
                <c:pt idx="0">
                  <c:v>Temeljne raziskave</c:v>
                </c:pt>
                <c:pt idx="1">
                  <c:v>Translacijske in uporabne raziskave</c:v>
                </c:pt>
                <c:pt idx="2">
                  <c:v>Regulativna uporaba in rutinska proizvodnja</c:v>
                </c:pt>
                <c:pt idx="3">
                  <c:v>Zaščita naravnega okolja v korist zdravja ali dobrobiti ljudi ali živali</c:v>
                </c:pt>
                <c:pt idx="4">
                  <c:v>Ohranjanje vrst</c:v>
                </c:pt>
                <c:pt idx="5">
                  <c:v>Visokošolsko izobraževanje ali usposabljanje</c:v>
                </c:pt>
              </c:strCache>
              <c:extLst/>
            </c:strRef>
          </c:cat>
          <c:val>
            <c:numRef>
              <c:f>List2!$E$2:$E$7</c:f>
              <c:numCache>
                <c:formatCode>#,##0</c:formatCode>
                <c:ptCount val="6"/>
                <c:pt idx="0">
                  <c:v>1461</c:v>
                </c:pt>
                <c:pt idx="1">
                  <c:v>2648</c:v>
                </c:pt>
                <c:pt idx="2">
                  <c:v>1677</c:v>
                </c:pt>
                <c:pt idx="3" formatCode="General">
                  <c:v>0</c:v>
                </c:pt>
                <c:pt idx="4" formatCode="General">
                  <c:v>0</c:v>
                </c:pt>
                <c:pt idx="5" formatCode="General">
                  <c:v>10</c:v>
                </c:pt>
              </c:numCache>
              <c:extLst/>
            </c:numRef>
          </c:val>
          <c:extLst>
            <c:ext xmlns:c16="http://schemas.microsoft.com/office/drawing/2014/chart" uri="{C3380CC4-5D6E-409C-BE32-E72D297353CC}">
              <c16:uniqueId val="{00000003-74E8-4707-9C48-ED5D66421A1D}"/>
            </c:ext>
          </c:extLst>
        </c:ser>
        <c:ser>
          <c:idx val="4"/>
          <c:order val="4"/>
          <c:tx>
            <c:v>2021</c:v>
          </c:tx>
          <c:spPr>
            <a:solidFill>
              <a:schemeClr val="accent5"/>
            </a:solidFill>
            <a:ln>
              <a:noFill/>
            </a:ln>
            <a:effectLst/>
          </c:spPr>
          <c:invertIfNegative val="0"/>
          <c:cat>
            <c:strRef>
              <c:f>List2!$A$2:$A$7</c:f>
              <c:strCache>
                <c:ptCount val="6"/>
                <c:pt idx="0">
                  <c:v>Temeljne raziskave</c:v>
                </c:pt>
                <c:pt idx="1">
                  <c:v>Translacijske in uporabne raziskave</c:v>
                </c:pt>
                <c:pt idx="2">
                  <c:v>Regulativna uporaba in rutinska proizvodnja</c:v>
                </c:pt>
                <c:pt idx="3">
                  <c:v>Zaščita naravnega okolja v korist zdravja ali dobrobiti ljudi ali živali</c:v>
                </c:pt>
                <c:pt idx="4">
                  <c:v>Ohranjanje vrst</c:v>
                </c:pt>
                <c:pt idx="5">
                  <c:v>Visokošolsko izobraževanje ali usposabljanje</c:v>
                </c:pt>
              </c:strCache>
              <c:extLst/>
            </c:strRef>
          </c:cat>
          <c:val>
            <c:numRef>
              <c:f>List2!$F$2:$F$7</c:f>
              <c:numCache>
                <c:formatCode>#,##0</c:formatCode>
                <c:ptCount val="6"/>
                <c:pt idx="0" formatCode="General">
                  <c:v>829</c:v>
                </c:pt>
                <c:pt idx="1">
                  <c:v>2664</c:v>
                </c:pt>
                <c:pt idx="2">
                  <c:v>2162</c:v>
                </c:pt>
                <c:pt idx="3" formatCode="General">
                  <c:v>62</c:v>
                </c:pt>
                <c:pt idx="4" formatCode="General">
                  <c:v>0</c:v>
                </c:pt>
                <c:pt idx="5" formatCode="General">
                  <c:v>100</c:v>
                </c:pt>
              </c:numCache>
              <c:extLst/>
            </c:numRef>
          </c:val>
          <c:extLst>
            <c:ext xmlns:c16="http://schemas.microsoft.com/office/drawing/2014/chart" uri="{C3380CC4-5D6E-409C-BE32-E72D297353CC}">
              <c16:uniqueId val="{00000004-74E8-4707-9C48-ED5D66421A1D}"/>
            </c:ext>
          </c:extLst>
        </c:ser>
        <c:ser>
          <c:idx val="5"/>
          <c:order val="5"/>
          <c:tx>
            <c:v>2022</c:v>
          </c:tx>
          <c:spPr>
            <a:solidFill>
              <a:schemeClr val="accent6"/>
            </a:solidFill>
            <a:ln>
              <a:noFill/>
            </a:ln>
            <a:effectLst/>
          </c:spPr>
          <c:invertIfNegative val="0"/>
          <c:cat>
            <c:strRef>
              <c:f>List2!$A$2:$A$7</c:f>
              <c:strCache>
                <c:ptCount val="6"/>
                <c:pt idx="0">
                  <c:v>Temeljne raziskave</c:v>
                </c:pt>
                <c:pt idx="1">
                  <c:v>Translacijske in uporabne raziskave</c:v>
                </c:pt>
                <c:pt idx="2">
                  <c:v>Regulativna uporaba in rutinska proizvodnja</c:v>
                </c:pt>
                <c:pt idx="3">
                  <c:v>Zaščita naravnega okolja v korist zdravja ali dobrobiti ljudi ali živali</c:v>
                </c:pt>
                <c:pt idx="4">
                  <c:v>Ohranjanje vrst</c:v>
                </c:pt>
                <c:pt idx="5">
                  <c:v>Visokošolsko izobraževanje ali usposabljanje</c:v>
                </c:pt>
              </c:strCache>
              <c:extLst/>
            </c:strRef>
          </c:cat>
          <c:val>
            <c:numRef>
              <c:f>List2!$G$2:$G$7</c:f>
              <c:numCache>
                <c:formatCode>#,##0</c:formatCode>
                <c:ptCount val="6"/>
                <c:pt idx="0">
                  <c:v>1605</c:v>
                </c:pt>
                <c:pt idx="1">
                  <c:v>2557</c:v>
                </c:pt>
                <c:pt idx="2">
                  <c:v>2191</c:v>
                </c:pt>
                <c:pt idx="3" formatCode="General">
                  <c:v>0</c:v>
                </c:pt>
                <c:pt idx="4" formatCode="General">
                  <c:v>0</c:v>
                </c:pt>
                <c:pt idx="5" formatCode="General">
                  <c:v>84</c:v>
                </c:pt>
              </c:numCache>
              <c:extLst/>
            </c:numRef>
          </c:val>
          <c:extLst>
            <c:ext xmlns:c16="http://schemas.microsoft.com/office/drawing/2014/chart" uri="{C3380CC4-5D6E-409C-BE32-E72D297353CC}">
              <c16:uniqueId val="{00000005-74E8-4707-9C48-ED5D66421A1D}"/>
            </c:ext>
          </c:extLst>
        </c:ser>
        <c:dLbls>
          <c:showLegendKey val="0"/>
          <c:showVal val="0"/>
          <c:showCatName val="0"/>
          <c:showSerName val="0"/>
          <c:showPercent val="0"/>
          <c:showBubbleSize val="0"/>
        </c:dLbls>
        <c:gapWidth val="219"/>
        <c:overlap val="-27"/>
        <c:axId val="1870774976"/>
        <c:axId val="1870775808"/>
      </c:barChart>
      <c:catAx>
        <c:axId val="187077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sl-SI"/>
          </a:p>
        </c:txPr>
        <c:crossAx val="1870775808"/>
        <c:crosses val="autoZero"/>
        <c:auto val="1"/>
        <c:lblAlgn val="ctr"/>
        <c:lblOffset val="100"/>
        <c:noMultiLvlLbl val="0"/>
      </c:catAx>
      <c:valAx>
        <c:axId val="1870775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8707749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Težavnost postopkov na živalih v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List2!$A$31</c:f>
              <c:strCache>
                <c:ptCount val="1"/>
                <c:pt idx="0">
                  <c:v>Nepovraten postopek</c:v>
                </c:pt>
              </c:strCache>
            </c:strRef>
          </c:tx>
          <c:spPr>
            <a:ln w="28575" cap="rnd">
              <a:solidFill>
                <a:schemeClr val="accent1"/>
              </a:solidFill>
              <a:round/>
            </a:ln>
            <a:effectLst/>
          </c:spPr>
          <c:marker>
            <c:symbol val="none"/>
          </c:marker>
          <c:cat>
            <c:numRef>
              <c:f>List2!$B$30:$G$30</c:f>
              <c:numCache>
                <c:formatCode>General</c:formatCode>
                <c:ptCount val="6"/>
                <c:pt idx="0">
                  <c:v>2017</c:v>
                </c:pt>
                <c:pt idx="1">
                  <c:v>2018</c:v>
                </c:pt>
                <c:pt idx="2">
                  <c:v>2019</c:v>
                </c:pt>
                <c:pt idx="3">
                  <c:v>2020</c:v>
                </c:pt>
                <c:pt idx="4">
                  <c:v>2021</c:v>
                </c:pt>
                <c:pt idx="5">
                  <c:v>2022</c:v>
                </c:pt>
              </c:numCache>
            </c:numRef>
          </c:cat>
          <c:val>
            <c:numRef>
              <c:f>List2!$B$31:$G$31</c:f>
              <c:numCache>
                <c:formatCode>General</c:formatCode>
                <c:ptCount val="6"/>
                <c:pt idx="0">
                  <c:v>0.86</c:v>
                </c:pt>
                <c:pt idx="1">
                  <c:v>0.63</c:v>
                </c:pt>
                <c:pt idx="2">
                  <c:v>0.75</c:v>
                </c:pt>
                <c:pt idx="3">
                  <c:v>0.41</c:v>
                </c:pt>
                <c:pt idx="4">
                  <c:v>0.53</c:v>
                </c:pt>
                <c:pt idx="5" formatCode="0.00">
                  <c:v>1.0900000000000001</c:v>
                </c:pt>
              </c:numCache>
            </c:numRef>
          </c:val>
          <c:smooth val="0"/>
          <c:extLst>
            <c:ext xmlns:c16="http://schemas.microsoft.com/office/drawing/2014/chart" uri="{C3380CC4-5D6E-409C-BE32-E72D297353CC}">
              <c16:uniqueId val="{00000000-88D8-404C-87D4-2E321CD73EF0}"/>
            </c:ext>
          </c:extLst>
        </c:ser>
        <c:ser>
          <c:idx val="1"/>
          <c:order val="1"/>
          <c:tx>
            <c:strRef>
              <c:f>List2!$A$32</c:f>
              <c:strCache>
                <c:ptCount val="1"/>
                <c:pt idx="0">
                  <c:v>Blaga</c:v>
                </c:pt>
              </c:strCache>
            </c:strRef>
          </c:tx>
          <c:spPr>
            <a:ln w="28575" cap="rnd">
              <a:solidFill>
                <a:schemeClr val="accent2"/>
              </a:solidFill>
              <a:round/>
            </a:ln>
            <a:effectLst/>
          </c:spPr>
          <c:marker>
            <c:symbol val="none"/>
          </c:marker>
          <c:cat>
            <c:numRef>
              <c:f>List2!$B$30:$G$30</c:f>
              <c:numCache>
                <c:formatCode>General</c:formatCode>
                <c:ptCount val="6"/>
                <c:pt idx="0">
                  <c:v>2017</c:v>
                </c:pt>
                <c:pt idx="1">
                  <c:v>2018</c:v>
                </c:pt>
                <c:pt idx="2">
                  <c:v>2019</c:v>
                </c:pt>
                <c:pt idx="3">
                  <c:v>2020</c:v>
                </c:pt>
                <c:pt idx="4">
                  <c:v>2021</c:v>
                </c:pt>
                <c:pt idx="5">
                  <c:v>2022</c:v>
                </c:pt>
              </c:numCache>
            </c:numRef>
          </c:cat>
          <c:val>
            <c:numRef>
              <c:f>List2!$B$32:$G$32</c:f>
              <c:numCache>
                <c:formatCode>General</c:formatCode>
                <c:ptCount val="6"/>
                <c:pt idx="0">
                  <c:v>84.86</c:v>
                </c:pt>
                <c:pt idx="1">
                  <c:v>87.38</c:v>
                </c:pt>
                <c:pt idx="2">
                  <c:v>88.82</c:v>
                </c:pt>
                <c:pt idx="3">
                  <c:v>75.69</c:v>
                </c:pt>
                <c:pt idx="4">
                  <c:v>70.81</c:v>
                </c:pt>
                <c:pt idx="5">
                  <c:v>83.21</c:v>
                </c:pt>
              </c:numCache>
            </c:numRef>
          </c:val>
          <c:smooth val="0"/>
          <c:extLst>
            <c:ext xmlns:c16="http://schemas.microsoft.com/office/drawing/2014/chart" uri="{C3380CC4-5D6E-409C-BE32-E72D297353CC}">
              <c16:uniqueId val="{00000001-88D8-404C-87D4-2E321CD73EF0}"/>
            </c:ext>
          </c:extLst>
        </c:ser>
        <c:ser>
          <c:idx val="2"/>
          <c:order val="2"/>
          <c:tx>
            <c:strRef>
              <c:f>List2!$A$33</c:f>
              <c:strCache>
                <c:ptCount val="1"/>
                <c:pt idx="0">
                  <c:v>Zmerna </c:v>
                </c:pt>
              </c:strCache>
            </c:strRef>
          </c:tx>
          <c:spPr>
            <a:ln w="28575" cap="rnd">
              <a:solidFill>
                <a:schemeClr val="accent3"/>
              </a:solidFill>
              <a:round/>
            </a:ln>
            <a:effectLst/>
          </c:spPr>
          <c:marker>
            <c:symbol val="none"/>
          </c:marker>
          <c:cat>
            <c:numRef>
              <c:f>List2!$B$30:$G$30</c:f>
              <c:numCache>
                <c:formatCode>General</c:formatCode>
                <c:ptCount val="6"/>
                <c:pt idx="0">
                  <c:v>2017</c:v>
                </c:pt>
                <c:pt idx="1">
                  <c:v>2018</c:v>
                </c:pt>
                <c:pt idx="2">
                  <c:v>2019</c:v>
                </c:pt>
                <c:pt idx="3">
                  <c:v>2020</c:v>
                </c:pt>
                <c:pt idx="4">
                  <c:v>2021</c:v>
                </c:pt>
                <c:pt idx="5">
                  <c:v>2022</c:v>
                </c:pt>
              </c:numCache>
            </c:numRef>
          </c:cat>
          <c:val>
            <c:numRef>
              <c:f>List2!$B$33:$G$33</c:f>
              <c:numCache>
                <c:formatCode>0.00</c:formatCode>
                <c:ptCount val="6"/>
                <c:pt idx="0">
                  <c:v>12.52</c:v>
                </c:pt>
                <c:pt idx="1">
                  <c:v>11.89</c:v>
                </c:pt>
                <c:pt idx="2">
                  <c:v>9.36</c:v>
                </c:pt>
                <c:pt idx="3">
                  <c:v>23.65</c:v>
                </c:pt>
                <c:pt idx="4">
                  <c:v>28.12</c:v>
                </c:pt>
                <c:pt idx="5">
                  <c:v>14.71</c:v>
                </c:pt>
              </c:numCache>
            </c:numRef>
          </c:val>
          <c:smooth val="0"/>
          <c:extLst>
            <c:ext xmlns:c16="http://schemas.microsoft.com/office/drawing/2014/chart" uri="{C3380CC4-5D6E-409C-BE32-E72D297353CC}">
              <c16:uniqueId val="{00000002-88D8-404C-87D4-2E321CD73EF0}"/>
            </c:ext>
          </c:extLst>
        </c:ser>
        <c:ser>
          <c:idx val="3"/>
          <c:order val="3"/>
          <c:tx>
            <c:strRef>
              <c:f>List2!$A$34</c:f>
              <c:strCache>
                <c:ptCount val="1"/>
                <c:pt idx="0">
                  <c:v>Težavna</c:v>
                </c:pt>
              </c:strCache>
            </c:strRef>
          </c:tx>
          <c:spPr>
            <a:ln w="28575" cap="rnd">
              <a:solidFill>
                <a:schemeClr val="accent4"/>
              </a:solidFill>
              <a:round/>
            </a:ln>
            <a:effectLst/>
          </c:spPr>
          <c:marker>
            <c:symbol val="none"/>
          </c:marker>
          <c:cat>
            <c:numRef>
              <c:f>List2!$B$30:$G$30</c:f>
              <c:numCache>
                <c:formatCode>General</c:formatCode>
                <c:ptCount val="6"/>
                <c:pt idx="0">
                  <c:v>2017</c:v>
                </c:pt>
                <c:pt idx="1">
                  <c:v>2018</c:v>
                </c:pt>
                <c:pt idx="2">
                  <c:v>2019</c:v>
                </c:pt>
                <c:pt idx="3">
                  <c:v>2020</c:v>
                </c:pt>
                <c:pt idx="4">
                  <c:v>2021</c:v>
                </c:pt>
                <c:pt idx="5">
                  <c:v>2022</c:v>
                </c:pt>
              </c:numCache>
            </c:numRef>
          </c:cat>
          <c:val>
            <c:numRef>
              <c:f>List2!$B$34:$G$34</c:f>
              <c:numCache>
                <c:formatCode>0.00</c:formatCode>
                <c:ptCount val="6"/>
                <c:pt idx="0">
                  <c:v>1.75</c:v>
                </c:pt>
                <c:pt idx="1">
                  <c:v>0.1</c:v>
                </c:pt>
                <c:pt idx="2">
                  <c:v>1.07</c:v>
                </c:pt>
                <c:pt idx="3">
                  <c:v>0.24</c:v>
                </c:pt>
                <c:pt idx="4">
                  <c:v>0.53</c:v>
                </c:pt>
                <c:pt idx="5">
                  <c:v>0.99</c:v>
                </c:pt>
              </c:numCache>
            </c:numRef>
          </c:val>
          <c:smooth val="0"/>
          <c:extLst>
            <c:ext xmlns:c16="http://schemas.microsoft.com/office/drawing/2014/chart" uri="{C3380CC4-5D6E-409C-BE32-E72D297353CC}">
              <c16:uniqueId val="{00000003-88D8-404C-87D4-2E321CD73EF0}"/>
            </c:ext>
          </c:extLst>
        </c:ser>
        <c:dLbls>
          <c:showLegendKey val="0"/>
          <c:showVal val="0"/>
          <c:showCatName val="0"/>
          <c:showSerName val="0"/>
          <c:showPercent val="0"/>
          <c:showBubbleSize val="0"/>
        </c:dLbls>
        <c:smooth val="0"/>
        <c:axId val="1066019599"/>
        <c:axId val="1066010447"/>
      </c:lineChart>
      <c:catAx>
        <c:axId val="1066019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066010447"/>
        <c:crosses val="autoZero"/>
        <c:auto val="1"/>
        <c:lblAlgn val="ctr"/>
        <c:lblOffset val="100"/>
        <c:noMultiLvlLbl val="0"/>
      </c:catAx>
      <c:valAx>
        <c:axId val="1066010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066019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pivotSource>
    <c:name>[poročilo za 2022.xlsx]List6!Vrtilna tabela3</c:name>
    <c:fmtId val="9"/>
  </c:pivotSource>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sl-SI" b="1"/>
              <a:t>Težavnost</a:t>
            </a:r>
            <a:r>
              <a:rPr lang="sl-SI" b="1" baseline="0"/>
              <a:t> postopkov glede na namen uporabe v letu 2022</a:t>
            </a:r>
            <a:endParaRPr lang="sl-SI" b="1"/>
          </a:p>
        </c:rich>
      </c:tx>
      <c:layout>
        <c:manualLayout>
          <c:xMode val="edge"/>
          <c:yMode val="edge"/>
          <c:x val="0.2324895986756875"/>
          <c:y val="4.3148535004553006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sl-SI"/>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List6!$B$3:$B$4</c:f>
              <c:strCache>
                <c:ptCount val="1"/>
                <c:pt idx="0">
                  <c:v>Regulatorna uporaba in rutinska proizvodnja</c:v>
                </c:pt>
              </c:strCache>
            </c:strRef>
          </c:tx>
          <c:spPr>
            <a:solidFill>
              <a:schemeClr val="accent1"/>
            </a:solidFill>
            <a:ln>
              <a:noFill/>
            </a:ln>
            <a:effectLst/>
          </c:spPr>
          <c:invertIfNegative val="0"/>
          <c:cat>
            <c:strRef>
              <c:f>List6!$A$5:$A$9</c:f>
              <c:strCache>
                <c:ptCount val="4"/>
                <c:pt idx="0">
                  <c:v>[SV1] Nepovratna</c:v>
                </c:pt>
                <c:pt idx="1">
                  <c:v>[SV2] Blaga [do in vključno z]</c:v>
                </c:pt>
                <c:pt idx="2">
                  <c:v>[SV3] Zmerna</c:v>
                </c:pt>
                <c:pt idx="3">
                  <c:v>[SV4] Težavna</c:v>
                </c:pt>
              </c:strCache>
            </c:strRef>
          </c:cat>
          <c:val>
            <c:numRef>
              <c:f>List6!$B$5:$B$9</c:f>
              <c:numCache>
                <c:formatCode>General</c:formatCode>
                <c:ptCount val="4"/>
                <c:pt idx="1">
                  <c:v>2118</c:v>
                </c:pt>
                <c:pt idx="2">
                  <c:v>73</c:v>
                </c:pt>
              </c:numCache>
            </c:numRef>
          </c:val>
          <c:extLst>
            <c:ext xmlns:c16="http://schemas.microsoft.com/office/drawing/2014/chart" uri="{C3380CC4-5D6E-409C-BE32-E72D297353CC}">
              <c16:uniqueId val="{00000000-F01F-42F8-883D-13E369A405B5}"/>
            </c:ext>
          </c:extLst>
        </c:ser>
        <c:ser>
          <c:idx val="1"/>
          <c:order val="1"/>
          <c:tx>
            <c:strRef>
              <c:f>List6!$C$3:$C$4</c:f>
              <c:strCache>
                <c:ptCount val="1"/>
                <c:pt idx="0">
                  <c:v>Temeljne raziskave</c:v>
                </c:pt>
              </c:strCache>
            </c:strRef>
          </c:tx>
          <c:spPr>
            <a:solidFill>
              <a:schemeClr val="accent2"/>
            </a:solidFill>
            <a:ln>
              <a:noFill/>
            </a:ln>
            <a:effectLst/>
          </c:spPr>
          <c:invertIfNegative val="0"/>
          <c:cat>
            <c:strRef>
              <c:f>List6!$A$5:$A$9</c:f>
              <c:strCache>
                <c:ptCount val="4"/>
                <c:pt idx="0">
                  <c:v>[SV1] Nepovratna</c:v>
                </c:pt>
                <c:pt idx="1">
                  <c:v>[SV2] Blaga [do in vključno z]</c:v>
                </c:pt>
                <c:pt idx="2">
                  <c:v>[SV3] Zmerna</c:v>
                </c:pt>
                <c:pt idx="3">
                  <c:v>[SV4] Težavna</c:v>
                </c:pt>
              </c:strCache>
            </c:strRef>
          </c:cat>
          <c:val>
            <c:numRef>
              <c:f>List6!$C$5:$C$9</c:f>
              <c:numCache>
                <c:formatCode>General</c:formatCode>
                <c:ptCount val="4"/>
                <c:pt idx="0">
                  <c:v>70</c:v>
                </c:pt>
                <c:pt idx="1">
                  <c:v>1134</c:v>
                </c:pt>
                <c:pt idx="2">
                  <c:v>450</c:v>
                </c:pt>
                <c:pt idx="3">
                  <c:v>37</c:v>
                </c:pt>
              </c:numCache>
            </c:numRef>
          </c:val>
          <c:extLst>
            <c:ext xmlns:c16="http://schemas.microsoft.com/office/drawing/2014/chart" uri="{C3380CC4-5D6E-409C-BE32-E72D297353CC}">
              <c16:uniqueId val="{00000005-F01F-42F8-883D-13E369A405B5}"/>
            </c:ext>
          </c:extLst>
        </c:ser>
        <c:ser>
          <c:idx val="2"/>
          <c:order val="2"/>
          <c:tx>
            <c:strRef>
              <c:f>List6!$D$3:$D$4</c:f>
              <c:strCache>
                <c:ptCount val="1"/>
                <c:pt idx="0">
                  <c:v>Translacijske in uporabne raziskave</c:v>
                </c:pt>
              </c:strCache>
            </c:strRef>
          </c:tx>
          <c:spPr>
            <a:solidFill>
              <a:schemeClr val="accent3"/>
            </a:solidFill>
            <a:ln>
              <a:noFill/>
            </a:ln>
            <a:effectLst/>
          </c:spPr>
          <c:invertIfNegative val="0"/>
          <c:cat>
            <c:strRef>
              <c:f>List6!$A$5:$A$9</c:f>
              <c:strCache>
                <c:ptCount val="4"/>
                <c:pt idx="0">
                  <c:v>[SV1] Nepovratna</c:v>
                </c:pt>
                <c:pt idx="1">
                  <c:v>[SV2] Blaga [do in vključno z]</c:v>
                </c:pt>
                <c:pt idx="2">
                  <c:v>[SV3] Zmerna</c:v>
                </c:pt>
                <c:pt idx="3">
                  <c:v>[SV4] Težavna</c:v>
                </c:pt>
              </c:strCache>
            </c:strRef>
          </c:cat>
          <c:val>
            <c:numRef>
              <c:f>List6!$D$5:$D$9</c:f>
              <c:numCache>
                <c:formatCode>General</c:formatCode>
                <c:ptCount val="4"/>
                <c:pt idx="1">
                  <c:v>2062</c:v>
                </c:pt>
                <c:pt idx="2">
                  <c:v>468</c:v>
                </c:pt>
                <c:pt idx="3">
                  <c:v>27</c:v>
                </c:pt>
              </c:numCache>
            </c:numRef>
          </c:val>
          <c:extLst>
            <c:ext xmlns:c16="http://schemas.microsoft.com/office/drawing/2014/chart" uri="{C3380CC4-5D6E-409C-BE32-E72D297353CC}">
              <c16:uniqueId val="{00000006-F01F-42F8-883D-13E369A405B5}"/>
            </c:ext>
          </c:extLst>
        </c:ser>
        <c:ser>
          <c:idx val="3"/>
          <c:order val="3"/>
          <c:tx>
            <c:strRef>
              <c:f>List6!$E$3:$E$4</c:f>
              <c:strCache>
                <c:ptCount val="1"/>
                <c:pt idx="0">
                  <c:v>Visokošolsko izobraževanje ali usposabljanje</c:v>
                </c:pt>
              </c:strCache>
            </c:strRef>
          </c:tx>
          <c:spPr>
            <a:solidFill>
              <a:schemeClr val="accent4"/>
            </a:solidFill>
            <a:ln>
              <a:noFill/>
            </a:ln>
            <a:effectLst/>
          </c:spPr>
          <c:invertIfNegative val="0"/>
          <c:cat>
            <c:strRef>
              <c:f>List6!$A$5:$A$9</c:f>
              <c:strCache>
                <c:ptCount val="4"/>
                <c:pt idx="0">
                  <c:v>[SV1] Nepovratna</c:v>
                </c:pt>
                <c:pt idx="1">
                  <c:v>[SV2] Blaga [do in vključno z]</c:v>
                </c:pt>
                <c:pt idx="2">
                  <c:v>[SV3] Zmerna</c:v>
                </c:pt>
                <c:pt idx="3">
                  <c:v>[SV4] Težavna</c:v>
                </c:pt>
              </c:strCache>
            </c:strRef>
          </c:cat>
          <c:val>
            <c:numRef>
              <c:f>List6!$E$5:$E$9</c:f>
              <c:numCache>
                <c:formatCode>General</c:formatCode>
                <c:ptCount val="4"/>
                <c:pt idx="1">
                  <c:v>84</c:v>
                </c:pt>
              </c:numCache>
            </c:numRef>
          </c:val>
          <c:extLst>
            <c:ext xmlns:c16="http://schemas.microsoft.com/office/drawing/2014/chart" uri="{C3380CC4-5D6E-409C-BE32-E72D297353CC}">
              <c16:uniqueId val="{00000007-F01F-42F8-883D-13E369A405B5}"/>
            </c:ext>
          </c:extLst>
        </c:ser>
        <c:dLbls>
          <c:showLegendKey val="0"/>
          <c:showVal val="0"/>
          <c:showCatName val="0"/>
          <c:showSerName val="0"/>
          <c:showPercent val="0"/>
          <c:showBubbleSize val="0"/>
        </c:dLbls>
        <c:gapWidth val="219"/>
        <c:axId val="1443490847"/>
        <c:axId val="1443488767"/>
      </c:barChart>
      <c:catAx>
        <c:axId val="14434908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Težavnost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443488767"/>
        <c:crosses val="autoZero"/>
        <c:auto val="1"/>
        <c:lblAlgn val="ctr"/>
        <c:lblOffset val="100"/>
        <c:noMultiLvlLbl val="0"/>
      </c:catAx>
      <c:valAx>
        <c:axId val="14434887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Št.</a:t>
                </a:r>
                <a:r>
                  <a:rPr lang="sl-SI" baseline="0"/>
                  <a:t> živali glede na namen uporabe</a:t>
                </a:r>
                <a:endParaRPr lang="sl-SI"/>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44349084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sl-SI" sz="1200" b="1" baseline="0"/>
              <a:t>Delež uporabe gensko spremenjenih živali (2017 - 2022)</a:t>
            </a:r>
            <a:endParaRPr lang="en-US" sz="1200" b="1"/>
          </a:p>
        </c:rich>
      </c:tx>
      <c:layout>
        <c:manualLayout>
          <c:xMode val="edge"/>
          <c:yMode val="edge"/>
          <c:x val="0.10918044619422573"/>
          <c:y val="2.3148148148148147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stacked"/>
        <c:varyColors val="0"/>
        <c:ser>
          <c:idx val="0"/>
          <c:order val="0"/>
          <c:tx>
            <c:strRef>
              <c:f>List2!$I$55</c:f>
              <c:strCache>
                <c:ptCount val="1"/>
                <c:pt idx="0">
                  <c:v>Niso gensko spremenjene</c:v>
                </c:pt>
              </c:strCache>
            </c:strRef>
          </c:tx>
          <c:spPr>
            <a:solidFill>
              <a:schemeClr val="accent1"/>
            </a:solidFill>
            <a:ln>
              <a:noFill/>
            </a:ln>
            <a:effectLst/>
          </c:spPr>
          <c:invertIfNegative val="0"/>
          <c:cat>
            <c:numRef>
              <c:f>List2!$J$54:$O$54</c:f>
              <c:numCache>
                <c:formatCode>General</c:formatCode>
                <c:ptCount val="6"/>
                <c:pt idx="0">
                  <c:v>2017</c:v>
                </c:pt>
                <c:pt idx="1">
                  <c:v>2018</c:v>
                </c:pt>
                <c:pt idx="2">
                  <c:v>2019</c:v>
                </c:pt>
                <c:pt idx="3">
                  <c:v>2020</c:v>
                </c:pt>
                <c:pt idx="4">
                  <c:v>2021</c:v>
                </c:pt>
                <c:pt idx="5">
                  <c:v>2022</c:v>
                </c:pt>
              </c:numCache>
            </c:numRef>
          </c:cat>
          <c:val>
            <c:numRef>
              <c:f>List2!$J$55:$O$55</c:f>
              <c:numCache>
                <c:formatCode>0.00%</c:formatCode>
                <c:ptCount val="6"/>
                <c:pt idx="0">
                  <c:v>0.93100000000000005</c:v>
                </c:pt>
                <c:pt idx="1">
                  <c:v>0.90180000000000005</c:v>
                </c:pt>
                <c:pt idx="2">
                  <c:v>0.93149999999999999</c:v>
                </c:pt>
                <c:pt idx="3">
                  <c:v>0.89390000000000003</c:v>
                </c:pt>
                <c:pt idx="4">
                  <c:v>0.9778</c:v>
                </c:pt>
                <c:pt idx="5">
                  <c:v>0.9758</c:v>
                </c:pt>
              </c:numCache>
            </c:numRef>
          </c:val>
          <c:extLst>
            <c:ext xmlns:c16="http://schemas.microsoft.com/office/drawing/2014/chart" uri="{C3380CC4-5D6E-409C-BE32-E72D297353CC}">
              <c16:uniqueId val="{00000000-9623-4141-879F-F9F73584F0B3}"/>
            </c:ext>
          </c:extLst>
        </c:ser>
        <c:ser>
          <c:idx val="1"/>
          <c:order val="1"/>
          <c:tx>
            <c:strRef>
              <c:f>List2!$I$56</c:f>
              <c:strCache>
                <c:ptCount val="1"/>
                <c:pt idx="0">
                  <c:v>Gensko spremenjene brez škodljivega fenotipa</c:v>
                </c:pt>
              </c:strCache>
            </c:strRef>
          </c:tx>
          <c:spPr>
            <a:solidFill>
              <a:schemeClr val="accent2"/>
            </a:solidFill>
            <a:ln>
              <a:noFill/>
            </a:ln>
            <a:effectLst/>
          </c:spPr>
          <c:invertIfNegative val="0"/>
          <c:cat>
            <c:numRef>
              <c:f>List2!$J$54:$O$54</c:f>
              <c:numCache>
                <c:formatCode>General</c:formatCode>
                <c:ptCount val="6"/>
                <c:pt idx="0">
                  <c:v>2017</c:v>
                </c:pt>
                <c:pt idx="1">
                  <c:v>2018</c:v>
                </c:pt>
                <c:pt idx="2">
                  <c:v>2019</c:v>
                </c:pt>
                <c:pt idx="3">
                  <c:v>2020</c:v>
                </c:pt>
                <c:pt idx="4">
                  <c:v>2021</c:v>
                </c:pt>
                <c:pt idx="5">
                  <c:v>2022</c:v>
                </c:pt>
              </c:numCache>
            </c:numRef>
          </c:cat>
          <c:val>
            <c:numRef>
              <c:f>List2!$J$56:$O$56</c:f>
              <c:numCache>
                <c:formatCode>0.00%</c:formatCode>
                <c:ptCount val="6"/>
                <c:pt idx="0">
                  <c:v>5.6599999999999998E-2</c:v>
                </c:pt>
                <c:pt idx="1">
                  <c:v>8.0500000000000002E-2</c:v>
                </c:pt>
                <c:pt idx="2">
                  <c:v>6.1199999999999997E-2</c:v>
                </c:pt>
                <c:pt idx="3">
                  <c:v>0.1061</c:v>
                </c:pt>
                <c:pt idx="4">
                  <c:v>2.2200000000000001E-2</c:v>
                </c:pt>
                <c:pt idx="5">
                  <c:v>1.7399999999999999E-2</c:v>
                </c:pt>
              </c:numCache>
            </c:numRef>
          </c:val>
          <c:extLst>
            <c:ext xmlns:c16="http://schemas.microsoft.com/office/drawing/2014/chart" uri="{C3380CC4-5D6E-409C-BE32-E72D297353CC}">
              <c16:uniqueId val="{00000001-9623-4141-879F-F9F73584F0B3}"/>
            </c:ext>
          </c:extLst>
        </c:ser>
        <c:ser>
          <c:idx val="2"/>
          <c:order val="2"/>
          <c:tx>
            <c:strRef>
              <c:f>List2!$I$57</c:f>
              <c:strCache>
                <c:ptCount val="1"/>
                <c:pt idx="0">
                  <c:v>Gensko spremenjene s škodljivim fenotipom</c:v>
                </c:pt>
              </c:strCache>
            </c:strRef>
          </c:tx>
          <c:spPr>
            <a:solidFill>
              <a:schemeClr val="accent3"/>
            </a:solidFill>
            <a:ln>
              <a:noFill/>
            </a:ln>
            <a:effectLst/>
          </c:spPr>
          <c:invertIfNegative val="0"/>
          <c:cat>
            <c:numRef>
              <c:f>List2!$J$54:$O$54</c:f>
              <c:numCache>
                <c:formatCode>General</c:formatCode>
                <c:ptCount val="6"/>
                <c:pt idx="0">
                  <c:v>2017</c:v>
                </c:pt>
                <c:pt idx="1">
                  <c:v>2018</c:v>
                </c:pt>
                <c:pt idx="2">
                  <c:v>2019</c:v>
                </c:pt>
                <c:pt idx="3">
                  <c:v>2020</c:v>
                </c:pt>
                <c:pt idx="4">
                  <c:v>2021</c:v>
                </c:pt>
                <c:pt idx="5">
                  <c:v>2022</c:v>
                </c:pt>
              </c:numCache>
            </c:numRef>
          </c:cat>
          <c:val>
            <c:numRef>
              <c:f>List2!$J$57:$O$57</c:f>
              <c:numCache>
                <c:formatCode>0.00%</c:formatCode>
                <c:ptCount val="6"/>
                <c:pt idx="0">
                  <c:v>1.24E-2</c:v>
                </c:pt>
                <c:pt idx="1">
                  <c:v>1.7600000000000001E-2</c:v>
                </c:pt>
                <c:pt idx="2">
                  <c:v>7.3000000000000001E-3</c:v>
                </c:pt>
                <c:pt idx="3">
                  <c:v>0</c:v>
                </c:pt>
                <c:pt idx="4">
                  <c:v>0</c:v>
                </c:pt>
                <c:pt idx="5">
                  <c:v>6.7999999999999996E-3</c:v>
                </c:pt>
              </c:numCache>
            </c:numRef>
          </c:val>
          <c:extLst>
            <c:ext xmlns:c16="http://schemas.microsoft.com/office/drawing/2014/chart" uri="{C3380CC4-5D6E-409C-BE32-E72D297353CC}">
              <c16:uniqueId val="{00000002-9623-4141-879F-F9F73584F0B3}"/>
            </c:ext>
          </c:extLst>
        </c:ser>
        <c:dLbls>
          <c:showLegendKey val="0"/>
          <c:showVal val="0"/>
          <c:showCatName val="0"/>
          <c:showSerName val="0"/>
          <c:showPercent val="0"/>
          <c:showBubbleSize val="0"/>
        </c:dLbls>
        <c:gapWidth val="150"/>
        <c:overlap val="100"/>
        <c:axId val="1689700415"/>
        <c:axId val="1689699167"/>
      </c:barChart>
      <c:catAx>
        <c:axId val="1689700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689699167"/>
        <c:crosses val="autoZero"/>
        <c:auto val="1"/>
        <c:lblAlgn val="ctr"/>
        <c:lblOffset val="100"/>
        <c:noMultiLvlLbl val="0"/>
      </c:catAx>
      <c:valAx>
        <c:axId val="168969916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6897004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995</Words>
  <Characters>5672</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Arič</dc:creator>
  <cp:keywords/>
  <dc:description/>
  <cp:lastModifiedBy>Nina Pezdirec</cp:lastModifiedBy>
  <cp:revision>3</cp:revision>
  <dcterms:created xsi:type="dcterms:W3CDTF">2023-05-11T12:12:00Z</dcterms:created>
  <dcterms:modified xsi:type="dcterms:W3CDTF">2023-05-11T12:17:00Z</dcterms:modified>
</cp:coreProperties>
</file>