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0CDB4" w14:textId="0E605685" w:rsidR="00404CB3" w:rsidRPr="00426311" w:rsidRDefault="004D387E" w:rsidP="00AC22B0">
      <w:pPr>
        <w:pStyle w:val="Naslov"/>
        <w:ind w:firstLine="708"/>
      </w:pPr>
      <w:r>
        <w:t>L</w:t>
      </w:r>
      <w:r w:rsidR="002F0C2B">
        <w:t>et</w:t>
      </w:r>
      <w:r>
        <w:t>a</w:t>
      </w:r>
      <w:r w:rsidR="002F0C2B">
        <w:t xml:space="preserve"> 202</w:t>
      </w:r>
      <w:r w:rsidR="00D40246">
        <w:t>5</w:t>
      </w:r>
      <w:r w:rsidR="003F3BDB">
        <w:t xml:space="preserve"> smo prejeli </w:t>
      </w:r>
      <w:r w:rsidR="0025778F">
        <w:t>5</w:t>
      </w:r>
      <w:r w:rsidR="00D40246">
        <w:t>59.380</w:t>
      </w:r>
      <w:r w:rsidR="00624BA8" w:rsidRPr="00426311">
        <w:t xml:space="preserve"> klicev </w:t>
      </w:r>
      <w:r w:rsidR="00B6503B" w:rsidRPr="00426311">
        <w:t xml:space="preserve">v </w:t>
      </w:r>
      <w:r>
        <w:t>r</w:t>
      </w:r>
      <w:r w:rsidR="00B6503B" w:rsidRPr="00426311">
        <w:t>egijske centre za obveščanje</w:t>
      </w:r>
    </w:p>
    <w:p w14:paraId="11C078AA" w14:textId="6A2E764E" w:rsidR="00624BA8" w:rsidRDefault="00624BA8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E22AAC">
        <w:rPr>
          <w:rFonts w:ascii="Arial" w:eastAsia="Times New Roman" w:hAnsi="Arial" w:cs="Arial"/>
          <w:sz w:val="24"/>
          <w:szCs w:val="24"/>
          <w:lang w:eastAsia="sl-SI"/>
        </w:rPr>
        <w:t>Center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za obveščanje RS (CORS) in 13 </w:t>
      </w:r>
      <w:r w:rsidR="004D387E">
        <w:rPr>
          <w:rFonts w:ascii="Arial" w:eastAsia="Times New Roman" w:hAnsi="Arial" w:cs="Arial"/>
          <w:sz w:val="24"/>
          <w:szCs w:val="24"/>
          <w:lang w:eastAsia="sl-SI"/>
        </w:rPr>
        <w:t>r</w:t>
      </w:r>
      <w:r w:rsidRPr="00E22AAC">
        <w:rPr>
          <w:rFonts w:ascii="Arial" w:eastAsia="Times New Roman" w:hAnsi="Arial" w:cs="Arial"/>
          <w:sz w:val="24"/>
          <w:szCs w:val="24"/>
          <w:lang w:eastAsia="sl-SI"/>
        </w:rPr>
        <w:t>egijskih centrov za obveščanje (ReCO), ki se odzivajo na klic v sili 112</w:t>
      </w:r>
      <w:r w:rsidR="004D387E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4D387E" w:rsidRPr="00E22AAC">
        <w:rPr>
          <w:rFonts w:ascii="Arial" w:eastAsia="Times New Roman" w:hAnsi="Arial" w:cs="Arial"/>
          <w:sz w:val="24"/>
          <w:szCs w:val="24"/>
          <w:lang w:eastAsia="sl-SI"/>
        </w:rPr>
        <w:t>opravljajo 24 ur na dan</w:t>
      </w:r>
      <w:r w:rsidR="00382444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4D387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4D387E" w:rsidRPr="00E22AAC">
        <w:rPr>
          <w:rFonts w:ascii="Arial" w:eastAsia="Times New Roman" w:hAnsi="Arial" w:cs="Arial"/>
          <w:sz w:val="24"/>
          <w:szCs w:val="24"/>
          <w:lang w:eastAsia="sl-SI"/>
        </w:rPr>
        <w:t xml:space="preserve">neprekinjeno 365 dni v letu </w:t>
      </w:r>
      <w:r w:rsidR="004D387E">
        <w:rPr>
          <w:rFonts w:ascii="Arial" w:eastAsia="Times New Roman" w:hAnsi="Arial" w:cs="Arial"/>
          <w:sz w:val="24"/>
          <w:szCs w:val="24"/>
          <w:lang w:eastAsia="sl-SI"/>
        </w:rPr>
        <w:t>o</w:t>
      </w:r>
      <w:r w:rsidR="004D387E" w:rsidRPr="00E22AAC">
        <w:rPr>
          <w:rFonts w:ascii="Arial" w:eastAsia="Times New Roman" w:hAnsi="Arial" w:cs="Arial"/>
          <w:sz w:val="24"/>
          <w:szCs w:val="24"/>
          <w:lang w:eastAsia="sl-SI"/>
        </w:rPr>
        <w:t>perativno-komunikacijske naloge opazovanja, obveščanj</w:t>
      </w:r>
      <w:r w:rsidR="004D387E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4D387E" w:rsidRPr="00E22AAC">
        <w:rPr>
          <w:rFonts w:ascii="Arial" w:eastAsia="Times New Roman" w:hAnsi="Arial" w:cs="Arial"/>
          <w:sz w:val="24"/>
          <w:szCs w:val="24"/>
          <w:lang w:eastAsia="sl-SI"/>
        </w:rPr>
        <w:t xml:space="preserve"> in alarmiranja</w:t>
      </w:r>
      <w:r w:rsidRPr="00E22AAC">
        <w:rPr>
          <w:rFonts w:ascii="Arial" w:eastAsia="Times New Roman" w:hAnsi="Arial" w:cs="Arial"/>
          <w:sz w:val="24"/>
          <w:szCs w:val="24"/>
          <w:lang w:eastAsia="sl-SI"/>
        </w:rPr>
        <w:t>. Z delovanjem ReCO so vsem državljanom zagotovljeni dostop</w:t>
      </w:r>
      <w:r w:rsidR="00A40E4F">
        <w:rPr>
          <w:rFonts w:ascii="Arial" w:eastAsia="Times New Roman" w:hAnsi="Arial" w:cs="Arial"/>
          <w:sz w:val="24"/>
          <w:szCs w:val="24"/>
          <w:lang w:eastAsia="sl-SI"/>
        </w:rPr>
        <w:t xml:space="preserve"> do</w:t>
      </w:r>
      <w:r w:rsidRPr="00E22AAC">
        <w:rPr>
          <w:rFonts w:ascii="Arial" w:eastAsia="Times New Roman" w:hAnsi="Arial" w:cs="Arial"/>
          <w:sz w:val="24"/>
          <w:szCs w:val="24"/>
          <w:lang w:eastAsia="sl-SI"/>
        </w:rPr>
        <w:t xml:space="preserve"> nujne medicinske pomoči, hitro aktiviranje reševalcev, predvsem gasilcev, ter ustrezno odzivanje različnih reševalnih služb ob naravnih in drugih nesrečah. </w:t>
      </w:r>
    </w:p>
    <w:p w14:paraId="1FE1D86B" w14:textId="5D3D3DC4" w:rsidR="00D3115F" w:rsidRPr="00E22AAC" w:rsidRDefault="00D3115F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V analizi so bili uporabljeni podatki</w:t>
      </w:r>
      <w:r w:rsidR="00382444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3D3C2C">
        <w:rPr>
          <w:rFonts w:ascii="Arial" w:eastAsia="Times New Roman" w:hAnsi="Arial" w:cs="Arial"/>
          <w:sz w:val="24"/>
          <w:szCs w:val="24"/>
          <w:lang w:eastAsia="sl-SI"/>
        </w:rPr>
        <w:t xml:space="preserve"> zajeti</w:t>
      </w:r>
      <w:r w:rsidR="007E567C">
        <w:rPr>
          <w:rFonts w:ascii="Arial" w:eastAsia="Times New Roman" w:hAnsi="Arial" w:cs="Arial"/>
          <w:sz w:val="24"/>
          <w:szCs w:val="24"/>
          <w:lang w:eastAsia="sl-SI"/>
        </w:rPr>
        <w:t xml:space="preserve"> dne</w:t>
      </w:r>
      <w:r w:rsidR="003D3C2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D40246">
        <w:rPr>
          <w:rFonts w:ascii="Arial" w:eastAsia="Times New Roman" w:hAnsi="Arial" w:cs="Arial"/>
          <w:sz w:val="24"/>
          <w:szCs w:val="24"/>
          <w:lang w:eastAsia="sl-SI"/>
        </w:rPr>
        <w:t>10.</w:t>
      </w:r>
      <w:r w:rsidR="005F0E3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D40246">
        <w:rPr>
          <w:rFonts w:ascii="Arial" w:eastAsia="Times New Roman" w:hAnsi="Arial" w:cs="Arial"/>
          <w:sz w:val="24"/>
          <w:szCs w:val="24"/>
          <w:lang w:eastAsia="sl-SI"/>
        </w:rPr>
        <w:t>3.</w:t>
      </w:r>
      <w:r w:rsidR="005F0E3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D40246">
        <w:rPr>
          <w:rFonts w:ascii="Arial" w:eastAsia="Times New Roman" w:hAnsi="Arial" w:cs="Arial"/>
          <w:sz w:val="24"/>
          <w:szCs w:val="24"/>
          <w:lang w:eastAsia="sl-SI"/>
        </w:rPr>
        <w:t>2026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, ki so javno dostopni na spletnih naslovih </w:t>
      </w:r>
      <w:hyperlink r:id="rId7" w:history="1">
        <w:proofErr w:type="spellStart"/>
        <w:r w:rsidRPr="00F42B46">
          <w:rPr>
            <w:rStyle w:val="Hiperpovezava"/>
            <w:rFonts w:ascii="Arial" w:eastAsia="Times New Roman" w:hAnsi="Arial" w:cs="Arial"/>
            <w:sz w:val="24"/>
            <w:szCs w:val="24"/>
            <w:lang w:eastAsia="sl-SI"/>
          </w:rPr>
          <w:t>Statklic</w:t>
        </w:r>
        <w:proofErr w:type="spellEnd"/>
      </w:hyperlink>
      <w:r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 xml:space="preserve">v </w:t>
      </w:r>
      <w:r w:rsidR="00E84438">
        <w:rPr>
          <w:rFonts w:ascii="Arial" w:eastAsia="Times New Roman" w:hAnsi="Arial" w:cs="Arial"/>
          <w:sz w:val="24"/>
          <w:szCs w:val="24"/>
          <w:lang w:eastAsia="sl-SI"/>
        </w:rPr>
        <w:t xml:space="preserve">javnem pregledu podatkov iz </w:t>
      </w:r>
      <w:r w:rsidR="00E30650">
        <w:rPr>
          <w:rFonts w:ascii="Arial" w:eastAsia="Times New Roman" w:hAnsi="Arial" w:cs="Arial"/>
          <w:sz w:val="24"/>
          <w:szCs w:val="24"/>
          <w:lang w:eastAsia="sl-SI"/>
        </w:rPr>
        <w:t>s</w:t>
      </w:r>
      <w:r w:rsidR="00E84438">
        <w:rPr>
          <w:rFonts w:ascii="Arial" w:eastAsia="Times New Roman" w:hAnsi="Arial" w:cs="Arial"/>
          <w:sz w:val="24"/>
          <w:szCs w:val="24"/>
          <w:lang w:eastAsia="sl-SI"/>
        </w:rPr>
        <w:t xml:space="preserve">istema za poročanje o intervencijah in nesrečah </w:t>
      </w:r>
      <w:hyperlink r:id="rId8" w:tooltip="https://spin3.sos112.si/javno/porocilo" w:history="1">
        <w:r w:rsidRPr="00F42B46">
          <w:rPr>
            <w:rStyle w:val="Hiperpovezava"/>
            <w:rFonts w:ascii="Arial" w:eastAsia="Times New Roman" w:hAnsi="Arial" w:cs="Arial"/>
            <w:sz w:val="24"/>
            <w:szCs w:val="24"/>
            <w:lang w:eastAsia="sl-SI"/>
          </w:rPr>
          <w:t>SPIN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36383F5D" w14:textId="34EE96ED" w:rsidR="007D5823" w:rsidRPr="00C9504E" w:rsidRDefault="00260788" w:rsidP="00AC22B0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 vseh ReCO je bilo leta 202</w:t>
      </w:r>
      <w:r w:rsidR="00775491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po zadnjih </w:t>
      </w:r>
      <w:r w:rsidR="009464E0">
        <w:rPr>
          <w:rFonts w:ascii="Arial" w:hAnsi="Arial" w:cs="Arial"/>
          <w:color w:val="000000"/>
          <w:sz w:val="24"/>
          <w:szCs w:val="24"/>
        </w:rPr>
        <w:t xml:space="preserve">nespremenjenih </w:t>
      </w:r>
      <w:r>
        <w:rPr>
          <w:rFonts w:ascii="Arial" w:hAnsi="Arial" w:cs="Arial"/>
          <w:color w:val="000000"/>
          <w:sz w:val="24"/>
          <w:szCs w:val="24"/>
        </w:rPr>
        <w:t xml:space="preserve">podatkih </w:t>
      </w:r>
      <w:r w:rsidR="002E0A99">
        <w:rPr>
          <w:rFonts w:ascii="Arial" w:hAnsi="Arial" w:cs="Arial"/>
          <w:color w:val="000000"/>
          <w:sz w:val="24"/>
          <w:szCs w:val="24"/>
        </w:rPr>
        <w:t xml:space="preserve">prejetih </w:t>
      </w:r>
      <w:r w:rsidR="0025778F">
        <w:rPr>
          <w:rFonts w:ascii="Arial" w:hAnsi="Arial" w:cs="Arial"/>
          <w:color w:val="000000"/>
          <w:sz w:val="24"/>
          <w:szCs w:val="24"/>
        </w:rPr>
        <w:t>5</w:t>
      </w:r>
      <w:r w:rsidR="00775491">
        <w:rPr>
          <w:rFonts w:ascii="Arial" w:hAnsi="Arial" w:cs="Arial"/>
          <w:color w:val="000000"/>
          <w:sz w:val="24"/>
          <w:szCs w:val="24"/>
        </w:rPr>
        <w:t>59.380</w:t>
      </w:r>
      <w:r w:rsidR="003F3BDB" w:rsidRPr="00FF2C6E">
        <w:rPr>
          <w:rFonts w:ascii="Arial" w:hAnsi="Arial" w:cs="Arial"/>
          <w:color w:val="000000"/>
          <w:sz w:val="24"/>
          <w:szCs w:val="24"/>
        </w:rPr>
        <w:t xml:space="preserve"> telefonskih klicev</w:t>
      </w:r>
      <w:r w:rsidR="001E526C" w:rsidRPr="008865D3">
        <w:rPr>
          <w:rFonts w:ascii="Arial" w:hAnsi="Arial" w:cs="Arial"/>
          <w:bCs/>
          <w:color w:val="000000"/>
          <w:sz w:val="24"/>
          <w:szCs w:val="24"/>
        </w:rPr>
        <w:t>.</w:t>
      </w:r>
      <w:r w:rsidR="003F3BDB" w:rsidRPr="0045752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E526C">
        <w:rPr>
          <w:rFonts w:ascii="Arial" w:hAnsi="Arial" w:cs="Arial"/>
          <w:color w:val="000000"/>
          <w:sz w:val="24"/>
          <w:szCs w:val="24"/>
        </w:rPr>
        <w:t>P</w:t>
      </w:r>
      <w:r w:rsidR="003F3BDB" w:rsidRPr="00C9504E">
        <w:rPr>
          <w:rFonts w:ascii="Arial" w:hAnsi="Arial" w:cs="Arial"/>
          <w:color w:val="000000"/>
          <w:sz w:val="24"/>
          <w:szCs w:val="24"/>
        </w:rPr>
        <w:t>ovprečno</w:t>
      </w:r>
      <w:r w:rsidR="00F31F96" w:rsidRPr="00C9504E">
        <w:rPr>
          <w:rFonts w:ascii="Arial" w:hAnsi="Arial" w:cs="Arial"/>
          <w:color w:val="000000"/>
          <w:sz w:val="24"/>
          <w:szCs w:val="24"/>
        </w:rPr>
        <w:t xml:space="preserve"> število klicev</w:t>
      </w:r>
      <w:r w:rsidR="001E526C">
        <w:rPr>
          <w:rFonts w:ascii="Arial" w:hAnsi="Arial" w:cs="Arial"/>
          <w:color w:val="000000"/>
          <w:sz w:val="24"/>
          <w:szCs w:val="24"/>
        </w:rPr>
        <w:t xml:space="preserve"> je</w:t>
      </w:r>
      <w:r w:rsidR="00F31F96" w:rsidRPr="00C9504E">
        <w:rPr>
          <w:rFonts w:ascii="Arial" w:hAnsi="Arial" w:cs="Arial"/>
          <w:color w:val="000000"/>
          <w:sz w:val="24"/>
          <w:szCs w:val="24"/>
        </w:rPr>
        <w:t xml:space="preserve"> </w:t>
      </w:r>
      <w:r w:rsidR="001E526C">
        <w:rPr>
          <w:rFonts w:ascii="Arial" w:hAnsi="Arial" w:cs="Arial"/>
          <w:color w:val="000000"/>
          <w:sz w:val="24"/>
          <w:szCs w:val="24"/>
        </w:rPr>
        <w:t xml:space="preserve">bilo </w:t>
      </w:r>
      <w:r w:rsidR="00C9504E" w:rsidRPr="00C9504E">
        <w:rPr>
          <w:rFonts w:ascii="Arial" w:hAnsi="Arial" w:cs="Arial"/>
          <w:sz w:val="24"/>
          <w:szCs w:val="24"/>
        </w:rPr>
        <w:t>63</w:t>
      </w:r>
      <w:r w:rsidR="001E526C">
        <w:rPr>
          <w:rFonts w:ascii="Arial" w:hAnsi="Arial" w:cs="Arial"/>
          <w:sz w:val="24"/>
          <w:szCs w:val="24"/>
        </w:rPr>
        <w:t>,</w:t>
      </w:r>
      <w:r w:rsidR="00A266FC" w:rsidRPr="00C9504E">
        <w:rPr>
          <w:rFonts w:ascii="Arial" w:hAnsi="Arial" w:cs="Arial"/>
          <w:sz w:val="24"/>
          <w:szCs w:val="24"/>
        </w:rPr>
        <w:t>9</w:t>
      </w:r>
      <w:r w:rsidR="00F31F96" w:rsidRPr="008865D3">
        <w:rPr>
          <w:rFonts w:ascii="Arial" w:hAnsi="Arial" w:cs="Arial"/>
          <w:bCs/>
          <w:sz w:val="24"/>
          <w:szCs w:val="24"/>
        </w:rPr>
        <w:t>,</w:t>
      </w:r>
      <w:r w:rsidR="00F31F96" w:rsidRPr="000556BD">
        <w:rPr>
          <w:rFonts w:ascii="Arial" w:hAnsi="Arial" w:cs="Arial"/>
          <w:sz w:val="24"/>
          <w:szCs w:val="24"/>
        </w:rPr>
        <w:t xml:space="preserve"> </w:t>
      </w:r>
      <w:r w:rsidR="00F31F96">
        <w:rPr>
          <w:rFonts w:ascii="Arial" w:hAnsi="Arial" w:cs="Arial"/>
          <w:color w:val="000000"/>
          <w:sz w:val="24"/>
          <w:szCs w:val="24"/>
        </w:rPr>
        <w:t xml:space="preserve">največje število klicev v eni uri </w:t>
      </w:r>
      <w:r w:rsidR="001E526C">
        <w:rPr>
          <w:rFonts w:ascii="Arial" w:hAnsi="Arial" w:cs="Arial"/>
          <w:color w:val="000000"/>
          <w:sz w:val="24"/>
          <w:szCs w:val="24"/>
        </w:rPr>
        <w:t xml:space="preserve">pa </w:t>
      </w:r>
      <w:r w:rsidR="00DF62EC">
        <w:rPr>
          <w:rFonts w:ascii="Arial" w:hAnsi="Arial" w:cs="Arial"/>
          <w:color w:val="000000"/>
          <w:sz w:val="24"/>
          <w:szCs w:val="24"/>
        </w:rPr>
        <w:t>393</w:t>
      </w:r>
      <w:r w:rsidR="001E526C">
        <w:rPr>
          <w:rFonts w:ascii="Arial" w:hAnsi="Arial" w:cs="Arial"/>
          <w:color w:val="000000"/>
          <w:sz w:val="24"/>
          <w:szCs w:val="24"/>
        </w:rPr>
        <w:t>, in sicer</w:t>
      </w:r>
      <w:r w:rsidR="000556BD" w:rsidRPr="00C9504E">
        <w:rPr>
          <w:rFonts w:ascii="Arial" w:hAnsi="Arial" w:cs="Arial"/>
          <w:color w:val="000000"/>
          <w:sz w:val="24"/>
          <w:szCs w:val="24"/>
        </w:rPr>
        <w:t xml:space="preserve"> </w:t>
      </w:r>
      <w:r w:rsidR="00C9504E" w:rsidRPr="00C9504E">
        <w:rPr>
          <w:rFonts w:ascii="Arial" w:hAnsi="Arial" w:cs="Arial"/>
          <w:color w:val="000000"/>
          <w:sz w:val="24"/>
          <w:szCs w:val="24"/>
        </w:rPr>
        <w:t>21.</w:t>
      </w:r>
      <w:r w:rsidR="005F0E3A">
        <w:rPr>
          <w:rFonts w:ascii="Arial" w:hAnsi="Arial" w:cs="Arial"/>
          <w:color w:val="000000"/>
          <w:sz w:val="24"/>
          <w:szCs w:val="24"/>
        </w:rPr>
        <w:t xml:space="preserve"> </w:t>
      </w:r>
      <w:r w:rsidR="00C9504E" w:rsidRPr="00C9504E">
        <w:rPr>
          <w:rFonts w:ascii="Arial" w:hAnsi="Arial" w:cs="Arial"/>
          <w:color w:val="000000"/>
          <w:sz w:val="24"/>
          <w:szCs w:val="24"/>
        </w:rPr>
        <w:t>7.</w:t>
      </w:r>
      <w:r w:rsidR="005F0E3A">
        <w:rPr>
          <w:rFonts w:ascii="Arial" w:hAnsi="Arial" w:cs="Arial"/>
          <w:color w:val="000000"/>
          <w:sz w:val="24"/>
          <w:szCs w:val="24"/>
        </w:rPr>
        <w:t xml:space="preserve"> </w:t>
      </w:r>
      <w:r w:rsidR="00C9504E" w:rsidRPr="00C9504E">
        <w:rPr>
          <w:rFonts w:ascii="Arial" w:hAnsi="Arial" w:cs="Arial"/>
          <w:color w:val="000000"/>
          <w:sz w:val="24"/>
          <w:szCs w:val="24"/>
        </w:rPr>
        <w:t>2025</w:t>
      </w:r>
      <w:r w:rsidR="000556BD" w:rsidRPr="00C9504E">
        <w:rPr>
          <w:rFonts w:ascii="Arial" w:hAnsi="Arial" w:cs="Arial"/>
          <w:color w:val="000000"/>
          <w:sz w:val="24"/>
          <w:szCs w:val="24"/>
        </w:rPr>
        <w:t xml:space="preserve"> </w:t>
      </w:r>
      <w:r w:rsidR="00891FF6" w:rsidRPr="00C9504E">
        <w:rPr>
          <w:rFonts w:ascii="Arial" w:hAnsi="Arial" w:cs="Arial"/>
          <w:color w:val="000000"/>
          <w:sz w:val="24"/>
          <w:szCs w:val="24"/>
        </w:rPr>
        <w:t>med</w:t>
      </w:r>
      <w:r w:rsidR="000556BD" w:rsidRPr="00C9504E">
        <w:rPr>
          <w:rFonts w:ascii="Arial" w:hAnsi="Arial" w:cs="Arial"/>
          <w:color w:val="000000"/>
          <w:sz w:val="24"/>
          <w:szCs w:val="24"/>
        </w:rPr>
        <w:t xml:space="preserve"> </w:t>
      </w:r>
      <w:r w:rsidR="00C9504E" w:rsidRPr="00C9504E">
        <w:rPr>
          <w:rFonts w:ascii="Arial" w:hAnsi="Arial" w:cs="Arial"/>
          <w:color w:val="000000"/>
          <w:sz w:val="24"/>
          <w:szCs w:val="24"/>
        </w:rPr>
        <w:t>19</w:t>
      </w:r>
      <w:r w:rsidR="000556BD" w:rsidRPr="00C9504E">
        <w:rPr>
          <w:rFonts w:ascii="Arial" w:hAnsi="Arial" w:cs="Arial"/>
          <w:color w:val="000000"/>
          <w:sz w:val="24"/>
          <w:szCs w:val="24"/>
        </w:rPr>
        <w:t xml:space="preserve">. </w:t>
      </w:r>
      <w:r w:rsidR="00891FF6" w:rsidRPr="00C9504E">
        <w:rPr>
          <w:rFonts w:ascii="Arial" w:hAnsi="Arial" w:cs="Arial"/>
          <w:color w:val="000000"/>
          <w:sz w:val="24"/>
          <w:szCs w:val="24"/>
        </w:rPr>
        <w:t xml:space="preserve">in </w:t>
      </w:r>
      <w:r w:rsidR="00C9504E" w:rsidRPr="00C9504E">
        <w:rPr>
          <w:rFonts w:ascii="Arial" w:hAnsi="Arial" w:cs="Arial"/>
          <w:color w:val="000000"/>
          <w:sz w:val="24"/>
          <w:szCs w:val="24"/>
        </w:rPr>
        <w:t>20</w:t>
      </w:r>
      <w:r w:rsidR="000556BD" w:rsidRPr="00C9504E">
        <w:rPr>
          <w:rFonts w:ascii="Arial" w:hAnsi="Arial" w:cs="Arial"/>
          <w:color w:val="000000"/>
          <w:sz w:val="24"/>
          <w:szCs w:val="24"/>
        </w:rPr>
        <w:t>. ur</w:t>
      </w:r>
      <w:r w:rsidR="00891FF6" w:rsidRPr="00C9504E">
        <w:rPr>
          <w:rFonts w:ascii="Arial" w:hAnsi="Arial" w:cs="Arial"/>
          <w:color w:val="000000"/>
          <w:sz w:val="24"/>
          <w:szCs w:val="24"/>
        </w:rPr>
        <w:t>o</w:t>
      </w:r>
      <w:r w:rsidR="00F31F96">
        <w:rPr>
          <w:rFonts w:ascii="Arial" w:hAnsi="Arial" w:cs="Arial"/>
          <w:color w:val="000000"/>
          <w:sz w:val="24"/>
          <w:szCs w:val="24"/>
        </w:rPr>
        <w:t xml:space="preserve">. </w:t>
      </w:r>
      <w:r w:rsidR="001E526C">
        <w:rPr>
          <w:rFonts w:ascii="Arial" w:hAnsi="Arial" w:cs="Arial"/>
          <w:color w:val="000000"/>
          <w:sz w:val="24"/>
          <w:szCs w:val="24"/>
        </w:rPr>
        <w:t>Največje</w:t>
      </w:r>
      <w:r w:rsidR="001E526C" w:rsidRPr="00C9504E">
        <w:rPr>
          <w:rFonts w:ascii="Arial" w:hAnsi="Arial" w:cs="Arial"/>
          <w:color w:val="000000"/>
          <w:sz w:val="24"/>
          <w:szCs w:val="24"/>
        </w:rPr>
        <w:t xml:space="preserve"> </w:t>
      </w:r>
      <w:r w:rsidR="000F0A27" w:rsidRPr="00C9504E">
        <w:rPr>
          <w:rFonts w:ascii="Arial" w:hAnsi="Arial" w:cs="Arial"/>
          <w:color w:val="000000"/>
          <w:sz w:val="24"/>
          <w:szCs w:val="24"/>
        </w:rPr>
        <w:t xml:space="preserve">število klicev je bilo </w:t>
      </w:r>
      <w:r w:rsidR="00C9504E" w:rsidRPr="00C9504E">
        <w:rPr>
          <w:rFonts w:ascii="Arial" w:hAnsi="Arial" w:cs="Arial"/>
          <w:color w:val="000000"/>
          <w:sz w:val="24"/>
          <w:szCs w:val="24"/>
        </w:rPr>
        <w:t>21.</w:t>
      </w:r>
      <w:r w:rsidR="005F0E3A">
        <w:rPr>
          <w:rFonts w:ascii="Arial" w:hAnsi="Arial" w:cs="Arial"/>
          <w:color w:val="000000"/>
          <w:sz w:val="24"/>
          <w:szCs w:val="24"/>
        </w:rPr>
        <w:t xml:space="preserve"> </w:t>
      </w:r>
      <w:r w:rsidR="00C9504E" w:rsidRPr="00C9504E">
        <w:rPr>
          <w:rFonts w:ascii="Arial" w:hAnsi="Arial" w:cs="Arial"/>
          <w:color w:val="000000"/>
          <w:sz w:val="24"/>
          <w:szCs w:val="24"/>
        </w:rPr>
        <w:t>7.</w:t>
      </w:r>
      <w:r w:rsidR="005F0E3A">
        <w:rPr>
          <w:rFonts w:ascii="Arial" w:hAnsi="Arial" w:cs="Arial"/>
          <w:color w:val="000000"/>
          <w:sz w:val="24"/>
          <w:szCs w:val="24"/>
        </w:rPr>
        <w:t xml:space="preserve"> </w:t>
      </w:r>
      <w:r w:rsidR="00071F34" w:rsidRPr="00C9504E">
        <w:rPr>
          <w:rFonts w:ascii="Arial" w:hAnsi="Arial" w:cs="Arial"/>
          <w:color w:val="000000"/>
          <w:sz w:val="24"/>
          <w:szCs w:val="24"/>
        </w:rPr>
        <w:t>202</w:t>
      </w:r>
      <w:r w:rsidR="00C9504E" w:rsidRPr="00C9504E">
        <w:rPr>
          <w:rFonts w:ascii="Arial" w:hAnsi="Arial" w:cs="Arial"/>
          <w:color w:val="000000"/>
          <w:sz w:val="24"/>
          <w:szCs w:val="24"/>
        </w:rPr>
        <w:t>5</w:t>
      </w:r>
      <w:r w:rsidR="001E526C">
        <w:rPr>
          <w:rFonts w:ascii="Arial" w:hAnsi="Arial" w:cs="Arial"/>
          <w:color w:val="000000"/>
          <w:sz w:val="24"/>
          <w:szCs w:val="24"/>
        </w:rPr>
        <w:t>,</w:t>
      </w:r>
      <w:r w:rsidR="000F0A27" w:rsidRPr="00C9504E">
        <w:rPr>
          <w:rFonts w:ascii="Arial" w:hAnsi="Arial" w:cs="Arial"/>
          <w:color w:val="000000"/>
          <w:sz w:val="24"/>
          <w:szCs w:val="24"/>
        </w:rPr>
        <w:t xml:space="preserve"> in sicer </w:t>
      </w:r>
      <w:r w:rsidR="00C9504E" w:rsidRPr="00C9504E">
        <w:rPr>
          <w:rFonts w:ascii="Arial" w:hAnsi="Arial" w:cs="Arial"/>
          <w:color w:val="000000"/>
          <w:sz w:val="24"/>
          <w:szCs w:val="24"/>
        </w:rPr>
        <w:t>2539</w:t>
      </w:r>
      <w:r w:rsidR="00E06490" w:rsidRPr="00C9504E">
        <w:rPr>
          <w:rFonts w:ascii="Arial" w:hAnsi="Arial" w:cs="Arial"/>
          <w:color w:val="000000"/>
          <w:sz w:val="24"/>
          <w:szCs w:val="24"/>
        </w:rPr>
        <w:t>.</w:t>
      </w:r>
      <w:r w:rsidR="007D5823" w:rsidRPr="00C9504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E398FF" w14:textId="77777777" w:rsidR="003F3BDB" w:rsidRPr="00FF2C6E" w:rsidRDefault="003F3BDB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FF2C6E">
        <w:rPr>
          <w:rFonts w:ascii="Arial" w:hAnsi="Arial" w:cs="Arial"/>
          <w:color w:val="000000"/>
          <w:sz w:val="24"/>
          <w:szCs w:val="24"/>
        </w:rPr>
        <w:t>Večina klicev na telefonsko številko 112 pomeni aktiviranje predvidenih reševalnih enot in intervencijo. Tudi leta 202</w:t>
      </w:r>
      <w:r w:rsidR="00E45FF9">
        <w:rPr>
          <w:rFonts w:ascii="Arial" w:hAnsi="Arial" w:cs="Arial"/>
          <w:color w:val="000000"/>
          <w:sz w:val="24"/>
          <w:szCs w:val="24"/>
        </w:rPr>
        <w:t>5</w:t>
      </w:r>
      <w:r w:rsidRPr="00FF2C6E">
        <w:rPr>
          <w:rFonts w:ascii="Arial" w:hAnsi="Arial" w:cs="Arial"/>
          <w:color w:val="000000"/>
          <w:sz w:val="24"/>
          <w:szCs w:val="24"/>
        </w:rPr>
        <w:t xml:space="preserve"> so ljudje največkrat klicali, ker so potrebovali nujno medicinsko pomoč.</w:t>
      </w:r>
    </w:p>
    <w:p w14:paraId="047129AF" w14:textId="2B876C1F" w:rsidR="00181F8A" w:rsidRPr="00E06490" w:rsidRDefault="003462F0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E06490">
        <w:rPr>
          <w:rFonts w:ascii="Arial" w:eastAsia="Times New Roman" w:hAnsi="Arial" w:cs="Arial"/>
          <w:sz w:val="24"/>
          <w:szCs w:val="24"/>
          <w:lang w:eastAsia="sl-SI"/>
        </w:rPr>
        <w:t>Letno š</w:t>
      </w:r>
      <w:r w:rsidR="00961FCA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tevilo </w:t>
      </w:r>
      <w:r w:rsidR="00BF4DA2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dohodnih </w:t>
      </w:r>
      <w:r w:rsidR="00961FCA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klicev po 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>r</w:t>
      </w:r>
      <w:r w:rsidR="00961FCA" w:rsidRPr="00E06490">
        <w:rPr>
          <w:rFonts w:ascii="Arial" w:eastAsia="Times New Roman" w:hAnsi="Arial" w:cs="Arial"/>
          <w:sz w:val="24"/>
          <w:szCs w:val="24"/>
          <w:lang w:eastAsia="sl-SI"/>
        </w:rPr>
        <w:t>egijskih centrih za obveščanje</w:t>
      </w:r>
      <w:r w:rsidR="00051976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: Ljubljana </w:t>
      </w:r>
      <w:r w:rsidR="00370D6B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570B4F">
        <w:rPr>
          <w:rFonts w:ascii="Arial" w:eastAsia="Times New Roman" w:hAnsi="Arial" w:cs="Arial"/>
          <w:sz w:val="24"/>
          <w:szCs w:val="24"/>
          <w:lang w:eastAsia="sl-SI"/>
        </w:rPr>
        <w:t>47.725</w:t>
      </w:r>
      <w:r w:rsidR="00961FCA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051976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Celje </w:t>
      </w:r>
      <w:r w:rsidR="00570B4F">
        <w:rPr>
          <w:rFonts w:ascii="Arial" w:eastAsia="Times New Roman" w:hAnsi="Arial" w:cs="Arial"/>
          <w:sz w:val="24"/>
          <w:szCs w:val="24"/>
          <w:lang w:eastAsia="sl-SI"/>
        </w:rPr>
        <w:t>66.256</w:t>
      </w:r>
      <w:r w:rsidR="006D7D01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82568A">
        <w:rPr>
          <w:rFonts w:ascii="Arial" w:eastAsia="Times New Roman" w:hAnsi="Arial" w:cs="Arial"/>
          <w:sz w:val="24"/>
          <w:szCs w:val="24"/>
          <w:lang w:eastAsia="sl-SI"/>
        </w:rPr>
        <w:t xml:space="preserve">Maribor </w:t>
      </w:r>
      <w:r w:rsidR="00570B4F">
        <w:rPr>
          <w:rFonts w:ascii="Arial" w:eastAsia="Times New Roman" w:hAnsi="Arial" w:cs="Arial"/>
          <w:sz w:val="24"/>
          <w:szCs w:val="24"/>
          <w:lang w:eastAsia="sl-SI"/>
        </w:rPr>
        <w:t>64.040</w:t>
      </w:r>
      <w:r w:rsidR="00961FCA" w:rsidRPr="00E06490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6D7D01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120F3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Kranj </w:t>
      </w:r>
      <w:r w:rsidR="00570B4F">
        <w:rPr>
          <w:rFonts w:ascii="Arial" w:eastAsia="Times New Roman" w:hAnsi="Arial" w:cs="Arial"/>
          <w:sz w:val="24"/>
          <w:szCs w:val="24"/>
          <w:lang w:eastAsia="sl-SI"/>
        </w:rPr>
        <w:t>48.81</w:t>
      </w:r>
      <w:r w:rsidR="00F120F3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, Koper </w:t>
      </w:r>
      <w:r w:rsidR="00883A6F">
        <w:rPr>
          <w:rFonts w:ascii="Arial" w:eastAsia="Times New Roman" w:hAnsi="Arial" w:cs="Arial"/>
          <w:sz w:val="24"/>
          <w:szCs w:val="24"/>
          <w:lang w:eastAsia="sl-SI"/>
        </w:rPr>
        <w:t>39.465</w:t>
      </w:r>
      <w:r w:rsidR="0030672C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370D6B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Novo mesto </w:t>
      </w:r>
      <w:r w:rsidR="00370D6B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4C3F19">
        <w:rPr>
          <w:rFonts w:ascii="Arial" w:eastAsia="Times New Roman" w:hAnsi="Arial" w:cs="Arial"/>
          <w:sz w:val="24"/>
          <w:szCs w:val="24"/>
          <w:lang w:eastAsia="sl-SI"/>
        </w:rPr>
        <w:t>4.971</w:t>
      </w:r>
      <w:r w:rsidR="00370D6B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30672C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Nova Gorica </w:t>
      </w:r>
      <w:r w:rsidR="004C3F19">
        <w:rPr>
          <w:rFonts w:ascii="Arial" w:eastAsia="Times New Roman" w:hAnsi="Arial" w:cs="Arial"/>
          <w:sz w:val="24"/>
          <w:szCs w:val="24"/>
          <w:lang w:eastAsia="sl-SI"/>
        </w:rPr>
        <w:t>28.861</w:t>
      </w:r>
      <w:r w:rsidR="0030672C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, Murska Sobota </w:t>
      </w:r>
      <w:r w:rsidR="004C3F19">
        <w:rPr>
          <w:rFonts w:ascii="Arial" w:eastAsia="Times New Roman" w:hAnsi="Arial" w:cs="Arial"/>
          <w:sz w:val="24"/>
          <w:szCs w:val="24"/>
          <w:lang w:eastAsia="sl-SI"/>
        </w:rPr>
        <w:t>28.603</w:t>
      </w:r>
      <w:r w:rsidR="0030672C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482955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Postojna </w:t>
      </w:r>
      <w:r w:rsidR="00357035">
        <w:rPr>
          <w:rFonts w:ascii="Arial" w:eastAsia="Times New Roman" w:hAnsi="Arial" w:cs="Arial"/>
          <w:sz w:val="24"/>
          <w:szCs w:val="24"/>
          <w:lang w:eastAsia="sl-SI"/>
        </w:rPr>
        <w:t>26.</w:t>
      </w:r>
      <w:r w:rsidR="00DA19EB">
        <w:rPr>
          <w:rFonts w:ascii="Arial" w:eastAsia="Times New Roman" w:hAnsi="Arial" w:cs="Arial"/>
          <w:sz w:val="24"/>
          <w:szCs w:val="24"/>
          <w:lang w:eastAsia="sl-SI"/>
        </w:rPr>
        <w:t>204</w:t>
      </w:r>
      <w:r w:rsidR="00961FCA" w:rsidRPr="00E06490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30672C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D40EE6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Brežice </w:t>
      </w:r>
      <w:r w:rsidR="00357035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DA19EB">
        <w:rPr>
          <w:rFonts w:ascii="Arial" w:eastAsia="Times New Roman" w:hAnsi="Arial" w:cs="Arial"/>
          <w:sz w:val="24"/>
          <w:szCs w:val="24"/>
          <w:lang w:eastAsia="sl-SI"/>
        </w:rPr>
        <w:t>3.868</w:t>
      </w:r>
      <w:r w:rsidR="00961FCA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30672C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Ptuj </w:t>
      </w:r>
      <w:r w:rsidR="00357035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8B758B">
        <w:rPr>
          <w:rFonts w:ascii="Arial" w:eastAsia="Times New Roman" w:hAnsi="Arial" w:cs="Arial"/>
          <w:sz w:val="24"/>
          <w:szCs w:val="24"/>
          <w:lang w:eastAsia="sl-SI"/>
        </w:rPr>
        <w:t>0.847</w:t>
      </w:r>
      <w:r w:rsidR="0030672C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, Slovenj Gradec </w:t>
      </w:r>
      <w:r w:rsidR="00357035">
        <w:rPr>
          <w:rFonts w:ascii="Arial" w:eastAsia="Times New Roman" w:hAnsi="Arial" w:cs="Arial"/>
          <w:sz w:val="24"/>
          <w:szCs w:val="24"/>
          <w:lang w:eastAsia="sl-SI"/>
        </w:rPr>
        <w:t>18.</w:t>
      </w:r>
      <w:r w:rsidR="008B758B">
        <w:rPr>
          <w:rFonts w:ascii="Arial" w:eastAsia="Times New Roman" w:hAnsi="Arial" w:cs="Arial"/>
          <w:sz w:val="24"/>
          <w:szCs w:val="24"/>
          <w:lang w:eastAsia="sl-SI"/>
        </w:rPr>
        <w:t>377</w:t>
      </w:r>
      <w:r w:rsidR="0030672C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="0002403B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Trbovlje </w:t>
      </w:r>
      <w:r w:rsidR="00357035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8B758B">
        <w:rPr>
          <w:rFonts w:ascii="Arial" w:eastAsia="Times New Roman" w:hAnsi="Arial" w:cs="Arial"/>
          <w:sz w:val="24"/>
          <w:szCs w:val="24"/>
          <w:lang w:eastAsia="sl-SI"/>
        </w:rPr>
        <w:t>1.350</w:t>
      </w:r>
      <w:r w:rsidR="0030672C" w:rsidRPr="00E06490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961FCA" w:rsidRPr="00E0649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0458D726" w14:textId="77777777" w:rsidR="00D936FE" w:rsidRDefault="00BE69C6" w:rsidP="00AC22B0">
      <w:pPr>
        <w:pStyle w:val="Navadensplet"/>
        <w:jc w:val="both"/>
      </w:pPr>
      <w:r>
        <w:rPr>
          <w:noProof/>
        </w:rPr>
        <w:lastRenderedPageBreak/>
        <w:drawing>
          <wp:inline distT="0" distB="0" distL="0" distR="0" wp14:anchorId="4CD521C9" wp14:editId="277DE7EC">
            <wp:extent cx="6086475" cy="4057650"/>
            <wp:effectExtent l="0" t="0" r="9525" b="0"/>
            <wp:docPr id="1" name="Slika 1" descr="Število dohodnih klicev po Regijskih centrih za obveščanje za leto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naP\Downloads\dohodni-klici-po-regijah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8599" w14:textId="105A05CF" w:rsidR="009720E3" w:rsidRDefault="00D936FE" w:rsidP="00AC22B0">
      <w:pPr>
        <w:pStyle w:val="Napis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t xml:space="preserve">Slika </w:t>
      </w:r>
      <w:r w:rsidR="00162189">
        <w:rPr>
          <w:noProof/>
        </w:rPr>
        <w:fldChar w:fldCharType="begin"/>
      </w:r>
      <w:r w:rsidR="00162189">
        <w:rPr>
          <w:noProof/>
        </w:rPr>
        <w:instrText xml:space="preserve"> SEQ Slika \* ARABIC </w:instrText>
      </w:r>
      <w:r w:rsidR="00162189">
        <w:rPr>
          <w:noProof/>
        </w:rPr>
        <w:fldChar w:fldCharType="separate"/>
      </w:r>
      <w:r w:rsidR="004A474A">
        <w:rPr>
          <w:noProof/>
        </w:rPr>
        <w:t>1</w:t>
      </w:r>
      <w:r w:rsidR="00162189">
        <w:rPr>
          <w:noProof/>
        </w:rPr>
        <w:fldChar w:fldCharType="end"/>
      </w:r>
      <w:r w:rsidR="001E526C">
        <w:rPr>
          <w:noProof/>
        </w:rPr>
        <w:t>:</w:t>
      </w:r>
      <w:r>
        <w:t xml:space="preserve"> Število</w:t>
      </w:r>
      <w:r w:rsidR="00AE76EA">
        <w:t xml:space="preserve"> dohodnih</w:t>
      </w:r>
      <w:r>
        <w:t xml:space="preserve"> klicev po </w:t>
      </w:r>
      <w:r w:rsidR="001E526C">
        <w:t>r</w:t>
      </w:r>
      <w:r>
        <w:t>egijskih ce</w:t>
      </w:r>
      <w:r w:rsidR="000948F9">
        <w:t>ntrih za obveščanje let</w:t>
      </w:r>
      <w:r w:rsidR="009464E0">
        <w:t>a</w:t>
      </w:r>
      <w:r w:rsidR="000948F9">
        <w:t xml:space="preserve"> 202</w:t>
      </w:r>
      <w:r w:rsidR="002E7E0A">
        <w:t>5</w:t>
      </w:r>
    </w:p>
    <w:p w14:paraId="160C32A6" w14:textId="7C610913" w:rsidR="00A33E8B" w:rsidRDefault="005B76CA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Največ dohodnih klicev </w:t>
      </w:r>
      <w:r w:rsidR="00C733F5">
        <w:rPr>
          <w:rFonts w:ascii="Arial" w:eastAsia="Times New Roman" w:hAnsi="Arial" w:cs="Arial"/>
          <w:sz w:val="24"/>
          <w:szCs w:val="24"/>
          <w:lang w:eastAsia="sl-SI"/>
        </w:rPr>
        <w:t xml:space="preserve">v enem dnevu </w:t>
      </w:r>
      <w:r>
        <w:rPr>
          <w:rFonts w:ascii="Arial" w:eastAsia="Times New Roman" w:hAnsi="Arial" w:cs="Arial"/>
          <w:sz w:val="24"/>
          <w:szCs w:val="24"/>
          <w:lang w:eastAsia="sl-SI"/>
        </w:rPr>
        <w:t>v</w:t>
      </w:r>
      <w:r w:rsidR="00C733F5">
        <w:rPr>
          <w:rFonts w:ascii="Arial" w:eastAsia="Times New Roman" w:hAnsi="Arial" w:cs="Arial"/>
          <w:sz w:val="24"/>
          <w:szCs w:val="24"/>
          <w:lang w:eastAsia="sl-SI"/>
        </w:rPr>
        <w:t xml:space="preserve"> vseh 13</w:t>
      </w:r>
      <w:r w:rsidR="002B4990">
        <w:rPr>
          <w:rFonts w:ascii="Arial" w:eastAsia="Times New Roman" w:hAnsi="Arial" w:cs="Arial"/>
          <w:sz w:val="24"/>
          <w:szCs w:val="24"/>
          <w:lang w:eastAsia="sl-SI"/>
        </w:rPr>
        <w:t xml:space="preserve"> regij</w:t>
      </w:r>
      <w:r w:rsidR="00C733F5">
        <w:rPr>
          <w:rFonts w:ascii="Arial" w:eastAsia="Times New Roman" w:hAnsi="Arial" w:cs="Arial"/>
          <w:sz w:val="24"/>
          <w:szCs w:val="24"/>
          <w:lang w:eastAsia="sl-SI"/>
        </w:rPr>
        <w:t xml:space="preserve">skih </w:t>
      </w:r>
      <w:r w:rsidR="002B4990">
        <w:rPr>
          <w:rFonts w:ascii="Arial" w:eastAsia="Times New Roman" w:hAnsi="Arial" w:cs="Arial"/>
          <w:sz w:val="24"/>
          <w:szCs w:val="24"/>
          <w:lang w:eastAsia="sl-SI"/>
        </w:rPr>
        <w:t>cent</w:t>
      </w:r>
      <w:r w:rsidR="00C733F5">
        <w:rPr>
          <w:rFonts w:ascii="Arial" w:eastAsia="Times New Roman" w:hAnsi="Arial" w:cs="Arial"/>
          <w:sz w:val="24"/>
          <w:szCs w:val="24"/>
          <w:lang w:eastAsia="sl-SI"/>
        </w:rPr>
        <w:t>rih</w:t>
      </w:r>
      <w:r w:rsidR="002B4990">
        <w:rPr>
          <w:rFonts w:ascii="Arial" w:eastAsia="Times New Roman" w:hAnsi="Arial" w:cs="Arial"/>
          <w:sz w:val="24"/>
          <w:szCs w:val="24"/>
          <w:lang w:eastAsia="sl-SI"/>
        </w:rPr>
        <w:t xml:space="preserve"> za obveščanje</w:t>
      </w:r>
      <w:r w:rsidR="0054485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9464E0">
        <w:rPr>
          <w:rFonts w:ascii="Arial" w:eastAsia="Times New Roman" w:hAnsi="Arial" w:cs="Arial"/>
          <w:sz w:val="24"/>
          <w:szCs w:val="24"/>
          <w:lang w:eastAsia="sl-SI"/>
        </w:rPr>
        <w:t>je bilo</w:t>
      </w:r>
      <w:r w:rsidR="0054485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21.</w:t>
      </w:r>
      <w:r w:rsidR="005F0E3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7.</w:t>
      </w:r>
      <w:r w:rsidR="005F0E3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2025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in sicer 2539</w:t>
      </w:r>
      <w:r w:rsidR="002B4990">
        <w:rPr>
          <w:rFonts w:ascii="Arial" w:eastAsia="Times New Roman" w:hAnsi="Arial" w:cs="Arial"/>
          <w:sz w:val="24"/>
          <w:szCs w:val="24"/>
          <w:lang w:eastAsia="sl-SI"/>
        </w:rPr>
        <w:t xml:space="preserve"> klicev</w:t>
      </w:r>
      <w:r w:rsidR="00C733F5">
        <w:rPr>
          <w:rFonts w:ascii="Arial" w:eastAsia="Times New Roman" w:hAnsi="Arial" w:cs="Arial"/>
          <w:sz w:val="24"/>
          <w:szCs w:val="24"/>
          <w:lang w:eastAsia="sl-SI"/>
        </w:rPr>
        <w:t>. Največ klicev</w:t>
      </w:r>
      <w:r w:rsidR="00544854">
        <w:rPr>
          <w:rFonts w:ascii="Arial" w:eastAsia="Times New Roman" w:hAnsi="Arial" w:cs="Arial"/>
          <w:sz w:val="24"/>
          <w:szCs w:val="24"/>
          <w:lang w:eastAsia="sl-SI"/>
        </w:rPr>
        <w:t xml:space="preserve"> tega dne</w:t>
      </w:r>
      <w:r w:rsidR="00C733F5">
        <w:rPr>
          <w:rFonts w:ascii="Arial" w:eastAsia="Times New Roman" w:hAnsi="Arial" w:cs="Arial"/>
          <w:sz w:val="24"/>
          <w:szCs w:val="24"/>
          <w:lang w:eastAsia="sl-SI"/>
        </w:rPr>
        <w:t xml:space="preserve"> v eni uri, </w:t>
      </w:r>
      <w:r w:rsidR="00891FF6">
        <w:rPr>
          <w:rFonts w:ascii="Arial" w:eastAsia="Times New Roman" w:hAnsi="Arial" w:cs="Arial"/>
          <w:sz w:val="24"/>
          <w:szCs w:val="24"/>
          <w:lang w:eastAsia="sl-SI"/>
        </w:rPr>
        <w:t xml:space="preserve">med </w:t>
      </w:r>
      <w:r w:rsidR="00C92F11">
        <w:rPr>
          <w:rFonts w:ascii="Arial" w:eastAsia="Times New Roman" w:hAnsi="Arial" w:cs="Arial"/>
          <w:sz w:val="24"/>
          <w:szCs w:val="24"/>
          <w:lang w:eastAsia="sl-SI"/>
        </w:rPr>
        <w:t>19</w:t>
      </w:r>
      <w:r w:rsidR="00891FF6">
        <w:rPr>
          <w:rFonts w:ascii="Arial" w:eastAsia="Times New Roman" w:hAnsi="Arial" w:cs="Arial"/>
          <w:sz w:val="24"/>
          <w:szCs w:val="24"/>
          <w:lang w:eastAsia="sl-SI"/>
        </w:rPr>
        <w:t>. in</w:t>
      </w:r>
      <w:r w:rsidR="00C92F11">
        <w:rPr>
          <w:rFonts w:ascii="Arial" w:eastAsia="Times New Roman" w:hAnsi="Arial" w:cs="Arial"/>
          <w:sz w:val="24"/>
          <w:szCs w:val="24"/>
          <w:lang w:eastAsia="sl-SI"/>
        </w:rPr>
        <w:t xml:space="preserve"> 20</w:t>
      </w:r>
      <w:r w:rsidR="00891FF6">
        <w:rPr>
          <w:rFonts w:ascii="Arial" w:eastAsia="Times New Roman" w:hAnsi="Arial" w:cs="Arial"/>
          <w:sz w:val="24"/>
          <w:szCs w:val="24"/>
          <w:lang w:eastAsia="sl-SI"/>
        </w:rPr>
        <w:t>. uro</w:t>
      </w:r>
      <w:r w:rsidR="00C733F5">
        <w:rPr>
          <w:rFonts w:ascii="Arial" w:eastAsia="Times New Roman" w:hAnsi="Arial" w:cs="Arial"/>
          <w:sz w:val="24"/>
          <w:szCs w:val="24"/>
          <w:lang w:eastAsia="sl-SI"/>
        </w:rPr>
        <w:t>, pa je bilo</w:t>
      </w:r>
      <w:r w:rsidR="000F469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92F11">
        <w:rPr>
          <w:rFonts w:ascii="Arial" w:eastAsia="Times New Roman" w:hAnsi="Arial" w:cs="Arial"/>
          <w:sz w:val="24"/>
          <w:szCs w:val="24"/>
          <w:lang w:eastAsia="sl-SI"/>
        </w:rPr>
        <w:t>393</w:t>
      </w:r>
      <w:r w:rsidR="000F4694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C05453">
        <w:rPr>
          <w:rFonts w:ascii="Arial" w:eastAsia="Times New Roman" w:hAnsi="Arial" w:cs="Arial"/>
          <w:sz w:val="24"/>
          <w:szCs w:val="24"/>
          <w:lang w:eastAsia="sl-SI"/>
        </w:rPr>
        <w:t xml:space="preserve"> Po posamezn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>ih</w:t>
      </w:r>
      <w:r w:rsidR="00C05453">
        <w:rPr>
          <w:rFonts w:ascii="Arial" w:eastAsia="Times New Roman" w:hAnsi="Arial" w:cs="Arial"/>
          <w:sz w:val="24"/>
          <w:szCs w:val="24"/>
          <w:lang w:eastAsia="sl-SI"/>
        </w:rPr>
        <w:t xml:space="preserve"> ReCO je bilo tega dne </w:t>
      </w:r>
      <w:r w:rsidR="00560379">
        <w:rPr>
          <w:rFonts w:ascii="Arial" w:eastAsia="Times New Roman" w:hAnsi="Arial" w:cs="Arial"/>
          <w:sz w:val="24"/>
          <w:szCs w:val="24"/>
          <w:lang w:eastAsia="sl-SI"/>
        </w:rPr>
        <w:t>808</w:t>
      </w:r>
      <w:r w:rsidR="00C05453">
        <w:rPr>
          <w:rFonts w:ascii="Arial" w:eastAsia="Times New Roman" w:hAnsi="Arial" w:cs="Arial"/>
          <w:sz w:val="24"/>
          <w:szCs w:val="24"/>
          <w:lang w:eastAsia="sl-SI"/>
        </w:rPr>
        <w:t xml:space="preserve"> klicev v ReCO Ljubljana</w:t>
      </w:r>
      <w:r w:rsidR="00560379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C0545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560379">
        <w:rPr>
          <w:rFonts w:ascii="Arial" w:eastAsia="Times New Roman" w:hAnsi="Arial" w:cs="Arial"/>
          <w:sz w:val="24"/>
          <w:szCs w:val="24"/>
          <w:lang w:eastAsia="sl-SI"/>
        </w:rPr>
        <w:t>322</w:t>
      </w:r>
      <w:r w:rsidR="00C05453">
        <w:rPr>
          <w:rFonts w:ascii="Arial" w:eastAsia="Times New Roman" w:hAnsi="Arial" w:cs="Arial"/>
          <w:sz w:val="24"/>
          <w:szCs w:val="24"/>
          <w:lang w:eastAsia="sl-SI"/>
        </w:rPr>
        <w:t xml:space="preserve"> klicev v ReCO Celje, </w:t>
      </w:r>
      <w:r w:rsidR="00560379">
        <w:rPr>
          <w:rFonts w:ascii="Arial" w:eastAsia="Times New Roman" w:hAnsi="Arial" w:cs="Arial"/>
          <w:sz w:val="24"/>
          <w:szCs w:val="24"/>
          <w:lang w:eastAsia="sl-SI"/>
        </w:rPr>
        <w:t>194</w:t>
      </w:r>
      <w:r w:rsidR="00C05453">
        <w:rPr>
          <w:rFonts w:ascii="Arial" w:eastAsia="Times New Roman" w:hAnsi="Arial" w:cs="Arial"/>
          <w:sz w:val="24"/>
          <w:szCs w:val="24"/>
          <w:lang w:eastAsia="sl-SI"/>
        </w:rPr>
        <w:t xml:space="preserve"> klicev v </w:t>
      </w:r>
      <w:r w:rsidR="004E00D8">
        <w:rPr>
          <w:rFonts w:ascii="Arial" w:eastAsia="Times New Roman" w:hAnsi="Arial" w:cs="Arial"/>
          <w:sz w:val="24"/>
          <w:szCs w:val="24"/>
          <w:lang w:eastAsia="sl-SI"/>
        </w:rPr>
        <w:t>ReCO</w:t>
      </w:r>
      <w:r w:rsidR="00C05453">
        <w:rPr>
          <w:rFonts w:ascii="Arial" w:eastAsia="Times New Roman" w:hAnsi="Arial" w:cs="Arial"/>
          <w:sz w:val="24"/>
          <w:szCs w:val="24"/>
          <w:lang w:eastAsia="sl-SI"/>
        </w:rPr>
        <w:t xml:space="preserve"> Maribor</w:t>
      </w:r>
      <w:r w:rsidR="00560379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4E00D8">
        <w:rPr>
          <w:rFonts w:ascii="Arial" w:eastAsia="Times New Roman" w:hAnsi="Arial" w:cs="Arial"/>
          <w:sz w:val="24"/>
          <w:szCs w:val="24"/>
          <w:lang w:eastAsia="sl-SI"/>
        </w:rPr>
        <w:t xml:space="preserve">188 klicev v ReCO </w:t>
      </w:r>
      <w:r w:rsidR="00560379">
        <w:rPr>
          <w:rFonts w:ascii="Arial" w:eastAsia="Times New Roman" w:hAnsi="Arial" w:cs="Arial"/>
          <w:sz w:val="24"/>
          <w:szCs w:val="24"/>
          <w:lang w:eastAsia="sl-SI"/>
        </w:rPr>
        <w:t>Kranj</w:t>
      </w:r>
      <w:r w:rsidR="00C05453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4E00D8">
        <w:rPr>
          <w:rFonts w:ascii="Arial" w:eastAsia="Times New Roman" w:hAnsi="Arial" w:cs="Arial"/>
          <w:sz w:val="24"/>
          <w:szCs w:val="24"/>
          <w:lang w:eastAsia="sl-SI"/>
        </w:rPr>
        <w:t xml:space="preserve">184 klicev v ReCO </w:t>
      </w:r>
      <w:r w:rsidR="00560379">
        <w:rPr>
          <w:rFonts w:ascii="Arial" w:eastAsia="Times New Roman" w:hAnsi="Arial" w:cs="Arial"/>
          <w:sz w:val="24"/>
          <w:szCs w:val="24"/>
          <w:lang w:eastAsia="sl-SI"/>
        </w:rPr>
        <w:t>Nov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560379">
        <w:rPr>
          <w:rFonts w:ascii="Arial" w:eastAsia="Times New Roman" w:hAnsi="Arial" w:cs="Arial"/>
          <w:sz w:val="24"/>
          <w:szCs w:val="24"/>
          <w:lang w:eastAsia="sl-SI"/>
        </w:rPr>
        <w:t xml:space="preserve"> Goric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4E00D8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61130C">
        <w:rPr>
          <w:rFonts w:ascii="Arial" w:eastAsia="Times New Roman" w:hAnsi="Arial" w:cs="Arial"/>
          <w:sz w:val="24"/>
          <w:szCs w:val="24"/>
          <w:lang w:eastAsia="sl-SI"/>
        </w:rPr>
        <w:t xml:space="preserve">164 klicev v ReCO Novo mesto, 151 klicev v ReCO Brežice, 137 klicev v ReCO Koper, 101 klic v ReCO Murska Sobota, 99 klicev v ReCO Trbovlje, 67 klicev v ReCO </w:t>
      </w:r>
      <w:r w:rsidR="00F44BAF">
        <w:rPr>
          <w:rFonts w:ascii="Arial" w:eastAsia="Times New Roman" w:hAnsi="Arial" w:cs="Arial"/>
          <w:sz w:val="24"/>
          <w:szCs w:val="24"/>
          <w:lang w:eastAsia="sl-SI"/>
        </w:rPr>
        <w:t xml:space="preserve">Slovenj Gradec, </w:t>
      </w:r>
      <w:r w:rsidR="00515B74">
        <w:rPr>
          <w:rFonts w:ascii="Arial" w:eastAsia="Times New Roman" w:hAnsi="Arial" w:cs="Arial"/>
          <w:sz w:val="24"/>
          <w:szCs w:val="24"/>
          <w:lang w:eastAsia="sl-SI"/>
        </w:rPr>
        <w:t xml:space="preserve">63 klicev v ReCO </w:t>
      </w:r>
      <w:r w:rsidR="0061130C">
        <w:rPr>
          <w:rFonts w:ascii="Arial" w:eastAsia="Times New Roman" w:hAnsi="Arial" w:cs="Arial"/>
          <w:sz w:val="24"/>
          <w:szCs w:val="24"/>
          <w:lang w:eastAsia="sl-SI"/>
        </w:rPr>
        <w:t xml:space="preserve">Postojna in 61 klicev v ReCO Ptuj. </w:t>
      </w:r>
      <w:r w:rsidR="00B673C4" w:rsidRPr="004F0A50">
        <w:rPr>
          <w:rFonts w:ascii="Arial" w:eastAsia="Times New Roman" w:hAnsi="Arial" w:cs="Arial"/>
          <w:sz w:val="24"/>
          <w:szCs w:val="24"/>
          <w:lang w:eastAsia="sl-SI"/>
        </w:rPr>
        <w:t xml:space="preserve">Pri pregledu podatkov v sistemu SPIN </w:t>
      </w:r>
      <w:r w:rsidR="008B50FC" w:rsidRPr="004F0A50">
        <w:rPr>
          <w:rFonts w:ascii="Arial" w:eastAsia="Times New Roman" w:hAnsi="Arial" w:cs="Arial"/>
          <w:sz w:val="24"/>
          <w:szCs w:val="24"/>
          <w:lang w:eastAsia="sl-SI"/>
        </w:rPr>
        <w:t>je bil</w:t>
      </w:r>
      <w:r w:rsidR="0056037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0E3CF5" w:rsidRPr="004F0A50">
        <w:rPr>
          <w:rFonts w:ascii="Arial" w:eastAsia="Times New Roman" w:hAnsi="Arial" w:cs="Arial"/>
          <w:sz w:val="24"/>
          <w:szCs w:val="24"/>
          <w:lang w:eastAsia="sl-SI"/>
        </w:rPr>
        <w:t>v tem obdobju odprt</w:t>
      </w:r>
      <w:r w:rsidR="008B50FC" w:rsidRPr="004F0A5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5C04EC">
        <w:rPr>
          <w:rFonts w:ascii="Arial" w:eastAsia="Times New Roman" w:hAnsi="Arial" w:cs="Arial"/>
          <w:sz w:val="24"/>
          <w:szCs w:val="24"/>
          <w:lang w:eastAsia="sl-SI"/>
        </w:rPr>
        <w:t xml:space="preserve">dogodek </w:t>
      </w:r>
      <w:r w:rsidR="005C04EC" w:rsidRPr="004F0A50">
        <w:rPr>
          <w:rFonts w:ascii="Arial" w:eastAsia="Times New Roman" w:hAnsi="Arial" w:cs="Arial"/>
          <w:sz w:val="24"/>
          <w:szCs w:val="24"/>
          <w:lang w:eastAsia="sl-SI"/>
        </w:rPr>
        <w:t>večj</w:t>
      </w:r>
      <w:r w:rsidR="005C04EC">
        <w:rPr>
          <w:rFonts w:ascii="Arial" w:eastAsia="Times New Roman" w:hAnsi="Arial" w:cs="Arial"/>
          <w:sz w:val="24"/>
          <w:szCs w:val="24"/>
          <w:lang w:eastAsia="sl-SI"/>
        </w:rPr>
        <w:t xml:space="preserve">ega </w:t>
      </w:r>
      <w:r w:rsidR="000E3CF5" w:rsidRPr="004F0A50">
        <w:rPr>
          <w:rFonts w:ascii="Arial" w:eastAsia="Times New Roman" w:hAnsi="Arial" w:cs="Arial"/>
          <w:sz w:val="24"/>
          <w:szCs w:val="24"/>
          <w:lang w:eastAsia="sl-SI"/>
        </w:rPr>
        <w:t>obseg</w:t>
      </w:r>
      <w:r w:rsidR="005C04EC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0E3CF5" w:rsidRPr="004F0A5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8B50FC" w:rsidRPr="004F0A50">
        <w:rPr>
          <w:rFonts w:ascii="Arial" w:eastAsia="Times New Roman" w:hAnsi="Arial" w:cs="Arial"/>
          <w:sz w:val="24"/>
          <w:szCs w:val="24"/>
          <w:lang w:eastAsia="sl-SI"/>
        </w:rPr>
        <w:t>neurje z močnim vetrom</w:t>
      </w:r>
      <w:r w:rsidR="00AE0E32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E3502F">
        <w:rPr>
          <w:rFonts w:ascii="Arial" w:eastAsia="Times New Roman" w:hAnsi="Arial" w:cs="Arial"/>
          <w:sz w:val="24"/>
          <w:szCs w:val="24"/>
          <w:lang w:eastAsia="sl-SI"/>
        </w:rPr>
        <w:t xml:space="preserve"> Večje število</w:t>
      </w:r>
      <w:r w:rsidR="00AE0E3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E3502F">
        <w:rPr>
          <w:rFonts w:ascii="Arial" w:eastAsia="Times New Roman" w:hAnsi="Arial" w:cs="Arial"/>
          <w:sz w:val="24"/>
          <w:szCs w:val="24"/>
          <w:lang w:eastAsia="sl-SI"/>
        </w:rPr>
        <w:t>i</w:t>
      </w:r>
      <w:r w:rsidR="00B673C4" w:rsidRPr="004F0A50">
        <w:rPr>
          <w:rFonts w:ascii="Arial" w:eastAsia="Times New Roman" w:hAnsi="Arial" w:cs="Arial"/>
          <w:sz w:val="24"/>
          <w:szCs w:val="24"/>
          <w:lang w:eastAsia="sl-SI"/>
        </w:rPr>
        <w:t>ntervencij</w:t>
      </w:r>
      <w:r w:rsidR="004319E9" w:rsidRPr="004F0A50">
        <w:rPr>
          <w:rFonts w:ascii="Arial" w:eastAsia="Times New Roman" w:hAnsi="Arial" w:cs="Arial"/>
          <w:sz w:val="24"/>
          <w:szCs w:val="24"/>
          <w:lang w:eastAsia="sl-SI"/>
        </w:rPr>
        <w:t xml:space="preserve"> gasil</w:t>
      </w:r>
      <w:r w:rsidR="008B50FC" w:rsidRPr="004F0A50">
        <w:rPr>
          <w:rFonts w:ascii="Arial" w:eastAsia="Times New Roman" w:hAnsi="Arial" w:cs="Arial"/>
          <w:sz w:val="24"/>
          <w:szCs w:val="24"/>
          <w:lang w:eastAsia="sl-SI"/>
        </w:rPr>
        <w:t>cev</w:t>
      </w:r>
      <w:r w:rsidR="004319E9" w:rsidRPr="004F0A50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>drugih</w:t>
      </w:r>
      <w:r w:rsidR="001E526C" w:rsidRPr="004F0A5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4319E9" w:rsidRPr="004F0A50">
        <w:rPr>
          <w:rFonts w:ascii="Arial" w:eastAsia="Times New Roman" w:hAnsi="Arial" w:cs="Arial"/>
          <w:sz w:val="24"/>
          <w:szCs w:val="24"/>
          <w:lang w:eastAsia="sl-SI"/>
        </w:rPr>
        <w:t>služb</w:t>
      </w:r>
      <w:r w:rsidR="00613C04" w:rsidRPr="004F0A50">
        <w:rPr>
          <w:rFonts w:ascii="Arial" w:eastAsia="Times New Roman" w:hAnsi="Arial" w:cs="Arial"/>
          <w:sz w:val="24"/>
          <w:szCs w:val="24"/>
          <w:lang w:eastAsia="sl-SI"/>
        </w:rPr>
        <w:t xml:space="preserve"> v sistemu zaščite in reševanja</w:t>
      </w:r>
      <w:r w:rsidR="00B673C4" w:rsidRPr="004F0A5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>je bilo</w:t>
      </w:r>
      <w:r w:rsidR="00B673C4" w:rsidRPr="004F0A50">
        <w:rPr>
          <w:rFonts w:ascii="Arial" w:eastAsia="Times New Roman" w:hAnsi="Arial" w:cs="Arial"/>
          <w:sz w:val="24"/>
          <w:szCs w:val="24"/>
          <w:lang w:eastAsia="sl-SI"/>
        </w:rPr>
        <w:t xml:space="preserve"> večin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>oma</w:t>
      </w:r>
      <w:r w:rsidR="00B673C4" w:rsidRPr="004F0A50">
        <w:rPr>
          <w:rFonts w:ascii="Arial" w:eastAsia="Times New Roman" w:hAnsi="Arial" w:cs="Arial"/>
          <w:sz w:val="24"/>
          <w:szCs w:val="24"/>
          <w:lang w:eastAsia="sl-SI"/>
        </w:rPr>
        <w:t xml:space="preserve"> zaradi </w:t>
      </w:r>
      <w:r w:rsidR="00B95AA4">
        <w:rPr>
          <w:rFonts w:ascii="Arial" w:eastAsia="Times New Roman" w:hAnsi="Arial" w:cs="Arial"/>
          <w:sz w:val="24"/>
          <w:szCs w:val="24"/>
          <w:lang w:eastAsia="sl-SI"/>
        </w:rPr>
        <w:t xml:space="preserve">vetroloma </w:t>
      </w:r>
      <w:r w:rsidR="00560379">
        <w:rPr>
          <w:rFonts w:ascii="Arial" w:eastAsia="Times New Roman" w:hAnsi="Arial" w:cs="Arial"/>
          <w:sz w:val="24"/>
          <w:szCs w:val="24"/>
          <w:lang w:eastAsia="sl-SI"/>
        </w:rPr>
        <w:t>(</w:t>
      </w:r>
      <w:r w:rsidR="00560379" w:rsidRPr="00560379">
        <w:rPr>
          <w:rFonts w:ascii="Arial" w:eastAsia="Times New Roman" w:hAnsi="Arial" w:cs="Arial"/>
          <w:sz w:val="24"/>
          <w:szCs w:val="24"/>
          <w:lang w:eastAsia="sl-SI"/>
        </w:rPr>
        <w:t>odstranjevanje podrtega drevja, prekrivanj</w:t>
      </w:r>
      <w:r w:rsidR="00A9203E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="00560379" w:rsidRPr="00560379">
        <w:rPr>
          <w:rFonts w:ascii="Arial" w:eastAsia="Times New Roman" w:hAnsi="Arial" w:cs="Arial"/>
          <w:sz w:val="24"/>
          <w:szCs w:val="24"/>
          <w:lang w:eastAsia="sl-SI"/>
        </w:rPr>
        <w:t xml:space="preserve"> streh objektov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 xml:space="preserve"> itn.</w:t>
      </w:r>
      <w:r w:rsidR="005C04EC">
        <w:rPr>
          <w:rFonts w:ascii="Arial" w:eastAsia="Times New Roman" w:hAnsi="Arial" w:cs="Arial"/>
          <w:sz w:val="24"/>
          <w:szCs w:val="24"/>
          <w:lang w:eastAsia="sl-SI"/>
        </w:rPr>
        <w:t>)</w:t>
      </w:r>
      <w:r w:rsidR="00B95AA4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6CFFCBA4" w14:textId="6CE6CC5A" w:rsidR="003545EA" w:rsidRDefault="003545EA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Največ klicev v enem dnevu p</w:t>
      </w:r>
      <w:r w:rsidR="0049221D">
        <w:rPr>
          <w:rFonts w:ascii="Arial" w:eastAsia="Times New Roman" w:hAnsi="Arial" w:cs="Arial"/>
          <w:sz w:val="24"/>
          <w:szCs w:val="24"/>
          <w:lang w:eastAsia="sl-SI"/>
        </w:rPr>
        <w:t>o posamezn</w:t>
      </w:r>
      <w:r w:rsidR="009464E0">
        <w:rPr>
          <w:rFonts w:ascii="Arial" w:eastAsia="Times New Roman" w:hAnsi="Arial" w:cs="Arial"/>
          <w:sz w:val="24"/>
          <w:szCs w:val="24"/>
          <w:lang w:eastAsia="sl-SI"/>
        </w:rPr>
        <w:t>ih</w:t>
      </w:r>
      <w:r w:rsidR="0049221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1E526C">
        <w:rPr>
          <w:rFonts w:ascii="Arial" w:eastAsia="Times New Roman" w:hAnsi="Arial" w:cs="Arial"/>
          <w:sz w:val="24"/>
          <w:szCs w:val="24"/>
          <w:lang w:eastAsia="sl-SI"/>
        </w:rPr>
        <w:t>r</w:t>
      </w:r>
      <w:r w:rsidR="0049221D">
        <w:rPr>
          <w:rFonts w:ascii="Arial" w:eastAsia="Times New Roman" w:hAnsi="Arial" w:cs="Arial"/>
          <w:sz w:val="24"/>
          <w:szCs w:val="24"/>
          <w:lang w:eastAsia="sl-SI"/>
        </w:rPr>
        <w:t>egijsk</w:t>
      </w:r>
      <w:r w:rsidR="009464E0">
        <w:rPr>
          <w:rFonts w:ascii="Arial" w:eastAsia="Times New Roman" w:hAnsi="Arial" w:cs="Arial"/>
          <w:sz w:val="24"/>
          <w:szCs w:val="24"/>
          <w:lang w:eastAsia="sl-SI"/>
        </w:rPr>
        <w:t>ih</w:t>
      </w:r>
      <w:r w:rsidR="000E078A">
        <w:rPr>
          <w:rFonts w:ascii="Arial" w:eastAsia="Times New Roman" w:hAnsi="Arial" w:cs="Arial"/>
          <w:sz w:val="24"/>
          <w:szCs w:val="24"/>
          <w:lang w:eastAsia="sl-SI"/>
        </w:rPr>
        <w:t xml:space="preserve"> ce</w:t>
      </w:r>
      <w:r w:rsidR="0049221D">
        <w:rPr>
          <w:rFonts w:ascii="Arial" w:eastAsia="Times New Roman" w:hAnsi="Arial" w:cs="Arial"/>
          <w:sz w:val="24"/>
          <w:szCs w:val="24"/>
          <w:lang w:eastAsia="sl-SI"/>
        </w:rPr>
        <w:t>ntr</w:t>
      </w:r>
      <w:r w:rsidR="009464E0">
        <w:rPr>
          <w:rFonts w:ascii="Arial" w:eastAsia="Times New Roman" w:hAnsi="Arial" w:cs="Arial"/>
          <w:sz w:val="24"/>
          <w:szCs w:val="24"/>
          <w:lang w:eastAsia="sl-SI"/>
        </w:rPr>
        <w:t>ih</w:t>
      </w:r>
      <w:r w:rsidR="00C028ED">
        <w:rPr>
          <w:rFonts w:ascii="Arial" w:eastAsia="Times New Roman" w:hAnsi="Arial" w:cs="Arial"/>
          <w:sz w:val="24"/>
          <w:szCs w:val="24"/>
          <w:lang w:eastAsia="sl-SI"/>
        </w:rPr>
        <w:t xml:space="preserve"> z</w:t>
      </w:r>
      <w:r w:rsidR="00480225">
        <w:rPr>
          <w:rFonts w:ascii="Arial" w:eastAsia="Times New Roman" w:hAnsi="Arial" w:cs="Arial"/>
          <w:sz w:val="24"/>
          <w:szCs w:val="24"/>
          <w:lang w:eastAsia="sl-SI"/>
        </w:rPr>
        <w:t>a obveščanje</w:t>
      </w:r>
      <w:r w:rsidR="00C333C1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7F68DA">
        <w:rPr>
          <w:rFonts w:ascii="Arial" w:eastAsia="Times New Roman" w:hAnsi="Arial" w:cs="Arial"/>
          <w:sz w:val="24"/>
          <w:szCs w:val="24"/>
          <w:lang w:eastAsia="sl-SI"/>
        </w:rPr>
        <w:t xml:space="preserve">(zaradi </w:t>
      </w:r>
      <w:r w:rsidR="0049221D">
        <w:rPr>
          <w:rFonts w:ascii="Arial" w:eastAsia="Times New Roman" w:hAnsi="Arial" w:cs="Arial"/>
          <w:sz w:val="24"/>
          <w:szCs w:val="24"/>
          <w:lang w:eastAsia="sl-SI"/>
        </w:rPr>
        <w:t>naravn</w:t>
      </w:r>
      <w:r w:rsidR="007F68DA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="0049221D">
        <w:rPr>
          <w:rFonts w:ascii="Arial" w:eastAsia="Times New Roman" w:hAnsi="Arial" w:cs="Arial"/>
          <w:sz w:val="24"/>
          <w:szCs w:val="24"/>
          <w:lang w:eastAsia="sl-SI"/>
        </w:rPr>
        <w:t xml:space="preserve"> in/ali drug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="0049221D">
        <w:rPr>
          <w:rFonts w:ascii="Arial" w:eastAsia="Times New Roman" w:hAnsi="Arial" w:cs="Arial"/>
          <w:sz w:val="24"/>
          <w:szCs w:val="24"/>
          <w:lang w:eastAsia="sl-SI"/>
        </w:rPr>
        <w:t xml:space="preserve"> nesreč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="009464E0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C333C1">
        <w:rPr>
          <w:rFonts w:ascii="Arial" w:eastAsia="Times New Roman" w:hAnsi="Arial" w:cs="Arial"/>
          <w:sz w:val="24"/>
          <w:szCs w:val="24"/>
          <w:lang w:eastAsia="sl-SI"/>
        </w:rPr>
        <w:t xml:space="preserve"> večje število klicev krajanov zaradi drugih</w:t>
      </w:r>
      <w:r w:rsidR="00E059AD">
        <w:rPr>
          <w:rFonts w:ascii="Arial" w:eastAsia="Times New Roman" w:hAnsi="Arial" w:cs="Arial"/>
          <w:sz w:val="24"/>
          <w:szCs w:val="24"/>
          <w:lang w:eastAsia="sl-SI"/>
        </w:rPr>
        <w:t xml:space="preserve"> vzrokov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 xml:space="preserve"> oziroma </w:t>
      </w:r>
      <w:r w:rsidR="00E059AD">
        <w:rPr>
          <w:rFonts w:ascii="Arial" w:eastAsia="Times New Roman" w:hAnsi="Arial" w:cs="Arial"/>
          <w:sz w:val="24"/>
          <w:szCs w:val="24"/>
          <w:lang w:eastAsia="sl-SI"/>
        </w:rPr>
        <w:t>več različnih dogodkov</w:t>
      </w:r>
      <w:r w:rsidR="0049221D">
        <w:rPr>
          <w:rFonts w:ascii="Arial" w:eastAsia="Times New Roman" w:hAnsi="Arial" w:cs="Arial"/>
          <w:sz w:val="24"/>
          <w:szCs w:val="24"/>
          <w:lang w:eastAsia="sl-SI"/>
        </w:rPr>
        <w:t>)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je bilo v </w:t>
      </w:r>
      <w:r w:rsidR="007B28B4">
        <w:rPr>
          <w:rFonts w:ascii="Arial" w:eastAsia="Times New Roman" w:hAnsi="Arial" w:cs="Arial"/>
          <w:sz w:val="24"/>
          <w:szCs w:val="24"/>
          <w:lang w:eastAsia="sl-SI"/>
        </w:rPr>
        <w:t xml:space="preserve">ReCO </w:t>
      </w:r>
      <w:r w:rsidR="008B2712">
        <w:rPr>
          <w:rFonts w:ascii="Arial" w:eastAsia="Times New Roman" w:hAnsi="Arial" w:cs="Arial"/>
          <w:sz w:val="24"/>
          <w:szCs w:val="24"/>
          <w:lang w:eastAsia="sl-SI"/>
        </w:rPr>
        <w:t xml:space="preserve">Ljubljana </w:t>
      </w:r>
      <w:r>
        <w:rPr>
          <w:rFonts w:ascii="Arial" w:eastAsia="Times New Roman" w:hAnsi="Arial" w:cs="Arial"/>
          <w:sz w:val="24"/>
          <w:szCs w:val="24"/>
          <w:lang w:eastAsia="sl-SI"/>
        </w:rPr>
        <w:t>21.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7.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2025</w:t>
      </w:r>
      <w:r w:rsidR="00E30650">
        <w:rPr>
          <w:rFonts w:ascii="Arial" w:eastAsia="Times New Roman" w:hAnsi="Arial" w:cs="Arial"/>
          <w:sz w:val="24"/>
          <w:szCs w:val="24"/>
          <w:lang w:eastAsia="sl-SI"/>
        </w:rPr>
        <w:t>, in sicer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808</w:t>
      </w:r>
      <w:r w:rsidR="00EB0497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028ED">
        <w:rPr>
          <w:rFonts w:ascii="Arial" w:eastAsia="Times New Roman" w:hAnsi="Arial" w:cs="Arial"/>
          <w:sz w:val="24"/>
          <w:szCs w:val="24"/>
          <w:lang w:eastAsia="sl-SI"/>
        </w:rPr>
        <w:t>klicev</w:t>
      </w:r>
      <w:r w:rsidR="007B28B4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v </w:t>
      </w:r>
      <w:r w:rsidR="00DB27E0">
        <w:rPr>
          <w:rFonts w:ascii="Arial" w:eastAsia="Times New Roman" w:hAnsi="Arial" w:cs="Arial"/>
          <w:sz w:val="24"/>
          <w:szCs w:val="24"/>
          <w:lang w:eastAsia="sl-SI"/>
        </w:rPr>
        <w:t xml:space="preserve">ReCO </w:t>
      </w:r>
      <w:r>
        <w:rPr>
          <w:rFonts w:ascii="Arial" w:eastAsia="Times New Roman" w:hAnsi="Arial" w:cs="Arial"/>
          <w:sz w:val="24"/>
          <w:szCs w:val="24"/>
          <w:lang w:eastAsia="sl-SI"/>
        </w:rPr>
        <w:t>Novo mesto 16.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9.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2025</w:t>
      </w:r>
      <w:r w:rsidR="000E4D2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621 </w:t>
      </w:r>
      <w:r w:rsidR="00662538">
        <w:rPr>
          <w:rFonts w:ascii="Arial" w:eastAsia="Times New Roman" w:hAnsi="Arial" w:cs="Arial"/>
          <w:sz w:val="24"/>
          <w:szCs w:val="24"/>
          <w:lang w:eastAsia="sl-SI"/>
        </w:rPr>
        <w:t>klicev</w:t>
      </w:r>
      <w:r w:rsidR="00CE73B5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v </w:t>
      </w:r>
      <w:r w:rsidR="006629A0">
        <w:rPr>
          <w:rFonts w:ascii="Arial" w:eastAsia="Times New Roman" w:hAnsi="Arial" w:cs="Arial"/>
          <w:sz w:val="24"/>
          <w:szCs w:val="24"/>
          <w:lang w:eastAsia="sl-SI"/>
        </w:rPr>
        <w:t xml:space="preserve">ReCO Koper </w:t>
      </w:r>
      <w:r>
        <w:rPr>
          <w:rFonts w:ascii="Arial" w:eastAsia="Times New Roman" w:hAnsi="Arial" w:cs="Arial"/>
          <w:sz w:val="24"/>
          <w:szCs w:val="24"/>
          <w:lang w:eastAsia="sl-SI"/>
        </w:rPr>
        <w:t>29.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8.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2025 446 klicev</w:t>
      </w:r>
      <w:r w:rsidR="007F68DA">
        <w:rPr>
          <w:rFonts w:ascii="Arial" w:eastAsia="Times New Roman" w:hAnsi="Arial" w:cs="Arial"/>
          <w:sz w:val="24"/>
          <w:szCs w:val="24"/>
          <w:lang w:eastAsia="sl-SI"/>
        </w:rPr>
        <w:t>, v ReCO Maribor 27.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7F68DA">
        <w:rPr>
          <w:rFonts w:ascii="Arial" w:eastAsia="Times New Roman" w:hAnsi="Arial" w:cs="Arial"/>
          <w:sz w:val="24"/>
          <w:szCs w:val="24"/>
          <w:lang w:eastAsia="sl-SI"/>
        </w:rPr>
        <w:t>5.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7F68DA">
        <w:rPr>
          <w:rFonts w:ascii="Arial" w:eastAsia="Times New Roman" w:hAnsi="Arial" w:cs="Arial"/>
          <w:sz w:val="24"/>
          <w:szCs w:val="24"/>
          <w:lang w:eastAsia="sl-SI"/>
        </w:rPr>
        <w:t>2025</w:t>
      </w:r>
      <w:r w:rsidR="000E4D2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7F68DA">
        <w:rPr>
          <w:rFonts w:ascii="Arial" w:eastAsia="Times New Roman" w:hAnsi="Arial" w:cs="Arial"/>
          <w:sz w:val="24"/>
          <w:szCs w:val="24"/>
          <w:lang w:eastAsia="sl-SI"/>
        </w:rPr>
        <w:t>353 klicev, v ReCO Celje 5.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7F68DA">
        <w:rPr>
          <w:rFonts w:ascii="Arial" w:eastAsia="Times New Roman" w:hAnsi="Arial" w:cs="Arial"/>
          <w:sz w:val="24"/>
          <w:szCs w:val="24"/>
          <w:lang w:eastAsia="sl-SI"/>
        </w:rPr>
        <w:t>9.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7F68DA">
        <w:rPr>
          <w:rFonts w:ascii="Arial" w:eastAsia="Times New Roman" w:hAnsi="Arial" w:cs="Arial"/>
          <w:sz w:val="24"/>
          <w:szCs w:val="24"/>
          <w:lang w:eastAsia="sl-SI"/>
        </w:rPr>
        <w:t>2025</w:t>
      </w:r>
      <w:r w:rsidR="00705904">
        <w:rPr>
          <w:rFonts w:ascii="Arial" w:eastAsia="Times New Roman" w:hAnsi="Arial" w:cs="Arial"/>
          <w:sz w:val="24"/>
          <w:szCs w:val="24"/>
          <w:lang w:eastAsia="sl-SI"/>
        </w:rPr>
        <w:t xml:space="preserve"> 325 klicev</w:t>
      </w:r>
      <w:r w:rsidR="007F68DA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70590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0E4D2A">
        <w:rPr>
          <w:rFonts w:ascii="Arial" w:eastAsia="Times New Roman" w:hAnsi="Arial" w:cs="Arial"/>
          <w:sz w:val="24"/>
          <w:szCs w:val="24"/>
          <w:lang w:eastAsia="sl-SI"/>
        </w:rPr>
        <w:t>v ReCO Postojna 29.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0E4D2A">
        <w:rPr>
          <w:rFonts w:ascii="Arial" w:eastAsia="Times New Roman" w:hAnsi="Arial" w:cs="Arial"/>
          <w:sz w:val="24"/>
          <w:szCs w:val="24"/>
          <w:lang w:eastAsia="sl-SI"/>
        </w:rPr>
        <w:t>8.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0E4D2A">
        <w:rPr>
          <w:rFonts w:ascii="Arial" w:eastAsia="Times New Roman" w:hAnsi="Arial" w:cs="Arial"/>
          <w:sz w:val="24"/>
          <w:szCs w:val="24"/>
          <w:lang w:eastAsia="sl-SI"/>
        </w:rPr>
        <w:t>2025 293 klicev, v ReCO Kranj 23.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0E4D2A">
        <w:rPr>
          <w:rFonts w:ascii="Arial" w:eastAsia="Times New Roman" w:hAnsi="Arial" w:cs="Arial"/>
          <w:sz w:val="24"/>
          <w:szCs w:val="24"/>
          <w:lang w:eastAsia="sl-SI"/>
        </w:rPr>
        <w:t>9.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0E4D2A">
        <w:rPr>
          <w:rFonts w:ascii="Arial" w:eastAsia="Times New Roman" w:hAnsi="Arial" w:cs="Arial"/>
          <w:sz w:val="24"/>
          <w:szCs w:val="24"/>
          <w:lang w:eastAsia="sl-SI"/>
        </w:rPr>
        <w:t>2025 266 klicev,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 xml:space="preserve"> v ReCO Nova Gorica 17.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11.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2025 229 klicev, v ReCO Murska Sobota 3.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2.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2025 227 klicev, v ReCO Kranj 21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>. 1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2.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2025 195 klicev, v ReCO Ptuj 25.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12.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2025 164 klicev, v ReCO Slovenj Gradec 4.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7.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2025 123 klicev in v ReCO Trbovlje 21.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7.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A2ECC">
        <w:rPr>
          <w:rFonts w:ascii="Arial" w:eastAsia="Times New Roman" w:hAnsi="Arial" w:cs="Arial"/>
          <w:sz w:val="24"/>
          <w:szCs w:val="24"/>
          <w:lang w:eastAsia="sl-SI"/>
        </w:rPr>
        <w:t>2025 99 klicev.</w:t>
      </w:r>
    </w:p>
    <w:p w14:paraId="2C343B68" w14:textId="54DD248C" w:rsidR="00287083" w:rsidRPr="00287083" w:rsidRDefault="005C2CD2" w:rsidP="00AC22B0">
      <w:pPr>
        <w:spacing w:before="100" w:beforeAutospacing="1" w:after="100" w:afterAutospacing="1" w:line="240" w:lineRule="auto"/>
        <w:jc w:val="both"/>
        <w:rPr>
          <w:i/>
          <w:sz w:val="18"/>
          <w:szCs w:val="18"/>
        </w:rPr>
      </w:pPr>
      <w:r w:rsidRPr="005C2CD2">
        <w:rPr>
          <w:i/>
          <w:noProof/>
          <w:sz w:val="18"/>
          <w:szCs w:val="18"/>
        </w:rPr>
        <w:lastRenderedPageBreak/>
        <w:drawing>
          <wp:inline distT="0" distB="0" distL="0" distR="0" wp14:anchorId="243722A6" wp14:editId="723912F1">
            <wp:extent cx="6133432" cy="2531660"/>
            <wp:effectExtent l="0" t="0" r="1270" b="2540"/>
            <wp:docPr id="2" name="Slika 2" descr="Letni prikaz 2025 števila dohodnih klicev po urah in Regijskih centrih za obveščan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1298" cy="267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42D7" w:rsidRPr="00287083">
        <w:rPr>
          <w:i/>
          <w:sz w:val="18"/>
          <w:szCs w:val="18"/>
        </w:rPr>
        <w:t xml:space="preserve">Slika </w:t>
      </w:r>
      <w:r w:rsidR="00ED50BC" w:rsidRPr="00287083">
        <w:rPr>
          <w:i/>
          <w:noProof/>
          <w:sz w:val="18"/>
          <w:szCs w:val="18"/>
        </w:rPr>
        <w:t>2</w:t>
      </w:r>
      <w:r w:rsidR="0014363A">
        <w:rPr>
          <w:i/>
          <w:noProof/>
          <w:sz w:val="18"/>
          <w:szCs w:val="18"/>
        </w:rPr>
        <w:t>:</w:t>
      </w:r>
      <w:r w:rsidR="00ED50BC" w:rsidRPr="00287083">
        <w:rPr>
          <w:i/>
          <w:noProof/>
          <w:sz w:val="18"/>
          <w:szCs w:val="18"/>
        </w:rPr>
        <w:t xml:space="preserve"> </w:t>
      </w:r>
      <w:r w:rsidR="009464E0">
        <w:rPr>
          <w:i/>
          <w:sz w:val="18"/>
          <w:szCs w:val="18"/>
        </w:rPr>
        <w:t>P</w:t>
      </w:r>
      <w:r w:rsidR="001A42D7" w:rsidRPr="00287083">
        <w:rPr>
          <w:i/>
          <w:sz w:val="18"/>
          <w:szCs w:val="18"/>
        </w:rPr>
        <w:t>rikaz</w:t>
      </w:r>
      <w:r w:rsidR="002D750A" w:rsidRPr="00287083">
        <w:rPr>
          <w:i/>
          <w:sz w:val="18"/>
          <w:szCs w:val="18"/>
        </w:rPr>
        <w:t xml:space="preserve"> </w:t>
      </w:r>
      <w:r w:rsidR="001A42D7" w:rsidRPr="00287083">
        <w:rPr>
          <w:i/>
          <w:sz w:val="18"/>
          <w:szCs w:val="18"/>
        </w:rPr>
        <w:t xml:space="preserve">števila dohodnih klicev po urah </w:t>
      </w:r>
      <w:r w:rsidR="006542A8" w:rsidRPr="00287083">
        <w:rPr>
          <w:i/>
          <w:sz w:val="18"/>
          <w:szCs w:val="18"/>
        </w:rPr>
        <w:t xml:space="preserve">in </w:t>
      </w:r>
      <w:r w:rsidR="0014363A">
        <w:rPr>
          <w:i/>
          <w:sz w:val="18"/>
          <w:szCs w:val="18"/>
        </w:rPr>
        <w:t>r</w:t>
      </w:r>
      <w:r w:rsidR="00EC102B" w:rsidRPr="00287083">
        <w:rPr>
          <w:i/>
          <w:sz w:val="18"/>
          <w:szCs w:val="18"/>
        </w:rPr>
        <w:t>egijskih centrih za obveščanje</w:t>
      </w:r>
      <w:r w:rsidR="0014363A" w:rsidRPr="0014363A">
        <w:rPr>
          <w:i/>
          <w:sz w:val="18"/>
          <w:szCs w:val="18"/>
        </w:rPr>
        <w:t xml:space="preserve"> </w:t>
      </w:r>
      <w:r w:rsidR="0014363A">
        <w:rPr>
          <w:i/>
          <w:sz w:val="18"/>
          <w:szCs w:val="18"/>
        </w:rPr>
        <w:t xml:space="preserve">leta </w:t>
      </w:r>
      <w:r w:rsidR="0014363A" w:rsidRPr="00287083">
        <w:rPr>
          <w:i/>
          <w:sz w:val="18"/>
          <w:szCs w:val="18"/>
        </w:rPr>
        <w:t>202</w:t>
      </w:r>
      <w:r w:rsidR="0014363A">
        <w:rPr>
          <w:i/>
          <w:sz w:val="18"/>
          <w:szCs w:val="18"/>
        </w:rPr>
        <w:t>5</w:t>
      </w:r>
    </w:p>
    <w:p w14:paraId="6AD7BCC0" w14:textId="7A3569FA" w:rsidR="008D1D73" w:rsidRPr="00C140C5" w:rsidRDefault="005B33DC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Največ dohodnih klicev po urah v vseh 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r</w:t>
      </w:r>
      <w:r w:rsidRPr="00C140C5">
        <w:rPr>
          <w:rFonts w:ascii="Arial" w:eastAsia="Times New Roman" w:hAnsi="Arial" w:cs="Arial"/>
          <w:sz w:val="24"/>
          <w:szCs w:val="24"/>
          <w:lang w:eastAsia="sl-SI"/>
        </w:rPr>
        <w:t>egijskih centrih za obveščanje je bilo med 10</w:t>
      </w:r>
      <w:r w:rsidR="00C140C5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Pr="00C140C5">
        <w:rPr>
          <w:rFonts w:ascii="Arial" w:eastAsia="Times New Roman" w:hAnsi="Arial" w:cs="Arial"/>
          <w:sz w:val="24"/>
          <w:szCs w:val="24"/>
          <w:lang w:eastAsia="sl-SI"/>
        </w:rPr>
        <w:t>in 11.</w:t>
      </w:r>
      <w:r w:rsidR="00C140C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C140C5">
        <w:rPr>
          <w:rFonts w:ascii="Arial" w:eastAsia="Times New Roman" w:hAnsi="Arial" w:cs="Arial"/>
          <w:sz w:val="24"/>
          <w:szCs w:val="24"/>
          <w:lang w:eastAsia="sl-SI"/>
        </w:rPr>
        <w:t>uro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in sicer skupino 34.466 klicev.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8C6056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Največ </w:t>
      </w:r>
      <w:r w:rsidR="001F02CB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dohodnih </w:t>
      </w:r>
      <w:r w:rsidR="008C6056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klicev v eni uri je bilo </w:t>
      </w:r>
      <w:r w:rsidR="00C03E9E" w:rsidRPr="00C140C5">
        <w:rPr>
          <w:rFonts w:ascii="Arial" w:eastAsia="Times New Roman" w:hAnsi="Arial" w:cs="Arial"/>
          <w:sz w:val="24"/>
          <w:szCs w:val="24"/>
          <w:lang w:eastAsia="sl-SI"/>
        </w:rPr>
        <w:t>v R</w:t>
      </w:r>
      <w:r w:rsidR="004521EE" w:rsidRPr="00C140C5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="000A1610">
        <w:rPr>
          <w:rFonts w:ascii="Arial" w:eastAsia="Times New Roman" w:hAnsi="Arial" w:cs="Arial"/>
          <w:sz w:val="24"/>
          <w:szCs w:val="24"/>
          <w:lang w:eastAsia="sl-SI"/>
        </w:rPr>
        <w:t>CO</w:t>
      </w:r>
      <w:r w:rsidR="009C7A66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B61146" w:rsidRPr="00C140C5">
        <w:rPr>
          <w:rFonts w:ascii="Arial" w:eastAsia="Times New Roman" w:hAnsi="Arial" w:cs="Arial"/>
          <w:sz w:val="24"/>
          <w:szCs w:val="24"/>
          <w:lang w:eastAsia="sl-SI"/>
        </w:rPr>
        <w:t>Novo mesto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, in sicer</w:t>
      </w:r>
      <w:r w:rsidR="001111D7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F10AA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209 </w:t>
      </w:r>
      <w:r w:rsidR="001111D7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klicev </w:t>
      </w:r>
      <w:r w:rsidR="00916C2A" w:rsidRPr="00C140C5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FF10AA" w:rsidRPr="00C140C5">
        <w:rPr>
          <w:rFonts w:ascii="Arial" w:eastAsia="Times New Roman" w:hAnsi="Arial" w:cs="Arial"/>
          <w:sz w:val="24"/>
          <w:szCs w:val="24"/>
          <w:lang w:eastAsia="sl-SI"/>
        </w:rPr>
        <w:t>6</w:t>
      </w:r>
      <w:r w:rsidR="00916C2A" w:rsidRPr="00C140C5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916C2A" w:rsidRPr="00C140C5">
        <w:rPr>
          <w:rFonts w:ascii="Arial" w:eastAsia="Times New Roman" w:hAnsi="Arial" w:cs="Arial"/>
          <w:sz w:val="24"/>
          <w:szCs w:val="24"/>
          <w:lang w:eastAsia="sl-SI"/>
        </w:rPr>
        <w:t>9.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916C2A" w:rsidRPr="00C140C5">
        <w:rPr>
          <w:rFonts w:ascii="Arial" w:eastAsia="Times New Roman" w:hAnsi="Arial" w:cs="Arial"/>
          <w:sz w:val="24"/>
          <w:szCs w:val="24"/>
          <w:lang w:eastAsia="sl-SI"/>
        </w:rPr>
        <w:t>202</w:t>
      </w:r>
      <w:r w:rsidR="00FF10AA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5 </w:t>
      </w:r>
      <w:r w:rsidR="001111D7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od </w:t>
      </w:r>
      <w:r w:rsidR="00FF10AA" w:rsidRPr="00C140C5">
        <w:rPr>
          <w:rFonts w:ascii="Arial" w:eastAsia="Times New Roman" w:hAnsi="Arial" w:cs="Arial"/>
          <w:sz w:val="24"/>
          <w:szCs w:val="24"/>
          <w:lang w:eastAsia="sl-SI"/>
        </w:rPr>
        <w:t>14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1111D7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do </w:t>
      </w:r>
      <w:r w:rsidR="00FF10AA" w:rsidRPr="00C140C5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916C2A" w:rsidRPr="00C140C5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>. ure</w:t>
      </w:r>
      <w:r w:rsidR="001111D7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CF7F00" w:rsidRPr="00C140C5">
        <w:rPr>
          <w:rFonts w:ascii="Arial" w:eastAsia="Times New Roman" w:hAnsi="Arial" w:cs="Arial"/>
          <w:sz w:val="24"/>
          <w:szCs w:val="24"/>
          <w:lang w:eastAsia="sl-SI"/>
        </w:rPr>
        <w:t>v</w:t>
      </w:r>
      <w:r w:rsidR="003E2F7A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Ljubljani</w:t>
      </w:r>
      <w:r w:rsidR="00CF7F00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E2F7A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187 </w:t>
      </w:r>
      <w:r w:rsidR="00CF7F00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klicev </w:t>
      </w:r>
      <w:r w:rsidR="003E2F7A" w:rsidRPr="00C140C5">
        <w:rPr>
          <w:rFonts w:ascii="Arial" w:eastAsia="Times New Roman" w:hAnsi="Arial" w:cs="Arial"/>
          <w:sz w:val="24"/>
          <w:szCs w:val="24"/>
          <w:lang w:eastAsia="sl-SI"/>
        </w:rPr>
        <w:t>21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7.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202</w:t>
      </w:r>
      <w:r w:rsidR="003E2F7A" w:rsidRPr="00C140C5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CF7F00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od 1</w:t>
      </w:r>
      <w:r w:rsidR="003E2F7A" w:rsidRPr="00C140C5">
        <w:rPr>
          <w:rFonts w:ascii="Arial" w:eastAsia="Times New Roman" w:hAnsi="Arial" w:cs="Arial"/>
          <w:sz w:val="24"/>
          <w:szCs w:val="24"/>
          <w:lang w:eastAsia="sl-SI"/>
        </w:rPr>
        <w:t>8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CF7F00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do 1</w:t>
      </w:r>
      <w:r w:rsidR="003E2F7A" w:rsidRPr="00C140C5">
        <w:rPr>
          <w:rFonts w:ascii="Arial" w:eastAsia="Times New Roman" w:hAnsi="Arial" w:cs="Arial"/>
          <w:sz w:val="24"/>
          <w:szCs w:val="24"/>
          <w:lang w:eastAsia="sl-SI"/>
        </w:rPr>
        <w:t>9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. ure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, v </w:t>
      </w:r>
      <w:r w:rsidR="001C23C2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Kopru 111 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klicev 2</w:t>
      </w:r>
      <w:r w:rsidR="001C23C2" w:rsidRPr="00C140C5">
        <w:rPr>
          <w:rFonts w:ascii="Arial" w:eastAsia="Times New Roman" w:hAnsi="Arial" w:cs="Arial"/>
          <w:sz w:val="24"/>
          <w:szCs w:val="24"/>
          <w:lang w:eastAsia="sl-SI"/>
        </w:rPr>
        <w:t>9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8.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202</w:t>
      </w:r>
      <w:r w:rsidR="001C23C2" w:rsidRPr="00C140C5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od 1</w:t>
      </w:r>
      <w:r w:rsidR="001C23C2" w:rsidRPr="00C140C5">
        <w:rPr>
          <w:rFonts w:ascii="Arial" w:eastAsia="Times New Roman" w:hAnsi="Arial" w:cs="Arial"/>
          <w:sz w:val="24"/>
          <w:szCs w:val="24"/>
          <w:lang w:eastAsia="sl-SI"/>
        </w:rPr>
        <w:t>0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do </w:t>
      </w:r>
      <w:r w:rsidR="001C23C2" w:rsidRPr="00C140C5">
        <w:rPr>
          <w:rFonts w:ascii="Arial" w:eastAsia="Times New Roman" w:hAnsi="Arial" w:cs="Arial"/>
          <w:sz w:val="24"/>
          <w:szCs w:val="24"/>
          <w:lang w:eastAsia="sl-SI"/>
        </w:rPr>
        <w:t>11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>. ure</w:t>
      </w:r>
      <w:r w:rsidR="00864B6D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="001111D7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v </w:t>
      </w:r>
      <w:r w:rsidR="00864B6D" w:rsidRPr="00C140C5">
        <w:rPr>
          <w:rFonts w:ascii="Arial" w:eastAsia="Times New Roman" w:hAnsi="Arial" w:cs="Arial"/>
          <w:sz w:val="24"/>
          <w:szCs w:val="24"/>
          <w:lang w:eastAsia="sl-SI"/>
        </w:rPr>
        <w:t>Celju 91</w:t>
      </w:r>
      <w:r w:rsidR="008D1D73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4521EE" w:rsidRPr="00C140C5">
        <w:rPr>
          <w:rFonts w:ascii="Arial" w:eastAsia="Times New Roman" w:hAnsi="Arial" w:cs="Arial"/>
          <w:sz w:val="24"/>
          <w:szCs w:val="24"/>
          <w:lang w:eastAsia="sl-SI"/>
        </w:rPr>
        <w:t>klicev</w:t>
      </w:r>
      <w:r w:rsidR="00225B65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864B6D" w:rsidRPr="00C140C5">
        <w:rPr>
          <w:rFonts w:ascii="Arial" w:eastAsia="Times New Roman" w:hAnsi="Arial" w:cs="Arial"/>
          <w:sz w:val="24"/>
          <w:szCs w:val="24"/>
          <w:lang w:eastAsia="sl-SI"/>
        </w:rPr>
        <w:t>21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7.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202</w:t>
      </w:r>
      <w:r w:rsidR="00864B6D" w:rsidRPr="00C140C5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8D1D73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od </w:t>
      </w:r>
      <w:r w:rsidR="00864B6D" w:rsidRPr="00C140C5">
        <w:rPr>
          <w:rFonts w:ascii="Arial" w:eastAsia="Times New Roman" w:hAnsi="Arial" w:cs="Arial"/>
          <w:sz w:val="24"/>
          <w:szCs w:val="24"/>
          <w:lang w:eastAsia="sl-SI"/>
        </w:rPr>
        <w:t>19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8D1D73" w:rsidRPr="00C140C5">
        <w:rPr>
          <w:rFonts w:ascii="Arial" w:eastAsia="Times New Roman" w:hAnsi="Arial" w:cs="Arial"/>
          <w:sz w:val="24"/>
          <w:szCs w:val="24"/>
          <w:lang w:eastAsia="sl-SI"/>
        </w:rPr>
        <w:t xml:space="preserve"> do </w:t>
      </w:r>
      <w:r w:rsidR="00B751CB" w:rsidRPr="00C140C5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864B6D" w:rsidRPr="00C140C5">
        <w:rPr>
          <w:rFonts w:ascii="Arial" w:eastAsia="Times New Roman" w:hAnsi="Arial" w:cs="Arial"/>
          <w:sz w:val="24"/>
          <w:szCs w:val="24"/>
          <w:lang w:eastAsia="sl-SI"/>
        </w:rPr>
        <w:t>0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>. ure</w:t>
      </w:r>
      <w:r w:rsidR="0064244B" w:rsidRPr="00C140C5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717105E3" w14:textId="77777777" w:rsidR="00A91F0B" w:rsidRDefault="00A91F0B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7FBC449" w14:textId="46DCA712" w:rsidR="00287083" w:rsidRPr="00294952" w:rsidRDefault="00EB5A26" w:rsidP="00AC22B0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18"/>
          <w:szCs w:val="18"/>
          <w:lang w:eastAsia="sl-SI"/>
        </w:rPr>
      </w:pPr>
      <w:r w:rsidRPr="00EB5A26">
        <w:rPr>
          <w:rFonts w:cstheme="minorHAnsi"/>
          <w:i/>
          <w:noProof/>
          <w:sz w:val="18"/>
          <w:szCs w:val="18"/>
        </w:rPr>
        <w:drawing>
          <wp:inline distT="0" distB="0" distL="0" distR="0" wp14:anchorId="1298A330" wp14:editId="04B910D4">
            <wp:extent cx="6239435" cy="2448560"/>
            <wp:effectExtent l="0" t="0" r="9525" b="8890"/>
            <wp:docPr id="4" name="Slika 4" descr="Dohodni klici 2025 po dnevih po Regijskih centrih za obveščanje (največje število klicev v enem dnevu na dan 21. 7. 2025 in sicer skupno 2.539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2625" cy="257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4CB" w:rsidRPr="00287083">
        <w:rPr>
          <w:rFonts w:cstheme="minorHAnsi"/>
          <w:i/>
          <w:sz w:val="18"/>
          <w:szCs w:val="18"/>
        </w:rPr>
        <w:t xml:space="preserve">Slika </w:t>
      </w:r>
      <w:r w:rsidR="00834C10" w:rsidRPr="00287083">
        <w:rPr>
          <w:rFonts w:cstheme="minorHAnsi"/>
          <w:i/>
          <w:noProof/>
          <w:sz w:val="18"/>
          <w:szCs w:val="18"/>
        </w:rPr>
        <w:t>3</w:t>
      </w:r>
      <w:r w:rsidR="0014363A">
        <w:rPr>
          <w:rFonts w:cstheme="minorHAnsi"/>
          <w:i/>
          <w:noProof/>
          <w:sz w:val="18"/>
          <w:szCs w:val="18"/>
        </w:rPr>
        <w:t>:</w:t>
      </w:r>
      <w:r w:rsidR="00177F48" w:rsidRPr="00287083">
        <w:rPr>
          <w:rFonts w:cstheme="minorHAnsi"/>
          <w:i/>
          <w:sz w:val="18"/>
          <w:szCs w:val="18"/>
        </w:rPr>
        <w:t xml:space="preserve"> Dohodni klici </w:t>
      </w:r>
      <w:r w:rsidR="0014363A">
        <w:rPr>
          <w:rFonts w:cstheme="minorHAnsi"/>
          <w:i/>
          <w:sz w:val="18"/>
          <w:szCs w:val="18"/>
        </w:rPr>
        <w:t xml:space="preserve">leta </w:t>
      </w:r>
      <w:r w:rsidR="00177F48" w:rsidRPr="00287083">
        <w:rPr>
          <w:rFonts w:cstheme="minorHAnsi"/>
          <w:i/>
          <w:sz w:val="18"/>
          <w:szCs w:val="18"/>
        </w:rPr>
        <w:t>202</w:t>
      </w:r>
      <w:r>
        <w:rPr>
          <w:rFonts w:cstheme="minorHAnsi"/>
          <w:i/>
          <w:sz w:val="18"/>
          <w:szCs w:val="18"/>
        </w:rPr>
        <w:t>5</w:t>
      </w:r>
      <w:r w:rsidR="002D750A" w:rsidRPr="00287083">
        <w:rPr>
          <w:rFonts w:cstheme="minorHAnsi"/>
          <w:i/>
          <w:sz w:val="18"/>
          <w:szCs w:val="18"/>
        </w:rPr>
        <w:t xml:space="preserve"> </w:t>
      </w:r>
      <w:r w:rsidR="00B224CB" w:rsidRPr="00287083">
        <w:rPr>
          <w:rFonts w:cstheme="minorHAnsi"/>
          <w:i/>
          <w:sz w:val="18"/>
          <w:szCs w:val="18"/>
        </w:rPr>
        <w:t xml:space="preserve">po dnevih po </w:t>
      </w:r>
      <w:r w:rsidR="0014363A">
        <w:rPr>
          <w:rFonts w:cstheme="minorHAnsi"/>
          <w:i/>
          <w:sz w:val="18"/>
          <w:szCs w:val="18"/>
        </w:rPr>
        <w:t>r</w:t>
      </w:r>
      <w:r w:rsidR="00B224CB" w:rsidRPr="00287083">
        <w:rPr>
          <w:rFonts w:cstheme="minorHAnsi"/>
          <w:i/>
          <w:sz w:val="18"/>
          <w:szCs w:val="18"/>
        </w:rPr>
        <w:t>egijskih centrih za obveščanje (</w:t>
      </w:r>
      <w:r w:rsidR="002D750A" w:rsidRPr="00287083">
        <w:rPr>
          <w:rFonts w:cstheme="minorHAnsi"/>
          <w:i/>
          <w:sz w:val="18"/>
          <w:szCs w:val="18"/>
        </w:rPr>
        <w:t xml:space="preserve">največ klicev v enem dnevu </w:t>
      </w:r>
      <w:r>
        <w:rPr>
          <w:rFonts w:eastAsia="Times New Roman" w:cstheme="minorHAnsi"/>
          <w:i/>
          <w:sz w:val="18"/>
          <w:szCs w:val="18"/>
          <w:lang w:eastAsia="sl-SI"/>
        </w:rPr>
        <w:t>21</w:t>
      </w:r>
      <w:r w:rsidR="002D750A" w:rsidRPr="00287083">
        <w:rPr>
          <w:rFonts w:eastAsia="Times New Roman" w:cstheme="minorHAnsi"/>
          <w:i/>
          <w:sz w:val="18"/>
          <w:szCs w:val="18"/>
          <w:lang w:eastAsia="sl-SI"/>
        </w:rPr>
        <w:t>.</w:t>
      </w:r>
      <w:r w:rsidR="0014363A">
        <w:rPr>
          <w:rFonts w:eastAsia="Times New Roman" w:cstheme="minorHAnsi"/>
          <w:i/>
          <w:sz w:val="18"/>
          <w:szCs w:val="18"/>
          <w:lang w:eastAsia="sl-SI"/>
        </w:rPr>
        <w:t xml:space="preserve"> </w:t>
      </w:r>
      <w:r>
        <w:rPr>
          <w:rFonts w:eastAsia="Times New Roman" w:cstheme="minorHAnsi"/>
          <w:i/>
          <w:sz w:val="18"/>
          <w:szCs w:val="18"/>
          <w:lang w:eastAsia="sl-SI"/>
        </w:rPr>
        <w:t>7</w:t>
      </w:r>
      <w:r w:rsidR="002D750A" w:rsidRPr="00287083">
        <w:rPr>
          <w:rFonts w:eastAsia="Times New Roman" w:cstheme="minorHAnsi"/>
          <w:i/>
          <w:sz w:val="18"/>
          <w:szCs w:val="18"/>
          <w:lang w:eastAsia="sl-SI"/>
        </w:rPr>
        <w:t>.</w:t>
      </w:r>
      <w:r w:rsidR="0014363A">
        <w:rPr>
          <w:rFonts w:eastAsia="Times New Roman" w:cstheme="minorHAnsi"/>
          <w:i/>
          <w:sz w:val="18"/>
          <w:szCs w:val="18"/>
          <w:lang w:eastAsia="sl-SI"/>
        </w:rPr>
        <w:t xml:space="preserve"> </w:t>
      </w:r>
      <w:r w:rsidR="002D750A" w:rsidRPr="00287083">
        <w:rPr>
          <w:rFonts w:eastAsia="Times New Roman" w:cstheme="minorHAnsi"/>
          <w:i/>
          <w:sz w:val="18"/>
          <w:szCs w:val="18"/>
          <w:lang w:eastAsia="sl-SI"/>
        </w:rPr>
        <w:t>202</w:t>
      </w:r>
      <w:r>
        <w:rPr>
          <w:rFonts w:eastAsia="Times New Roman" w:cstheme="minorHAnsi"/>
          <w:i/>
          <w:sz w:val="18"/>
          <w:szCs w:val="18"/>
          <w:lang w:eastAsia="sl-SI"/>
        </w:rPr>
        <w:t>5</w:t>
      </w:r>
      <w:r w:rsidR="0014363A">
        <w:rPr>
          <w:rFonts w:eastAsia="Times New Roman" w:cstheme="minorHAnsi"/>
          <w:i/>
          <w:sz w:val="18"/>
          <w:szCs w:val="18"/>
          <w:lang w:eastAsia="sl-SI"/>
        </w:rPr>
        <w:t>,</w:t>
      </w:r>
      <w:r w:rsidR="002D750A" w:rsidRPr="00287083">
        <w:rPr>
          <w:rFonts w:eastAsia="Times New Roman" w:cstheme="minorHAnsi"/>
          <w:i/>
          <w:sz w:val="18"/>
          <w:szCs w:val="18"/>
          <w:lang w:eastAsia="sl-SI"/>
        </w:rPr>
        <w:t xml:space="preserve"> in sicer skupno </w:t>
      </w:r>
      <w:r w:rsidR="004309FF">
        <w:rPr>
          <w:rFonts w:eastAsia="Times New Roman" w:cstheme="minorHAnsi"/>
          <w:i/>
          <w:sz w:val="18"/>
          <w:szCs w:val="18"/>
          <w:lang w:eastAsia="sl-SI"/>
        </w:rPr>
        <w:t>2539</w:t>
      </w:r>
      <w:r w:rsidR="002D750A" w:rsidRPr="00287083">
        <w:rPr>
          <w:rFonts w:eastAsia="Times New Roman" w:cstheme="minorHAnsi"/>
          <w:i/>
          <w:sz w:val="18"/>
          <w:szCs w:val="18"/>
          <w:lang w:eastAsia="sl-SI"/>
        </w:rPr>
        <w:t>)</w:t>
      </w:r>
    </w:p>
    <w:p w14:paraId="30A5F0DF" w14:textId="0AB9B2F8" w:rsidR="00EE0A29" w:rsidRDefault="00251033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Največ dohodnih klicev </w:t>
      </w:r>
      <w:r w:rsidR="00970D26">
        <w:rPr>
          <w:rFonts w:ascii="Arial" w:eastAsia="Times New Roman" w:hAnsi="Arial" w:cs="Arial"/>
          <w:sz w:val="24"/>
          <w:szCs w:val="24"/>
          <w:lang w:eastAsia="sl-SI"/>
        </w:rPr>
        <w:t xml:space="preserve">v vseh 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r</w:t>
      </w:r>
      <w:r w:rsidR="00970D26">
        <w:rPr>
          <w:rFonts w:ascii="Arial" w:eastAsia="Times New Roman" w:hAnsi="Arial" w:cs="Arial"/>
          <w:sz w:val="24"/>
          <w:szCs w:val="24"/>
          <w:lang w:eastAsia="sl-SI"/>
        </w:rPr>
        <w:t xml:space="preserve">egijskih centrih za obveščanje </w:t>
      </w:r>
      <w:r>
        <w:rPr>
          <w:rFonts w:ascii="Arial" w:eastAsia="Times New Roman" w:hAnsi="Arial" w:cs="Arial"/>
          <w:sz w:val="24"/>
          <w:szCs w:val="24"/>
          <w:lang w:eastAsia="sl-SI"/>
        </w:rPr>
        <w:t>po mesecih</w:t>
      </w:r>
      <w:r w:rsidR="000A1610">
        <w:rPr>
          <w:rFonts w:ascii="Arial" w:eastAsia="Times New Roman" w:hAnsi="Arial" w:cs="Arial"/>
          <w:sz w:val="24"/>
          <w:szCs w:val="24"/>
          <w:lang w:eastAsia="sl-SI"/>
        </w:rPr>
        <w:t>: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AF07E8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junija </w:t>
      </w:r>
      <w:r w:rsidR="00C96434" w:rsidRPr="00BA3593">
        <w:rPr>
          <w:rFonts w:ascii="Arial" w:eastAsia="Times New Roman" w:hAnsi="Arial" w:cs="Arial"/>
          <w:sz w:val="24"/>
          <w:szCs w:val="24"/>
          <w:u w:val="single"/>
          <w:lang w:eastAsia="sl-SI"/>
        </w:rPr>
        <w:t>202</w:t>
      </w:r>
      <w:r w:rsidR="00AF07E8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5 </w:t>
      </w:r>
      <w:r w:rsidR="00970D26">
        <w:rPr>
          <w:rFonts w:ascii="Arial" w:eastAsia="Times New Roman" w:hAnsi="Arial" w:cs="Arial"/>
          <w:sz w:val="24"/>
          <w:szCs w:val="24"/>
          <w:lang w:eastAsia="sl-SI"/>
        </w:rPr>
        <w:t>(</w:t>
      </w:r>
      <w:r w:rsidR="00F43D11">
        <w:rPr>
          <w:rFonts w:ascii="Arial" w:eastAsia="Times New Roman" w:hAnsi="Arial" w:cs="Arial"/>
          <w:sz w:val="24"/>
          <w:szCs w:val="24"/>
          <w:lang w:eastAsia="sl-SI"/>
        </w:rPr>
        <w:t xml:space="preserve">55.251 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>dohodnih</w:t>
      </w:r>
      <w:r w:rsidR="00970D26">
        <w:rPr>
          <w:rFonts w:ascii="Arial" w:eastAsia="Times New Roman" w:hAnsi="Arial" w:cs="Arial"/>
          <w:sz w:val="24"/>
          <w:szCs w:val="24"/>
          <w:lang w:eastAsia="sl-SI"/>
        </w:rPr>
        <w:t xml:space="preserve"> klicev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v vseh ReCO)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od tega največ v ReCO Ljubljana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, in sicer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43D11">
        <w:rPr>
          <w:rFonts w:ascii="Arial" w:eastAsia="Times New Roman" w:hAnsi="Arial" w:cs="Arial"/>
          <w:sz w:val="24"/>
          <w:szCs w:val="24"/>
          <w:lang w:eastAsia="sl-SI"/>
        </w:rPr>
        <w:t>14.705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, v ReCO </w:t>
      </w:r>
      <w:r w:rsidR="00F43D11">
        <w:rPr>
          <w:rFonts w:ascii="Arial" w:eastAsia="Times New Roman" w:hAnsi="Arial" w:cs="Arial"/>
          <w:sz w:val="24"/>
          <w:szCs w:val="24"/>
          <w:lang w:eastAsia="sl-SI"/>
        </w:rPr>
        <w:t>Celje 6693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 xml:space="preserve">, v </w:t>
      </w:r>
      <w:r w:rsidR="00F43D11">
        <w:rPr>
          <w:rFonts w:ascii="Arial" w:eastAsia="Times New Roman" w:hAnsi="Arial" w:cs="Arial"/>
          <w:sz w:val="24"/>
          <w:szCs w:val="24"/>
          <w:lang w:eastAsia="sl-SI"/>
        </w:rPr>
        <w:t>ReCO Maribor 5699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 xml:space="preserve"> in v ReCO Kranj </w:t>
      </w:r>
      <w:r w:rsidR="00F43D11">
        <w:rPr>
          <w:rFonts w:ascii="Arial" w:eastAsia="Times New Roman" w:hAnsi="Arial" w:cs="Arial"/>
          <w:sz w:val="24"/>
          <w:szCs w:val="24"/>
          <w:lang w:eastAsia="sl-SI"/>
        </w:rPr>
        <w:t>5094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970D2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14363A">
        <w:rPr>
          <w:rFonts w:ascii="Arial" w:eastAsia="Times New Roman" w:hAnsi="Arial" w:cs="Arial"/>
          <w:sz w:val="24"/>
          <w:szCs w:val="24"/>
          <w:u w:val="single"/>
          <w:lang w:eastAsia="sl-SI"/>
        </w:rPr>
        <w:t>J</w:t>
      </w:r>
      <w:r w:rsidR="00F43D11">
        <w:rPr>
          <w:rFonts w:ascii="Arial" w:eastAsia="Times New Roman" w:hAnsi="Arial" w:cs="Arial"/>
          <w:sz w:val="24"/>
          <w:szCs w:val="24"/>
          <w:u w:val="single"/>
          <w:lang w:eastAsia="sl-SI"/>
        </w:rPr>
        <w:t>ulija 2025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(</w:t>
      </w:r>
      <w:r w:rsidR="00F43D11">
        <w:rPr>
          <w:rFonts w:ascii="Arial" w:eastAsia="Times New Roman" w:hAnsi="Arial" w:cs="Arial"/>
          <w:sz w:val="24"/>
          <w:szCs w:val="24"/>
          <w:lang w:eastAsia="sl-SI"/>
        </w:rPr>
        <w:t>52.046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 xml:space="preserve"> dohodnih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klicev v vseh ReCO</w:t>
      </w:r>
      <w:r w:rsidR="00970D26">
        <w:rPr>
          <w:rFonts w:ascii="Arial" w:eastAsia="Times New Roman" w:hAnsi="Arial" w:cs="Arial"/>
          <w:sz w:val="24"/>
          <w:szCs w:val="24"/>
          <w:lang w:eastAsia="sl-SI"/>
        </w:rPr>
        <w:t>)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je bilo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največ 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 xml:space="preserve">klicev 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>v ReCO Ljubljana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, in sicer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F43D11">
        <w:rPr>
          <w:rFonts w:ascii="Arial" w:eastAsia="Times New Roman" w:hAnsi="Arial" w:cs="Arial"/>
          <w:sz w:val="24"/>
          <w:szCs w:val="24"/>
          <w:lang w:eastAsia="sl-SI"/>
        </w:rPr>
        <w:t>4.064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>, v ReCO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43D11">
        <w:rPr>
          <w:rFonts w:ascii="Arial" w:eastAsia="Times New Roman" w:hAnsi="Arial" w:cs="Arial"/>
          <w:sz w:val="24"/>
          <w:szCs w:val="24"/>
          <w:lang w:eastAsia="sl-SI"/>
        </w:rPr>
        <w:t>Celje 5878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>, v ReCO</w:t>
      </w:r>
      <w:r w:rsidR="00F43D11">
        <w:rPr>
          <w:rFonts w:ascii="Arial" w:eastAsia="Times New Roman" w:hAnsi="Arial" w:cs="Arial"/>
          <w:sz w:val="24"/>
          <w:szCs w:val="24"/>
          <w:lang w:eastAsia="sl-SI"/>
        </w:rPr>
        <w:t xml:space="preserve"> Maribor 5664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in v ReCO Kranj </w:t>
      </w:r>
      <w:r w:rsidR="00F43D11">
        <w:rPr>
          <w:rFonts w:ascii="Arial" w:eastAsia="Times New Roman" w:hAnsi="Arial" w:cs="Arial"/>
          <w:sz w:val="24"/>
          <w:szCs w:val="24"/>
          <w:lang w:eastAsia="sl-SI"/>
        </w:rPr>
        <w:t>4827</w:t>
      </w:r>
      <w:r w:rsidR="0014363A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970D2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14363A">
        <w:rPr>
          <w:rFonts w:ascii="Arial" w:eastAsia="Times New Roman" w:hAnsi="Arial" w:cs="Arial"/>
          <w:sz w:val="24"/>
          <w:szCs w:val="24"/>
          <w:u w:val="single"/>
          <w:lang w:eastAsia="sl-SI"/>
        </w:rPr>
        <w:t>A</w:t>
      </w:r>
      <w:r w:rsidR="004C6ABE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vgusta </w:t>
      </w:r>
      <w:r w:rsidR="00716906">
        <w:rPr>
          <w:rFonts w:ascii="Arial" w:eastAsia="Times New Roman" w:hAnsi="Arial" w:cs="Arial"/>
          <w:sz w:val="24"/>
          <w:szCs w:val="24"/>
          <w:u w:val="single"/>
          <w:lang w:eastAsia="sl-SI"/>
        </w:rPr>
        <w:t>2025</w:t>
      </w:r>
      <w:r w:rsidR="0014363A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 </w:t>
      </w:r>
      <w:r w:rsidR="009E6ECD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je bilo 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716906">
        <w:rPr>
          <w:rFonts w:ascii="Arial" w:eastAsia="Times New Roman" w:hAnsi="Arial" w:cs="Arial"/>
          <w:sz w:val="24"/>
          <w:szCs w:val="24"/>
          <w:lang w:eastAsia="sl-SI"/>
        </w:rPr>
        <w:t xml:space="preserve">1.647 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>dohodnih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klicev v vseh ReCO</w:t>
      </w:r>
      <w:r w:rsidR="009E6ECD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od tega največ v ReCO Ljubljana 1</w:t>
      </w:r>
      <w:r w:rsidR="00716906">
        <w:rPr>
          <w:rFonts w:ascii="Arial" w:eastAsia="Times New Roman" w:hAnsi="Arial" w:cs="Arial"/>
          <w:sz w:val="24"/>
          <w:szCs w:val="24"/>
          <w:lang w:eastAsia="sl-SI"/>
        </w:rPr>
        <w:t>2.663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>, v ReCO Celje</w:t>
      </w:r>
      <w:r w:rsidR="00716906">
        <w:rPr>
          <w:rFonts w:ascii="Arial" w:eastAsia="Times New Roman" w:hAnsi="Arial" w:cs="Arial"/>
          <w:sz w:val="24"/>
          <w:szCs w:val="24"/>
          <w:lang w:eastAsia="sl-SI"/>
        </w:rPr>
        <w:t xml:space="preserve"> 5909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 xml:space="preserve">, v ReCO Maribor </w:t>
      </w:r>
      <w:r w:rsidR="00716906">
        <w:rPr>
          <w:rFonts w:ascii="Arial" w:eastAsia="Times New Roman" w:hAnsi="Arial" w:cs="Arial"/>
          <w:sz w:val="24"/>
          <w:szCs w:val="24"/>
          <w:lang w:eastAsia="sl-SI"/>
        </w:rPr>
        <w:t>5466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 xml:space="preserve"> in v ReCO Kranj 4</w:t>
      </w:r>
      <w:r w:rsidR="00716906">
        <w:rPr>
          <w:rFonts w:ascii="Arial" w:eastAsia="Times New Roman" w:hAnsi="Arial" w:cs="Arial"/>
          <w:sz w:val="24"/>
          <w:szCs w:val="24"/>
          <w:lang w:eastAsia="sl-SI"/>
        </w:rPr>
        <w:t>827</w:t>
      </w:r>
      <w:r w:rsidR="00EE0A29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AA21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6916785F" w14:textId="78EC483D" w:rsidR="00176D59" w:rsidRDefault="009E6ECD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lastRenderedPageBreak/>
        <w:t>L</w:t>
      </w:r>
      <w:r w:rsidR="008A0BA8">
        <w:rPr>
          <w:rFonts w:ascii="Arial" w:eastAsia="Times New Roman" w:hAnsi="Arial" w:cs="Arial"/>
          <w:sz w:val="24"/>
          <w:szCs w:val="24"/>
          <w:lang w:eastAsia="sl-SI"/>
        </w:rPr>
        <w:t>et</w:t>
      </w:r>
      <w:r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8A0BA8">
        <w:rPr>
          <w:rFonts w:ascii="Arial" w:eastAsia="Times New Roman" w:hAnsi="Arial" w:cs="Arial"/>
          <w:sz w:val="24"/>
          <w:szCs w:val="24"/>
          <w:lang w:eastAsia="sl-SI"/>
        </w:rPr>
        <w:t xml:space="preserve"> 202</w:t>
      </w:r>
      <w:r w:rsidR="00C11335">
        <w:rPr>
          <w:rFonts w:ascii="Arial" w:eastAsia="Times New Roman" w:hAnsi="Arial" w:cs="Arial"/>
          <w:sz w:val="24"/>
          <w:szCs w:val="24"/>
          <w:lang w:eastAsia="sl-SI"/>
        </w:rPr>
        <w:t xml:space="preserve">5 </w:t>
      </w:r>
      <w:r w:rsidR="005717B5">
        <w:rPr>
          <w:rFonts w:ascii="Arial" w:eastAsia="Times New Roman" w:hAnsi="Arial" w:cs="Arial"/>
          <w:sz w:val="24"/>
          <w:szCs w:val="24"/>
          <w:lang w:eastAsia="sl-SI"/>
        </w:rPr>
        <w:t xml:space="preserve">so </w:t>
      </w:r>
      <w:r w:rsidR="00C11335">
        <w:rPr>
          <w:rFonts w:ascii="Arial" w:eastAsia="Times New Roman" w:hAnsi="Arial" w:cs="Arial"/>
          <w:sz w:val="24"/>
          <w:szCs w:val="24"/>
          <w:lang w:eastAsia="sl-SI"/>
        </w:rPr>
        <w:t>dispečerji v ReCO</w:t>
      </w:r>
      <w:r w:rsidR="008E23BE">
        <w:rPr>
          <w:rFonts w:ascii="Arial" w:eastAsia="Times New Roman" w:hAnsi="Arial" w:cs="Arial"/>
          <w:sz w:val="24"/>
          <w:szCs w:val="24"/>
          <w:lang w:eastAsia="sl-SI"/>
        </w:rPr>
        <w:t xml:space="preserve"> opravili tudi</w:t>
      </w:r>
      <w:r w:rsidR="00C11335">
        <w:rPr>
          <w:rFonts w:ascii="Arial" w:eastAsia="Times New Roman" w:hAnsi="Arial" w:cs="Arial"/>
          <w:sz w:val="24"/>
          <w:szCs w:val="24"/>
          <w:lang w:eastAsia="sl-SI"/>
        </w:rPr>
        <w:t xml:space="preserve"> 307.580</w:t>
      </w:r>
      <w:r w:rsidR="008A0BA8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5717B5">
        <w:rPr>
          <w:rFonts w:ascii="Arial" w:eastAsia="Times New Roman" w:hAnsi="Arial" w:cs="Arial"/>
          <w:sz w:val="24"/>
          <w:szCs w:val="24"/>
          <w:lang w:eastAsia="sl-SI"/>
        </w:rPr>
        <w:t xml:space="preserve">povratnih (odhodnih) klicev in </w:t>
      </w:r>
      <w:r w:rsidR="00053102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C11335">
        <w:rPr>
          <w:rFonts w:ascii="Arial" w:eastAsia="Times New Roman" w:hAnsi="Arial" w:cs="Arial"/>
          <w:sz w:val="24"/>
          <w:szCs w:val="24"/>
          <w:lang w:eastAsia="sl-SI"/>
        </w:rPr>
        <w:t xml:space="preserve">95.514 </w:t>
      </w:r>
      <w:r w:rsidR="005717B5">
        <w:rPr>
          <w:rFonts w:ascii="Arial" w:eastAsia="Times New Roman" w:hAnsi="Arial" w:cs="Arial"/>
          <w:sz w:val="24"/>
          <w:szCs w:val="24"/>
          <w:lang w:eastAsia="sl-SI"/>
        </w:rPr>
        <w:t>prevezav.</w:t>
      </w:r>
    </w:p>
    <w:p w14:paraId="1E14BACB" w14:textId="2B788EFD" w:rsidR="00272929" w:rsidRPr="00272929" w:rsidRDefault="00170D69" w:rsidP="00AC22B0">
      <w:pPr>
        <w:jc w:val="both"/>
        <w:rPr>
          <w:rFonts w:ascii="Arial" w:hAnsi="Arial" w:cs="Arial"/>
          <w:sz w:val="24"/>
          <w:szCs w:val="24"/>
        </w:rPr>
      </w:pPr>
      <w:r w:rsidRPr="00170D69">
        <w:rPr>
          <w:rFonts w:ascii="Arial" w:eastAsia="Times New Roman" w:hAnsi="Arial" w:cs="Arial"/>
          <w:sz w:val="24"/>
          <w:szCs w:val="24"/>
          <w:lang w:eastAsia="sl-SI"/>
        </w:rPr>
        <w:t>Večina klicev na 112 pomeni aktiviranje predvidenih reševalnih enot</w:t>
      </w:r>
      <w:r w:rsidR="00176D59">
        <w:rPr>
          <w:rFonts w:ascii="Arial" w:eastAsia="Times New Roman" w:hAnsi="Arial" w:cs="Arial"/>
          <w:sz w:val="24"/>
          <w:szCs w:val="24"/>
          <w:lang w:eastAsia="sl-SI"/>
        </w:rPr>
        <w:t xml:space="preserve"> in intervencijo. Tudi leta 20</w:t>
      </w:r>
      <w:r w:rsidR="00272929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1D0467">
        <w:rPr>
          <w:rFonts w:ascii="Arial" w:eastAsia="Times New Roman" w:hAnsi="Arial" w:cs="Arial"/>
          <w:sz w:val="24"/>
          <w:szCs w:val="24"/>
          <w:lang w:eastAsia="sl-SI"/>
        </w:rPr>
        <w:t xml:space="preserve">5 </w:t>
      </w:r>
      <w:r w:rsidRPr="00170D69">
        <w:rPr>
          <w:rFonts w:ascii="Arial" w:eastAsia="Times New Roman" w:hAnsi="Arial" w:cs="Arial"/>
          <w:sz w:val="24"/>
          <w:szCs w:val="24"/>
          <w:lang w:eastAsia="sl-SI"/>
        </w:rPr>
        <w:t>s</w:t>
      </w:r>
      <w:r w:rsidR="00493FBB">
        <w:rPr>
          <w:rFonts w:ascii="Arial" w:eastAsia="Times New Roman" w:hAnsi="Arial" w:cs="Arial"/>
          <w:sz w:val="24"/>
          <w:szCs w:val="24"/>
          <w:lang w:eastAsia="sl-SI"/>
        </w:rPr>
        <w:t xml:space="preserve">o ljudje več kot </w:t>
      </w:r>
      <w:r w:rsidR="001D0467">
        <w:rPr>
          <w:rFonts w:ascii="Arial" w:eastAsia="Times New Roman" w:hAnsi="Arial" w:cs="Arial"/>
          <w:sz w:val="24"/>
          <w:szCs w:val="24"/>
          <w:lang w:eastAsia="sl-SI"/>
        </w:rPr>
        <w:t>101.908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-krat </w:t>
      </w:r>
      <w:r w:rsidRPr="00170D69">
        <w:rPr>
          <w:rFonts w:ascii="Arial" w:eastAsia="Times New Roman" w:hAnsi="Arial" w:cs="Arial"/>
          <w:sz w:val="24"/>
          <w:szCs w:val="24"/>
          <w:lang w:eastAsia="sl-SI"/>
        </w:rPr>
        <w:t xml:space="preserve">klicali, ker so potrebovali nujno medicinsko pomoč. V takih primerih </w:t>
      </w:r>
      <w:r w:rsidR="001D0467">
        <w:rPr>
          <w:rFonts w:ascii="Arial" w:eastAsia="Times New Roman" w:hAnsi="Arial" w:cs="Arial"/>
          <w:sz w:val="24"/>
          <w:szCs w:val="24"/>
          <w:lang w:eastAsia="sl-SI"/>
        </w:rPr>
        <w:t>dispečer</w:t>
      </w:r>
      <w:r w:rsidRPr="00170D69">
        <w:rPr>
          <w:rFonts w:ascii="Arial" w:eastAsia="Times New Roman" w:hAnsi="Arial" w:cs="Arial"/>
          <w:sz w:val="24"/>
          <w:szCs w:val="24"/>
          <w:lang w:eastAsia="sl-SI"/>
        </w:rPr>
        <w:t xml:space="preserve"> v regijskem centru za obveščanje preveže klic v najbližji center za nujno medicinsko pomoč. Podatke, koliko klicem za </w:t>
      </w:r>
      <w:r w:rsidR="000A32A8">
        <w:rPr>
          <w:rFonts w:ascii="Arial" w:eastAsia="Times New Roman" w:hAnsi="Arial" w:cs="Arial"/>
          <w:sz w:val="24"/>
          <w:szCs w:val="24"/>
          <w:lang w:eastAsia="sl-SI"/>
        </w:rPr>
        <w:t>tako</w:t>
      </w:r>
      <w:r w:rsidRPr="00170D69">
        <w:rPr>
          <w:rFonts w:ascii="Arial" w:eastAsia="Times New Roman" w:hAnsi="Arial" w:cs="Arial"/>
          <w:sz w:val="24"/>
          <w:szCs w:val="24"/>
          <w:lang w:eastAsia="sl-SI"/>
        </w:rPr>
        <w:t xml:space="preserve"> pomoč je sledila intervencija, imajo centri za nujno </w:t>
      </w:r>
      <w:r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medicinsko pomoč, ki odločajo </w:t>
      </w:r>
      <w:r w:rsidR="009E6ECD">
        <w:rPr>
          <w:rFonts w:ascii="Arial" w:eastAsia="Times New Roman" w:hAnsi="Arial" w:cs="Arial"/>
          <w:sz w:val="24"/>
          <w:szCs w:val="24"/>
          <w:lang w:eastAsia="sl-SI"/>
        </w:rPr>
        <w:t xml:space="preserve">tudi </w:t>
      </w:r>
      <w:r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o nujnosti in vrsti intervencije. Poleg tega so </w:t>
      </w:r>
      <w:r w:rsidR="001D0467"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dispečerji </w:t>
      </w:r>
      <w:r w:rsidR="00493FBB"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opravili </w:t>
      </w:r>
      <w:r w:rsidR="004D26B8" w:rsidRPr="00272929">
        <w:rPr>
          <w:rFonts w:ascii="Arial" w:eastAsia="Times New Roman" w:hAnsi="Arial" w:cs="Arial"/>
          <w:sz w:val="24"/>
          <w:szCs w:val="24"/>
          <w:lang w:eastAsia="sl-SI"/>
        </w:rPr>
        <w:t>11.</w:t>
      </w:r>
      <w:r w:rsidR="001D0467"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374 </w:t>
      </w:r>
      <w:r w:rsidR="00493FBB"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klicev na policijo, </w:t>
      </w:r>
      <w:r w:rsidR="004D26B8" w:rsidRPr="00272929">
        <w:rPr>
          <w:rFonts w:ascii="Arial" w:eastAsia="Times New Roman" w:hAnsi="Arial" w:cs="Arial"/>
          <w:sz w:val="24"/>
          <w:szCs w:val="24"/>
          <w:lang w:eastAsia="sl-SI"/>
        </w:rPr>
        <w:t>19.</w:t>
      </w:r>
      <w:r w:rsidR="001D0467"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593 </w:t>
      </w:r>
      <w:r w:rsidR="00176D59" w:rsidRPr="00272929">
        <w:rPr>
          <w:rFonts w:ascii="Arial" w:eastAsia="Times New Roman" w:hAnsi="Arial" w:cs="Arial"/>
          <w:sz w:val="24"/>
          <w:szCs w:val="24"/>
          <w:lang w:eastAsia="sl-SI"/>
        </w:rPr>
        <w:t>klicev</w:t>
      </w:r>
      <w:r w:rsidR="00493FBB"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 gasilce</w:t>
      </w:r>
      <w:r w:rsidR="009E6ECD">
        <w:rPr>
          <w:rFonts w:ascii="Arial" w:eastAsia="Times New Roman" w:hAnsi="Arial" w:cs="Arial"/>
          <w:sz w:val="24"/>
          <w:szCs w:val="24"/>
          <w:lang w:eastAsia="sl-SI"/>
        </w:rPr>
        <w:t>m</w:t>
      </w:r>
      <w:r w:rsidR="00493FBB"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="001D0467"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174.705 </w:t>
      </w:r>
      <w:r w:rsidR="00272929"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drugih </w:t>
      </w:r>
      <w:r w:rsidR="001D0467" w:rsidRPr="00272929">
        <w:rPr>
          <w:rFonts w:ascii="Arial" w:eastAsia="Times New Roman" w:hAnsi="Arial" w:cs="Arial"/>
          <w:sz w:val="24"/>
          <w:szCs w:val="24"/>
          <w:lang w:eastAsia="sl-SI"/>
        </w:rPr>
        <w:t xml:space="preserve">klicev, </w:t>
      </w:r>
      <w:r w:rsidR="00272929" w:rsidRPr="00272929">
        <w:rPr>
          <w:rFonts w:ascii="Arial" w:hAnsi="Arial" w:cs="Arial"/>
          <w:sz w:val="24"/>
          <w:szCs w:val="24"/>
        </w:rPr>
        <w:t xml:space="preserve">ki jih ni bilo mogoče </w:t>
      </w:r>
      <w:r w:rsidR="00C11F15">
        <w:rPr>
          <w:rFonts w:ascii="Arial" w:hAnsi="Arial" w:cs="Arial"/>
          <w:sz w:val="24"/>
          <w:szCs w:val="24"/>
        </w:rPr>
        <w:t>uvrstiti</w:t>
      </w:r>
      <w:r w:rsidR="00C11F15" w:rsidRPr="00272929">
        <w:rPr>
          <w:rFonts w:ascii="Arial" w:hAnsi="Arial" w:cs="Arial"/>
          <w:sz w:val="24"/>
          <w:szCs w:val="24"/>
        </w:rPr>
        <w:t xml:space="preserve"> </w:t>
      </w:r>
      <w:r w:rsidR="00272929" w:rsidRPr="00272929">
        <w:rPr>
          <w:rFonts w:ascii="Arial" w:hAnsi="Arial" w:cs="Arial"/>
          <w:sz w:val="24"/>
          <w:szCs w:val="24"/>
        </w:rPr>
        <w:t>v eno izmed vrst enot</w:t>
      </w:r>
      <w:r w:rsidR="00272929">
        <w:rPr>
          <w:rFonts w:ascii="Arial" w:hAnsi="Arial" w:cs="Arial"/>
          <w:sz w:val="24"/>
          <w:szCs w:val="24"/>
        </w:rPr>
        <w:t xml:space="preserve"> (zdravstvo, policija, gasilci in druge sile za zaščito in reševanje).</w:t>
      </w:r>
    </w:p>
    <w:p w14:paraId="1C4EAEE7" w14:textId="77777777" w:rsidR="00272929" w:rsidRDefault="00272929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1988D64" w14:textId="77777777" w:rsidR="00176D59" w:rsidRDefault="00015AD2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015AD2">
        <w:rPr>
          <w:rFonts w:ascii="Arial" w:eastAsia="Times New Roman" w:hAnsi="Arial" w:cs="Arial"/>
          <w:noProof/>
          <w:sz w:val="24"/>
          <w:szCs w:val="24"/>
          <w:lang w:eastAsia="sl-SI"/>
        </w:rPr>
        <w:drawing>
          <wp:inline distT="0" distB="0" distL="0" distR="0" wp14:anchorId="4AC744D2" wp14:editId="59A801C8">
            <wp:extent cx="5760720" cy="2305050"/>
            <wp:effectExtent l="0" t="0" r="0" b="0"/>
            <wp:docPr id="5" name="Slika 5" descr="Pregled števila odhodnih klicev 2025 po Regijskih centrih za obveščan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4F505" w14:textId="4B124C30" w:rsidR="00287083" w:rsidRDefault="00303A56" w:rsidP="00AC22B0">
      <w:pPr>
        <w:pStyle w:val="Napis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t xml:space="preserve">Slika </w:t>
      </w:r>
      <w:r w:rsidR="00834C10">
        <w:rPr>
          <w:noProof/>
        </w:rPr>
        <w:t>4</w:t>
      </w:r>
      <w:r w:rsidR="009E6ECD">
        <w:rPr>
          <w:noProof/>
        </w:rPr>
        <w:t>:</w:t>
      </w:r>
      <w:r>
        <w:t xml:space="preserve"> Pregled števila odhodnih klicev </w:t>
      </w:r>
      <w:r w:rsidR="009E6ECD">
        <w:t xml:space="preserve">leta </w:t>
      </w:r>
      <w:r>
        <w:t>202</w:t>
      </w:r>
      <w:r w:rsidR="00015AD2">
        <w:t>5</w:t>
      </w:r>
      <w:r>
        <w:t xml:space="preserve"> po </w:t>
      </w:r>
      <w:r w:rsidR="009E6ECD">
        <w:t>r</w:t>
      </w:r>
      <w:r>
        <w:t>egijskih centrih za obveščanje</w:t>
      </w:r>
    </w:p>
    <w:p w14:paraId="35E8836E" w14:textId="34B38EA9" w:rsidR="00A91F0B" w:rsidRPr="00AB610D" w:rsidRDefault="00052F0C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Dispečerji </w:t>
      </w:r>
      <w:r w:rsidR="005717B5" w:rsidRPr="00AB610D">
        <w:rPr>
          <w:rFonts w:ascii="Arial" w:eastAsia="Times New Roman" w:hAnsi="Arial" w:cs="Arial"/>
          <w:sz w:val="24"/>
          <w:szCs w:val="24"/>
          <w:lang w:eastAsia="sl-SI"/>
        </w:rPr>
        <w:t>so se na 90</w:t>
      </w:r>
      <w:r w:rsidR="00BA1C0C">
        <w:rPr>
          <w:rFonts w:ascii="Arial" w:eastAsia="Times New Roman" w:hAnsi="Arial" w:cs="Arial"/>
          <w:sz w:val="24"/>
          <w:szCs w:val="24"/>
          <w:lang w:eastAsia="sl-SI"/>
        </w:rPr>
        <w:t xml:space="preserve"> odstotkov klicev odz</w:t>
      </w:r>
      <w:r w:rsidR="00F24357">
        <w:rPr>
          <w:rFonts w:ascii="Arial" w:eastAsia="Times New Roman" w:hAnsi="Arial" w:cs="Arial"/>
          <w:sz w:val="24"/>
          <w:szCs w:val="24"/>
          <w:lang w:eastAsia="sl-SI"/>
        </w:rPr>
        <w:t>vali v 5,</w:t>
      </w:r>
      <w:r w:rsidR="00A81A5B">
        <w:rPr>
          <w:rFonts w:ascii="Arial" w:eastAsia="Times New Roman" w:hAnsi="Arial" w:cs="Arial"/>
          <w:sz w:val="24"/>
          <w:szCs w:val="24"/>
          <w:lang w:eastAsia="sl-SI"/>
        </w:rPr>
        <w:t>10</w:t>
      </w:r>
      <w:r w:rsidR="005717B5" w:rsidRPr="00AB610D">
        <w:rPr>
          <w:rFonts w:ascii="Arial" w:eastAsia="Times New Roman" w:hAnsi="Arial" w:cs="Arial"/>
          <w:sz w:val="24"/>
          <w:szCs w:val="24"/>
          <w:lang w:eastAsia="sl-SI"/>
        </w:rPr>
        <w:t xml:space="preserve"> sekunde. V 90 odstotkih vseh klic</w:t>
      </w:r>
      <w:r w:rsidR="005717B5">
        <w:rPr>
          <w:rFonts w:ascii="Arial" w:eastAsia="Times New Roman" w:hAnsi="Arial" w:cs="Arial"/>
          <w:sz w:val="24"/>
          <w:szCs w:val="24"/>
          <w:lang w:eastAsia="sl-SI"/>
        </w:rPr>
        <w:t xml:space="preserve">ev </w:t>
      </w:r>
      <w:r w:rsidR="00F24357">
        <w:rPr>
          <w:rFonts w:ascii="Arial" w:eastAsia="Times New Roman" w:hAnsi="Arial" w:cs="Arial"/>
          <w:sz w:val="24"/>
          <w:szCs w:val="24"/>
          <w:lang w:eastAsia="sl-SI"/>
        </w:rPr>
        <w:t xml:space="preserve">je pogovor trajal </w:t>
      </w:r>
      <w:r w:rsidR="00071316">
        <w:rPr>
          <w:rFonts w:ascii="Arial" w:eastAsia="Times New Roman" w:hAnsi="Arial" w:cs="Arial"/>
          <w:sz w:val="24"/>
          <w:szCs w:val="24"/>
          <w:lang w:eastAsia="sl-SI"/>
        </w:rPr>
        <w:t xml:space="preserve">okoli </w:t>
      </w:r>
      <w:r w:rsidR="00F24357">
        <w:rPr>
          <w:rFonts w:ascii="Arial" w:eastAsia="Times New Roman" w:hAnsi="Arial" w:cs="Arial"/>
          <w:sz w:val="24"/>
          <w:szCs w:val="24"/>
          <w:lang w:eastAsia="sl-SI"/>
        </w:rPr>
        <w:t>8</w:t>
      </w:r>
      <w:r w:rsidR="00C63248">
        <w:rPr>
          <w:rFonts w:ascii="Arial" w:eastAsia="Times New Roman" w:hAnsi="Arial" w:cs="Arial"/>
          <w:sz w:val="24"/>
          <w:szCs w:val="24"/>
          <w:lang w:eastAsia="sl-SI"/>
        </w:rPr>
        <w:t xml:space="preserve">4 </w:t>
      </w:r>
      <w:r w:rsidR="00BA1C0C">
        <w:rPr>
          <w:rFonts w:ascii="Arial" w:eastAsia="Times New Roman" w:hAnsi="Arial" w:cs="Arial"/>
          <w:sz w:val="24"/>
          <w:szCs w:val="24"/>
          <w:lang w:eastAsia="sl-SI"/>
        </w:rPr>
        <w:t>sekund</w:t>
      </w:r>
      <w:r w:rsidR="005717B5" w:rsidRPr="00AB610D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9E6ECD">
        <w:rPr>
          <w:rFonts w:ascii="Arial" w:eastAsia="Times New Roman" w:hAnsi="Arial" w:cs="Arial"/>
          <w:sz w:val="24"/>
          <w:szCs w:val="24"/>
          <w:lang w:eastAsia="sl-SI"/>
        </w:rPr>
        <w:t>naj</w:t>
      </w:r>
      <w:r w:rsidR="000A32A8">
        <w:rPr>
          <w:rFonts w:ascii="Arial" w:eastAsia="Times New Roman" w:hAnsi="Arial" w:cs="Arial"/>
          <w:sz w:val="24"/>
          <w:szCs w:val="24"/>
          <w:lang w:eastAsia="sl-SI"/>
        </w:rPr>
        <w:t>daljši</w:t>
      </w:r>
      <w:r w:rsidR="00F24357">
        <w:rPr>
          <w:rFonts w:ascii="Arial" w:eastAsia="Times New Roman" w:hAnsi="Arial" w:cs="Arial"/>
          <w:sz w:val="24"/>
          <w:szCs w:val="24"/>
          <w:lang w:eastAsia="sl-SI"/>
        </w:rPr>
        <w:t xml:space="preserve"> pogovor </w:t>
      </w:r>
      <w:r w:rsidR="000A32A8">
        <w:rPr>
          <w:rFonts w:ascii="Arial" w:eastAsia="Times New Roman" w:hAnsi="Arial" w:cs="Arial"/>
          <w:sz w:val="24"/>
          <w:szCs w:val="24"/>
          <w:lang w:eastAsia="sl-SI"/>
        </w:rPr>
        <w:t xml:space="preserve">pa je </w:t>
      </w:r>
      <w:r w:rsidR="00D659D0">
        <w:rPr>
          <w:rFonts w:ascii="Arial" w:eastAsia="Times New Roman" w:hAnsi="Arial" w:cs="Arial"/>
          <w:sz w:val="24"/>
          <w:szCs w:val="24"/>
          <w:lang w:eastAsia="sl-SI"/>
        </w:rPr>
        <w:t>bil dolg</w:t>
      </w:r>
      <w:r w:rsidR="000A32A8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24357">
        <w:rPr>
          <w:rFonts w:ascii="Arial" w:eastAsia="Times New Roman" w:hAnsi="Arial" w:cs="Arial"/>
          <w:sz w:val="24"/>
          <w:szCs w:val="24"/>
          <w:lang w:eastAsia="sl-SI"/>
        </w:rPr>
        <w:t>13</w:t>
      </w:r>
      <w:r w:rsidR="00BB49F1">
        <w:rPr>
          <w:rFonts w:ascii="Arial" w:eastAsia="Times New Roman" w:hAnsi="Arial" w:cs="Arial"/>
          <w:sz w:val="24"/>
          <w:szCs w:val="24"/>
          <w:lang w:eastAsia="sl-SI"/>
        </w:rPr>
        <w:t>0</w:t>
      </w:r>
      <w:r w:rsidR="005717B5" w:rsidRPr="00AB610D">
        <w:rPr>
          <w:rFonts w:ascii="Arial" w:eastAsia="Times New Roman" w:hAnsi="Arial" w:cs="Arial"/>
          <w:sz w:val="24"/>
          <w:szCs w:val="24"/>
          <w:lang w:eastAsia="sl-SI"/>
        </w:rPr>
        <w:t xml:space="preserve"> sekund. </w:t>
      </w:r>
    </w:p>
    <w:p w14:paraId="3406D8CC" w14:textId="6ABD1FD7" w:rsidR="00CA5D9E" w:rsidRPr="001B66A6" w:rsidRDefault="00CA5D9E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CA5D9E">
        <w:rPr>
          <w:rFonts w:ascii="Arial" w:eastAsia="Times New Roman" w:hAnsi="Arial" w:cs="Arial"/>
          <w:sz w:val="24"/>
          <w:szCs w:val="24"/>
          <w:lang w:eastAsia="sl-SI"/>
        </w:rPr>
        <w:t>URSZR hrani podatke o intervencijah vseh drugih reševalnih služb. Ob podrobnejšem pregledu dogodkov</w:t>
      </w:r>
      <w:r w:rsidR="009276F0">
        <w:rPr>
          <w:rFonts w:ascii="Arial" w:eastAsia="Times New Roman" w:hAnsi="Arial" w:cs="Arial"/>
          <w:sz w:val="24"/>
          <w:szCs w:val="24"/>
          <w:lang w:eastAsia="sl-SI"/>
        </w:rPr>
        <w:t xml:space="preserve"> (vp</w:t>
      </w:r>
      <w:r w:rsidR="00845D49">
        <w:rPr>
          <w:rFonts w:ascii="Arial" w:eastAsia="Times New Roman" w:hAnsi="Arial" w:cs="Arial"/>
          <w:sz w:val="24"/>
          <w:szCs w:val="24"/>
          <w:lang w:eastAsia="sl-SI"/>
        </w:rPr>
        <w:t xml:space="preserve">ogled </w:t>
      </w:r>
      <w:r w:rsidR="00276EB9">
        <w:rPr>
          <w:rFonts w:ascii="Arial" w:eastAsia="Times New Roman" w:hAnsi="Arial" w:cs="Arial"/>
          <w:sz w:val="24"/>
          <w:szCs w:val="24"/>
          <w:lang w:eastAsia="sl-SI"/>
        </w:rPr>
        <w:t>dne</w:t>
      </w:r>
      <w:r w:rsidR="00080A2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9C7E23">
        <w:rPr>
          <w:rFonts w:ascii="Arial" w:eastAsia="Times New Roman" w:hAnsi="Arial" w:cs="Arial"/>
          <w:sz w:val="24"/>
          <w:szCs w:val="24"/>
          <w:lang w:eastAsia="sl-SI"/>
        </w:rPr>
        <w:t>10.</w:t>
      </w:r>
      <w:r w:rsidR="009B5BA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9C7E23">
        <w:rPr>
          <w:rFonts w:ascii="Arial" w:eastAsia="Times New Roman" w:hAnsi="Arial" w:cs="Arial"/>
          <w:sz w:val="24"/>
          <w:szCs w:val="24"/>
          <w:lang w:eastAsia="sl-SI"/>
        </w:rPr>
        <w:t>3.</w:t>
      </w:r>
      <w:r w:rsidR="009B5BA5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9C7E23">
        <w:rPr>
          <w:rFonts w:ascii="Arial" w:eastAsia="Times New Roman" w:hAnsi="Arial" w:cs="Arial"/>
          <w:sz w:val="24"/>
          <w:szCs w:val="24"/>
          <w:lang w:eastAsia="sl-SI"/>
        </w:rPr>
        <w:t xml:space="preserve">2026 </w:t>
      </w:r>
      <w:r w:rsidR="009276F0">
        <w:rPr>
          <w:rFonts w:ascii="Arial" w:eastAsia="Times New Roman" w:hAnsi="Arial" w:cs="Arial"/>
          <w:sz w:val="24"/>
          <w:szCs w:val="24"/>
          <w:lang w:eastAsia="sl-SI"/>
        </w:rPr>
        <w:t>na podlagi zaključenih in potrjen</w:t>
      </w:r>
      <w:r w:rsidR="00080A22">
        <w:rPr>
          <w:rFonts w:ascii="Arial" w:eastAsia="Times New Roman" w:hAnsi="Arial" w:cs="Arial"/>
          <w:sz w:val="24"/>
          <w:szCs w:val="24"/>
          <w:lang w:eastAsia="sl-SI"/>
        </w:rPr>
        <w:t>ih poročil vodij intervencij v s</w:t>
      </w:r>
      <w:r w:rsidR="009276F0">
        <w:rPr>
          <w:rFonts w:ascii="Arial" w:eastAsia="Times New Roman" w:hAnsi="Arial" w:cs="Arial"/>
          <w:sz w:val="24"/>
          <w:szCs w:val="24"/>
          <w:lang w:eastAsia="sl-SI"/>
        </w:rPr>
        <w:t>istem</w:t>
      </w:r>
      <w:r w:rsidR="00296CB9">
        <w:rPr>
          <w:rFonts w:ascii="Arial" w:eastAsia="Times New Roman" w:hAnsi="Arial" w:cs="Arial"/>
          <w:sz w:val="24"/>
          <w:szCs w:val="24"/>
          <w:lang w:eastAsia="sl-SI"/>
        </w:rPr>
        <w:t>u</w:t>
      </w:r>
      <w:r w:rsidR="00080A2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276EB9">
        <w:rPr>
          <w:rFonts w:ascii="Arial" w:eastAsia="Times New Roman" w:hAnsi="Arial" w:cs="Arial"/>
          <w:sz w:val="24"/>
          <w:szCs w:val="24"/>
          <w:lang w:eastAsia="sl-SI"/>
        </w:rPr>
        <w:t xml:space="preserve">SPIN </w:t>
      </w:r>
      <w:r w:rsidR="00080A22">
        <w:rPr>
          <w:rFonts w:ascii="Arial" w:eastAsia="Times New Roman" w:hAnsi="Arial" w:cs="Arial"/>
          <w:sz w:val="24"/>
          <w:szCs w:val="24"/>
          <w:lang w:eastAsia="sl-SI"/>
        </w:rPr>
        <w:t>za poročanje o intervencijah in nesrečah</w:t>
      </w:r>
      <w:r w:rsidR="00992E70">
        <w:rPr>
          <w:rFonts w:ascii="Arial" w:eastAsia="Times New Roman" w:hAnsi="Arial" w:cs="Arial"/>
          <w:sz w:val="24"/>
          <w:szCs w:val="24"/>
          <w:lang w:eastAsia="sl-SI"/>
        </w:rPr>
        <w:t>) je bilo</w:t>
      </w:r>
      <w:r w:rsidR="00080A22">
        <w:rPr>
          <w:rFonts w:ascii="Arial" w:eastAsia="Times New Roman" w:hAnsi="Arial" w:cs="Arial"/>
          <w:sz w:val="24"/>
          <w:szCs w:val="24"/>
          <w:lang w:eastAsia="sl-SI"/>
        </w:rPr>
        <w:t xml:space="preserve"> let</w:t>
      </w:r>
      <w:r w:rsidR="009B5BA5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080A22">
        <w:rPr>
          <w:rFonts w:ascii="Arial" w:eastAsia="Times New Roman" w:hAnsi="Arial" w:cs="Arial"/>
          <w:sz w:val="24"/>
          <w:szCs w:val="24"/>
          <w:lang w:eastAsia="sl-SI"/>
        </w:rPr>
        <w:t xml:space="preserve"> 202</w:t>
      </w:r>
      <w:r w:rsidR="00EF01BA">
        <w:rPr>
          <w:rFonts w:ascii="Arial" w:eastAsia="Times New Roman" w:hAnsi="Arial" w:cs="Arial"/>
          <w:sz w:val="24"/>
          <w:szCs w:val="24"/>
          <w:lang w:eastAsia="sl-SI"/>
        </w:rPr>
        <w:t xml:space="preserve">5 </w:t>
      </w:r>
      <w:r w:rsidR="00992E70">
        <w:rPr>
          <w:rFonts w:ascii="Arial" w:eastAsia="Times New Roman" w:hAnsi="Arial" w:cs="Arial"/>
          <w:sz w:val="24"/>
          <w:szCs w:val="24"/>
          <w:lang w:eastAsia="sl-SI"/>
        </w:rPr>
        <w:t xml:space="preserve">zaradi nesreč </w:t>
      </w:r>
      <w:r w:rsidR="00EF01BA">
        <w:rPr>
          <w:rFonts w:ascii="Arial" w:eastAsia="Times New Roman" w:hAnsi="Arial" w:cs="Arial"/>
          <w:sz w:val="24"/>
          <w:szCs w:val="24"/>
          <w:lang w:eastAsia="sl-SI"/>
        </w:rPr>
        <w:t>26.685</w:t>
      </w:r>
      <w:r w:rsidR="00296CB9" w:rsidRPr="00DD63A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DD63AF">
        <w:rPr>
          <w:rFonts w:ascii="Arial" w:eastAsia="Times New Roman" w:hAnsi="Arial" w:cs="Arial"/>
          <w:sz w:val="24"/>
          <w:szCs w:val="24"/>
          <w:lang w:eastAsia="sl-SI"/>
        </w:rPr>
        <w:t>intervencij</w:t>
      </w:r>
      <w:r w:rsidRPr="00CA5D9E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992E70">
        <w:rPr>
          <w:rFonts w:ascii="Arial" w:eastAsia="Times New Roman" w:hAnsi="Arial" w:cs="Arial"/>
          <w:sz w:val="24"/>
          <w:szCs w:val="24"/>
          <w:lang w:eastAsia="sl-SI"/>
        </w:rPr>
        <w:t xml:space="preserve">na katerih je sodelovalo </w:t>
      </w:r>
      <w:r w:rsidR="00EF01BA">
        <w:rPr>
          <w:rFonts w:ascii="Arial" w:eastAsia="Times New Roman" w:hAnsi="Arial" w:cs="Arial"/>
          <w:sz w:val="24"/>
          <w:szCs w:val="24"/>
          <w:lang w:eastAsia="sl-SI"/>
        </w:rPr>
        <w:t>166.069</w:t>
      </w:r>
      <w:r w:rsidRPr="00CA5D9E">
        <w:rPr>
          <w:rFonts w:ascii="Arial" w:eastAsia="Times New Roman" w:hAnsi="Arial" w:cs="Arial"/>
          <w:sz w:val="24"/>
          <w:szCs w:val="24"/>
          <w:lang w:eastAsia="sl-SI"/>
        </w:rPr>
        <w:t xml:space="preserve"> pripadnikov različnih sil za </w:t>
      </w:r>
      <w:r w:rsidR="00C11F15">
        <w:rPr>
          <w:rFonts w:ascii="Arial" w:eastAsia="Times New Roman" w:hAnsi="Arial" w:cs="Arial"/>
          <w:sz w:val="24"/>
          <w:szCs w:val="24"/>
          <w:lang w:eastAsia="sl-SI"/>
        </w:rPr>
        <w:t>zaščito, reševanje in pomoč (</w:t>
      </w:r>
      <w:r w:rsidRPr="00CA5D9E">
        <w:rPr>
          <w:rFonts w:ascii="Arial" w:eastAsia="Times New Roman" w:hAnsi="Arial" w:cs="Arial"/>
          <w:sz w:val="24"/>
          <w:szCs w:val="24"/>
          <w:lang w:eastAsia="sl-SI"/>
        </w:rPr>
        <w:t>ZRP</w:t>
      </w:r>
      <w:r w:rsidR="00C11F15">
        <w:rPr>
          <w:rFonts w:ascii="Arial" w:eastAsia="Times New Roman" w:hAnsi="Arial" w:cs="Arial"/>
          <w:sz w:val="24"/>
          <w:szCs w:val="24"/>
          <w:lang w:eastAsia="sl-SI"/>
        </w:rPr>
        <w:t>)</w:t>
      </w:r>
      <w:r w:rsidRPr="00CA5D9E">
        <w:rPr>
          <w:rFonts w:ascii="Arial" w:eastAsia="Times New Roman" w:hAnsi="Arial" w:cs="Arial"/>
          <w:sz w:val="24"/>
          <w:szCs w:val="24"/>
          <w:lang w:eastAsia="sl-SI"/>
        </w:rPr>
        <w:t>. Na</w:t>
      </w:r>
      <w:r w:rsidR="009276F0">
        <w:rPr>
          <w:rFonts w:ascii="Arial" w:eastAsia="Times New Roman" w:hAnsi="Arial" w:cs="Arial"/>
          <w:sz w:val="24"/>
          <w:szCs w:val="24"/>
          <w:lang w:eastAsia="sl-SI"/>
        </w:rPr>
        <w:t>jv</w:t>
      </w:r>
      <w:r w:rsidR="009B74FB">
        <w:rPr>
          <w:rFonts w:ascii="Arial" w:eastAsia="Times New Roman" w:hAnsi="Arial" w:cs="Arial"/>
          <w:sz w:val="24"/>
          <w:szCs w:val="24"/>
          <w:lang w:eastAsia="sl-SI"/>
        </w:rPr>
        <w:t>eč intervencij</w:t>
      </w:r>
      <w:r w:rsidR="00FA489A">
        <w:rPr>
          <w:rFonts w:ascii="Arial" w:eastAsia="Times New Roman" w:hAnsi="Arial" w:cs="Arial"/>
          <w:sz w:val="24"/>
          <w:szCs w:val="24"/>
          <w:lang w:eastAsia="sl-SI"/>
        </w:rPr>
        <w:t>, 3117,</w:t>
      </w:r>
      <w:r w:rsidR="009B74FB">
        <w:rPr>
          <w:rFonts w:ascii="Arial" w:eastAsia="Times New Roman" w:hAnsi="Arial" w:cs="Arial"/>
          <w:sz w:val="24"/>
          <w:szCs w:val="24"/>
          <w:lang w:eastAsia="sl-SI"/>
        </w:rPr>
        <w:t xml:space="preserve"> je bilo </w:t>
      </w:r>
      <w:r w:rsidR="002D4A3A">
        <w:rPr>
          <w:rFonts w:ascii="Arial" w:eastAsia="Times New Roman" w:hAnsi="Arial" w:cs="Arial"/>
          <w:sz w:val="24"/>
          <w:szCs w:val="24"/>
          <w:lang w:eastAsia="sl-SI"/>
        </w:rPr>
        <w:t>julija</w:t>
      </w:r>
      <w:r w:rsidR="009276F0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2D4A3A">
        <w:rPr>
          <w:rFonts w:ascii="Arial" w:eastAsia="Times New Roman" w:hAnsi="Arial" w:cs="Arial"/>
          <w:sz w:val="24"/>
          <w:szCs w:val="24"/>
          <w:lang w:eastAsia="sl-SI"/>
        </w:rPr>
        <w:t>avgust</w:t>
      </w:r>
      <w:r w:rsidR="00FA489A">
        <w:rPr>
          <w:rFonts w:ascii="Arial" w:eastAsia="Times New Roman" w:hAnsi="Arial" w:cs="Arial"/>
          <w:sz w:val="24"/>
          <w:szCs w:val="24"/>
          <w:lang w:eastAsia="sl-SI"/>
        </w:rPr>
        <w:t>a jih je bilo</w:t>
      </w:r>
      <w:r w:rsidR="002E7CB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2D4A3A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A46888">
        <w:rPr>
          <w:rFonts w:ascii="Arial" w:eastAsia="Times New Roman" w:hAnsi="Arial" w:cs="Arial"/>
          <w:sz w:val="24"/>
          <w:szCs w:val="24"/>
          <w:lang w:eastAsia="sl-SI"/>
        </w:rPr>
        <w:t>027</w:t>
      </w:r>
      <w:r w:rsidRPr="00CA5D9E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="002D4A3A">
        <w:rPr>
          <w:rFonts w:ascii="Arial" w:eastAsia="Times New Roman" w:hAnsi="Arial" w:cs="Arial"/>
          <w:sz w:val="24"/>
          <w:szCs w:val="24"/>
          <w:lang w:eastAsia="sl-SI"/>
        </w:rPr>
        <w:t>septemb</w:t>
      </w:r>
      <w:r w:rsidR="00FA489A">
        <w:rPr>
          <w:rFonts w:ascii="Arial" w:eastAsia="Times New Roman" w:hAnsi="Arial" w:cs="Arial"/>
          <w:sz w:val="24"/>
          <w:szCs w:val="24"/>
          <w:lang w:eastAsia="sl-SI"/>
        </w:rPr>
        <w:t>ra</w:t>
      </w:r>
      <w:r w:rsidR="002D4A3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A46888">
        <w:rPr>
          <w:rFonts w:ascii="Arial" w:eastAsia="Times New Roman" w:hAnsi="Arial" w:cs="Arial"/>
          <w:sz w:val="24"/>
          <w:szCs w:val="24"/>
          <w:lang w:eastAsia="sl-SI"/>
        </w:rPr>
        <w:t>2896</w:t>
      </w:r>
      <w:r w:rsidRPr="00CA5D9E">
        <w:rPr>
          <w:rFonts w:ascii="Arial" w:eastAsia="Times New Roman" w:hAnsi="Arial" w:cs="Arial"/>
          <w:sz w:val="24"/>
          <w:szCs w:val="24"/>
          <w:lang w:eastAsia="sl-SI"/>
        </w:rPr>
        <w:t>. Največ posredovanj so opravil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>i</w:t>
      </w:r>
      <w:r w:rsidRPr="00CA5D9E">
        <w:rPr>
          <w:rFonts w:ascii="Arial" w:eastAsia="Times New Roman" w:hAnsi="Arial" w:cs="Arial"/>
          <w:sz w:val="24"/>
          <w:szCs w:val="24"/>
          <w:lang w:eastAsia="sl-SI"/>
        </w:rPr>
        <w:t xml:space="preserve"> prostovoljn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>i</w:t>
      </w:r>
      <w:r w:rsidRPr="00CA5D9E">
        <w:rPr>
          <w:rFonts w:ascii="Arial" w:eastAsia="Times New Roman" w:hAnsi="Arial" w:cs="Arial"/>
          <w:sz w:val="24"/>
          <w:szCs w:val="24"/>
          <w:lang w:eastAsia="sl-SI"/>
        </w:rPr>
        <w:t xml:space="preserve"> t</w:t>
      </w:r>
      <w:r w:rsidR="005046E5">
        <w:rPr>
          <w:rFonts w:ascii="Arial" w:eastAsia="Times New Roman" w:hAnsi="Arial" w:cs="Arial"/>
          <w:sz w:val="24"/>
          <w:szCs w:val="24"/>
          <w:lang w:eastAsia="sl-SI"/>
        </w:rPr>
        <w:t>erit</w:t>
      </w:r>
      <w:r w:rsidR="007E3829">
        <w:rPr>
          <w:rFonts w:ascii="Arial" w:eastAsia="Times New Roman" w:hAnsi="Arial" w:cs="Arial"/>
          <w:sz w:val="24"/>
          <w:szCs w:val="24"/>
          <w:lang w:eastAsia="sl-SI"/>
        </w:rPr>
        <w:t>orialn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>i</w:t>
      </w:r>
      <w:r w:rsidR="007E3829">
        <w:rPr>
          <w:rFonts w:ascii="Arial" w:eastAsia="Times New Roman" w:hAnsi="Arial" w:cs="Arial"/>
          <w:sz w:val="24"/>
          <w:szCs w:val="24"/>
          <w:lang w:eastAsia="sl-SI"/>
        </w:rPr>
        <w:t xml:space="preserve"> gasi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>lci</w:t>
      </w:r>
      <w:r w:rsidR="00FA489A">
        <w:rPr>
          <w:rFonts w:ascii="Arial" w:eastAsia="Times New Roman" w:hAnsi="Arial" w:cs="Arial"/>
          <w:sz w:val="24"/>
          <w:szCs w:val="24"/>
          <w:lang w:eastAsia="sl-SI"/>
        </w:rPr>
        <w:t xml:space="preserve">, in sicer </w:t>
      </w:r>
      <w:r w:rsidR="002D4A3A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="00070FB5">
        <w:rPr>
          <w:rFonts w:ascii="Arial" w:eastAsia="Times New Roman" w:hAnsi="Arial" w:cs="Arial"/>
          <w:sz w:val="24"/>
          <w:szCs w:val="24"/>
          <w:lang w:eastAsia="sl-SI"/>
        </w:rPr>
        <w:t>5.709</w:t>
      </w:r>
      <w:r w:rsidR="007E3829">
        <w:rPr>
          <w:rFonts w:ascii="Arial" w:eastAsia="Times New Roman" w:hAnsi="Arial" w:cs="Arial"/>
          <w:sz w:val="24"/>
          <w:szCs w:val="24"/>
          <w:lang w:eastAsia="sl-SI"/>
        </w:rPr>
        <w:t>, poklicn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>i</w:t>
      </w:r>
      <w:r w:rsidR="007E3829">
        <w:rPr>
          <w:rFonts w:ascii="Arial" w:eastAsia="Times New Roman" w:hAnsi="Arial" w:cs="Arial"/>
          <w:sz w:val="24"/>
          <w:szCs w:val="24"/>
          <w:lang w:eastAsia="sl-SI"/>
        </w:rPr>
        <w:t xml:space="preserve"> gasil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 xml:space="preserve">ci </w:t>
      </w:r>
      <w:r w:rsidR="002D4A3A">
        <w:rPr>
          <w:rFonts w:ascii="Arial" w:eastAsia="Times New Roman" w:hAnsi="Arial" w:cs="Arial"/>
          <w:sz w:val="24"/>
          <w:szCs w:val="24"/>
          <w:lang w:eastAsia="sl-SI"/>
        </w:rPr>
        <w:t>9</w:t>
      </w:r>
      <w:r w:rsidR="00070FB5">
        <w:rPr>
          <w:rFonts w:ascii="Arial" w:eastAsia="Times New Roman" w:hAnsi="Arial" w:cs="Arial"/>
          <w:sz w:val="24"/>
          <w:szCs w:val="24"/>
          <w:lang w:eastAsia="sl-SI"/>
        </w:rPr>
        <w:t>276</w:t>
      </w:r>
      <w:r w:rsidRPr="00CA5D9E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706AC7">
        <w:rPr>
          <w:rFonts w:ascii="Arial" w:eastAsia="Times New Roman" w:hAnsi="Arial" w:cs="Arial"/>
          <w:sz w:val="24"/>
          <w:szCs w:val="24"/>
          <w:lang w:eastAsia="sl-SI"/>
        </w:rPr>
        <w:t>gorski reševalci</w:t>
      </w:r>
      <w:r w:rsidR="007E382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2D4A3A">
        <w:rPr>
          <w:rFonts w:ascii="Arial" w:eastAsia="Times New Roman" w:hAnsi="Arial" w:cs="Arial"/>
          <w:sz w:val="24"/>
          <w:szCs w:val="24"/>
          <w:lang w:eastAsia="sl-SI"/>
        </w:rPr>
        <w:t>8</w:t>
      </w:r>
      <w:r w:rsidR="00070FB5">
        <w:rPr>
          <w:rFonts w:ascii="Arial" w:eastAsia="Times New Roman" w:hAnsi="Arial" w:cs="Arial"/>
          <w:sz w:val="24"/>
          <w:szCs w:val="24"/>
          <w:lang w:eastAsia="sl-SI"/>
        </w:rPr>
        <w:t>73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 xml:space="preserve">, pripadniki </w:t>
      </w:r>
      <w:r w:rsidR="007E3829">
        <w:rPr>
          <w:rFonts w:ascii="Arial" w:eastAsia="Times New Roman" w:hAnsi="Arial" w:cs="Arial"/>
          <w:sz w:val="24"/>
          <w:szCs w:val="24"/>
          <w:lang w:eastAsia="sl-SI"/>
        </w:rPr>
        <w:t>enot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="007E3829">
        <w:rPr>
          <w:rFonts w:ascii="Arial" w:eastAsia="Times New Roman" w:hAnsi="Arial" w:cs="Arial"/>
          <w:sz w:val="24"/>
          <w:szCs w:val="24"/>
          <w:lang w:eastAsia="sl-SI"/>
        </w:rPr>
        <w:t xml:space="preserve"> za varstvo pred neeksplodiranimi ubojnimi sredstvi</w:t>
      </w:r>
      <w:r w:rsidR="00D659D0">
        <w:rPr>
          <w:rFonts w:ascii="Arial" w:eastAsia="Times New Roman" w:hAnsi="Arial" w:cs="Arial"/>
          <w:sz w:val="24"/>
          <w:szCs w:val="24"/>
          <w:lang w:eastAsia="sl-SI"/>
        </w:rPr>
        <w:t xml:space="preserve"> (NUS) </w:t>
      </w:r>
      <w:r w:rsidR="002D4A3A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070FB5">
        <w:rPr>
          <w:rFonts w:ascii="Arial" w:eastAsia="Times New Roman" w:hAnsi="Arial" w:cs="Arial"/>
          <w:sz w:val="24"/>
          <w:szCs w:val="24"/>
          <w:lang w:eastAsia="sl-SI"/>
        </w:rPr>
        <w:t>32</w:t>
      </w:r>
      <w:r w:rsidR="007E3829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070FB5">
        <w:rPr>
          <w:rFonts w:ascii="Arial" w:eastAsia="Times New Roman" w:hAnsi="Arial" w:cs="Arial"/>
          <w:sz w:val="24"/>
          <w:szCs w:val="24"/>
          <w:lang w:eastAsia="sl-SI"/>
        </w:rPr>
        <w:t>kinologi</w:t>
      </w:r>
      <w:r w:rsidR="007E382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>217, jamarji 27, potapljači 20, pripadniki drugih enot C</w:t>
      </w:r>
      <w:r w:rsidR="00BC2390">
        <w:rPr>
          <w:rFonts w:ascii="Arial" w:eastAsia="Times New Roman" w:hAnsi="Arial" w:cs="Arial"/>
          <w:sz w:val="24"/>
          <w:szCs w:val="24"/>
          <w:lang w:eastAsia="sl-SI"/>
        </w:rPr>
        <w:t>ivilne zaščite (CZ)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A489A">
        <w:rPr>
          <w:rFonts w:ascii="Arial" w:eastAsia="Times New Roman" w:hAnsi="Arial" w:cs="Arial"/>
          <w:sz w:val="24"/>
          <w:szCs w:val="24"/>
          <w:lang w:eastAsia="sl-SI"/>
        </w:rPr>
        <w:t xml:space="preserve">pa </w:t>
      </w:r>
      <w:r w:rsidR="00675390">
        <w:rPr>
          <w:rFonts w:ascii="Arial" w:eastAsia="Times New Roman" w:hAnsi="Arial" w:cs="Arial"/>
          <w:sz w:val="24"/>
          <w:szCs w:val="24"/>
          <w:lang w:eastAsia="sl-SI"/>
        </w:rPr>
        <w:t>43.</w:t>
      </w:r>
    </w:p>
    <w:p w14:paraId="181EB490" w14:textId="77777777" w:rsidR="00712ED2" w:rsidRDefault="00FA489A" w:rsidP="00712ED2">
      <w:pPr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L</w:t>
      </w:r>
      <w:r w:rsidR="00A22E48">
        <w:rPr>
          <w:rFonts w:ascii="Arial" w:eastAsia="Times New Roman" w:hAnsi="Arial" w:cs="Arial"/>
          <w:sz w:val="24"/>
          <w:szCs w:val="24"/>
          <w:lang w:eastAsia="sl-SI"/>
        </w:rPr>
        <w:t>et</w:t>
      </w:r>
      <w:r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46213E">
        <w:rPr>
          <w:rFonts w:ascii="Arial" w:eastAsia="Times New Roman" w:hAnsi="Arial" w:cs="Arial"/>
          <w:sz w:val="24"/>
          <w:szCs w:val="24"/>
          <w:lang w:eastAsia="sl-SI"/>
        </w:rPr>
        <w:t xml:space="preserve"> 202</w:t>
      </w:r>
      <w:r w:rsidR="00FD422F">
        <w:rPr>
          <w:rFonts w:ascii="Arial" w:eastAsia="Times New Roman" w:hAnsi="Arial" w:cs="Arial"/>
          <w:sz w:val="24"/>
          <w:szCs w:val="24"/>
          <w:lang w:eastAsia="sl-SI"/>
        </w:rPr>
        <w:t xml:space="preserve">5 </w:t>
      </w:r>
      <w:r w:rsidR="00E8771E">
        <w:rPr>
          <w:rFonts w:ascii="Arial" w:eastAsia="Times New Roman" w:hAnsi="Arial" w:cs="Arial"/>
          <w:sz w:val="24"/>
          <w:szCs w:val="24"/>
          <w:lang w:eastAsia="sl-SI"/>
        </w:rPr>
        <w:t>smo največkrat</w:t>
      </w:r>
      <w:r w:rsidR="00C0213C">
        <w:rPr>
          <w:rFonts w:ascii="Arial" w:eastAsia="Times New Roman" w:hAnsi="Arial" w:cs="Arial"/>
          <w:sz w:val="24"/>
          <w:szCs w:val="24"/>
          <w:lang w:eastAsia="sl-SI"/>
        </w:rPr>
        <w:t xml:space="preserve"> aktivirali g</w:t>
      </w:r>
      <w:r w:rsidR="00B23295">
        <w:rPr>
          <w:rFonts w:ascii="Arial" w:eastAsia="Times New Roman" w:hAnsi="Arial" w:cs="Arial"/>
          <w:sz w:val="24"/>
          <w:szCs w:val="24"/>
          <w:lang w:eastAsia="sl-SI"/>
        </w:rPr>
        <w:t xml:space="preserve">asilce, in sicer </w:t>
      </w:r>
      <w:r w:rsidR="00FD422F">
        <w:rPr>
          <w:rFonts w:ascii="Arial" w:eastAsia="Times New Roman" w:hAnsi="Arial" w:cs="Arial"/>
          <w:sz w:val="24"/>
          <w:szCs w:val="24"/>
          <w:lang w:eastAsia="sl-SI"/>
        </w:rPr>
        <w:t>25.051</w:t>
      </w:r>
      <w:r w:rsidR="00B23295">
        <w:rPr>
          <w:rFonts w:ascii="Arial" w:eastAsia="Times New Roman" w:hAnsi="Arial" w:cs="Arial"/>
          <w:sz w:val="24"/>
          <w:szCs w:val="24"/>
          <w:lang w:eastAsia="sl-SI"/>
        </w:rPr>
        <w:t xml:space="preserve">-krat, gorske reševalce </w:t>
      </w:r>
      <w:r w:rsidR="00300989">
        <w:rPr>
          <w:rFonts w:ascii="Arial" w:eastAsia="Times New Roman" w:hAnsi="Arial" w:cs="Arial"/>
          <w:sz w:val="24"/>
          <w:szCs w:val="24"/>
          <w:lang w:eastAsia="sl-SI"/>
        </w:rPr>
        <w:t>8</w:t>
      </w:r>
      <w:r w:rsidR="00FD422F">
        <w:rPr>
          <w:rFonts w:ascii="Arial" w:eastAsia="Times New Roman" w:hAnsi="Arial" w:cs="Arial"/>
          <w:sz w:val="24"/>
          <w:szCs w:val="24"/>
          <w:lang w:eastAsia="sl-SI"/>
        </w:rPr>
        <w:t>52</w:t>
      </w:r>
      <w:r w:rsidR="00B23295">
        <w:rPr>
          <w:rFonts w:ascii="Arial" w:eastAsia="Times New Roman" w:hAnsi="Arial" w:cs="Arial"/>
          <w:sz w:val="24"/>
          <w:szCs w:val="24"/>
          <w:lang w:eastAsia="sl-SI"/>
        </w:rPr>
        <w:t xml:space="preserve">-krat, </w:t>
      </w:r>
      <w:r w:rsidR="00FD422F">
        <w:rPr>
          <w:rFonts w:ascii="Arial" w:eastAsia="Times New Roman" w:hAnsi="Arial" w:cs="Arial"/>
          <w:sz w:val="24"/>
          <w:szCs w:val="24"/>
          <w:lang w:eastAsia="sl-SI"/>
        </w:rPr>
        <w:t>191</w:t>
      </w:r>
      <w:r w:rsidR="00B23295">
        <w:rPr>
          <w:rFonts w:ascii="Arial" w:eastAsia="Times New Roman" w:hAnsi="Arial" w:cs="Arial"/>
          <w:sz w:val="24"/>
          <w:szCs w:val="24"/>
          <w:lang w:eastAsia="sl-SI"/>
        </w:rPr>
        <w:t xml:space="preserve">-krat </w:t>
      </w:r>
      <w:r w:rsidR="00637699">
        <w:rPr>
          <w:rFonts w:ascii="Arial" w:eastAsia="Times New Roman" w:hAnsi="Arial" w:cs="Arial"/>
          <w:sz w:val="24"/>
          <w:szCs w:val="24"/>
          <w:lang w:eastAsia="sl-SI"/>
        </w:rPr>
        <w:t>kinologe</w:t>
      </w:r>
      <w:r w:rsidR="00B23295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637699">
        <w:rPr>
          <w:rFonts w:ascii="Arial" w:eastAsia="Times New Roman" w:hAnsi="Arial" w:cs="Arial"/>
          <w:sz w:val="24"/>
          <w:szCs w:val="24"/>
          <w:lang w:eastAsia="sl-SI"/>
        </w:rPr>
        <w:t>jamarje 2</w:t>
      </w:r>
      <w:r w:rsidR="00FD422F">
        <w:rPr>
          <w:rFonts w:ascii="Arial" w:eastAsia="Times New Roman" w:hAnsi="Arial" w:cs="Arial"/>
          <w:sz w:val="24"/>
          <w:szCs w:val="24"/>
          <w:lang w:eastAsia="sl-SI"/>
        </w:rPr>
        <w:t>7</w:t>
      </w:r>
      <w:r w:rsidR="00637699">
        <w:rPr>
          <w:rFonts w:ascii="Arial" w:eastAsia="Times New Roman" w:hAnsi="Arial" w:cs="Arial"/>
          <w:sz w:val="24"/>
          <w:szCs w:val="24"/>
          <w:lang w:eastAsia="sl-SI"/>
        </w:rPr>
        <w:t xml:space="preserve">-krat, </w:t>
      </w:r>
      <w:r w:rsidR="00B23295">
        <w:rPr>
          <w:rFonts w:ascii="Arial" w:eastAsia="Times New Roman" w:hAnsi="Arial" w:cs="Arial"/>
          <w:sz w:val="24"/>
          <w:szCs w:val="24"/>
          <w:lang w:eastAsia="sl-SI"/>
        </w:rPr>
        <w:t xml:space="preserve">potapljače </w:t>
      </w:r>
      <w:r w:rsidR="00FD422F">
        <w:rPr>
          <w:rFonts w:ascii="Arial" w:eastAsia="Times New Roman" w:hAnsi="Arial" w:cs="Arial"/>
          <w:sz w:val="24"/>
          <w:szCs w:val="24"/>
          <w:lang w:eastAsia="sl-SI"/>
        </w:rPr>
        <w:t>19</w:t>
      </w:r>
      <w:r w:rsidR="00B23295">
        <w:rPr>
          <w:rFonts w:ascii="Arial" w:eastAsia="Times New Roman" w:hAnsi="Arial" w:cs="Arial"/>
          <w:sz w:val="24"/>
          <w:szCs w:val="24"/>
          <w:lang w:eastAsia="sl-SI"/>
        </w:rPr>
        <w:t>-krat</w:t>
      </w:r>
      <w:r w:rsidR="0063769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B23295">
        <w:rPr>
          <w:rFonts w:ascii="Arial" w:eastAsia="Times New Roman" w:hAnsi="Arial" w:cs="Arial"/>
          <w:sz w:val="24"/>
          <w:szCs w:val="24"/>
          <w:lang w:eastAsia="sl-SI"/>
        </w:rPr>
        <w:t xml:space="preserve">in druge enote CZ </w:t>
      </w:r>
      <w:r w:rsidR="00FD422F">
        <w:rPr>
          <w:rFonts w:ascii="Arial" w:eastAsia="Times New Roman" w:hAnsi="Arial" w:cs="Arial"/>
          <w:sz w:val="24"/>
          <w:szCs w:val="24"/>
          <w:lang w:eastAsia="sl-SI"/>
        </w:rPr>
        <w:t>41</w:t>
      </w:r>
      <w:r w:rsidR="00B23295">
        <w:rPr>
          <w:rFonts w:ascii="Arial" w:eastAsia="Times New Roman" w:hAnsi="Arial" w:cs="Arial"/>
          <w:sz w:val="24"/>
          <w:szCs w:val="24"/>
          <w:lang w:eastAsia="sl-SI"/>
        </w:rPr>
        <w:t>-krat.</w:t>
      </w:r>
    </w:p>
    <w:p w14:paraId="3FBA56C5" w14:textId="6D01C8DC" w:rsidR="007E567C" w:rsidRPr="00712ED2" w:rsidRDefault="00712ED2" w:rsidP="00712ED2">
      <w:pPr>
        <w:jc w:val="both"/>
        <w:rPr>
          <w:rFonts w:ascii="Arial" w:hAnsi="Arial" w:cs="Arial"/>
          <w:sz w:val="96"/>
          <w:szCs w:val="96"/>
        </w:rPr>
      </w:pPr>
      <w:r w:rsidRPr="00712ED2">
        <w:rPr>
          <w:rFonts w:ascii="Arial" w:hAnsi="Arial" w:cs="Arial"/>
          <w:sz w:val="96"/>
          <w:szCs w:val="96"/>
        </w:rPr>
        <w:t xml:space="preserve"> </w:t>
      </w:r>
    </w:p>
    <w:p w14:paraId="344140ED" w14:textId="46648C1B" w:rsidR="00712ED2" w:rsidRPr="002F4F4D" w:rsidRDefault="00E842D7" w:rsidP="00AC22B0">
      <w:pPr>
        <w:jc w:val="both"/>
        <w:rPr>
          <w:rFonts w:ascii="Arial" w:hAnsi="Arial" w:cs="Arial"/>
          <w:sz w:val="24"/>
          <w:szCs w:val="24"/>
        </w:rPr>
      </w:pPr>
      <w:r w:rsidRPr="002F4F4D">
        <w:rPr>
          <w:rFonts w:ascii="Arial" w:hAnsi="Arial" w:cs="Arial"/>
          <w:sz w:val="24"/>
          <w:szCs w:val="24"/>
        </w:rPr>
        <w:lastRenderedPageBreak/>
        <w:t>Leto 202</w:t>
      </w:r>
      <w:r w:rsidR="00800D31">
        <w:rPr>
          <w:rFonts w:ascii="Arial" w:hAnsi="Arial" w:cs="Arial"/>
          <w:sz w:val="24"/>
          <w:szCs w:val="24"/>
        </w:rPr>
        <w:t>5</w:t>
      </w:r>
    </w:p>
    <w:tbl>
      <w:tblPr>
        <w:tblStyle w:val="Tabelamrea"/>
        <w:tblW w:w="9156" w:type="dxa"/>
        <w:tblLook w:val="04A0" w:firstRow="1" w:lastRow="0" w:firstColumn="1" w:lastColumn="0" w:noHBand="0" w:noVBand="1"/>
        <w:tblCaption w:val="Število aktiviranj in sodelujočih enot v letu 2020"/>
        <w:tblDescription w:val="Gorski reševalci 593 krat, Gasilci skupaj 28.127 krat, kinologi 83 krat, potapljači 30 krat."/>
      </w:tblPr>
      <w:tblGrid>
        <w:gridCol w:w="3114"/>
        <w:gridCol w:w="3021"/>
        <w:gridCol w:w="3021"/>
      </w:tblGrid>
      <w:tr w:rsidR="00363C19" w:rsidRPr="00162189" w14:paraId="3707D2F5" w14:textId="77777777" w:rsidTr="00AC22B0">
        <w:trPr>
          <w:tblHeader/>
        </w:trPr>
        <w:tc>
          <w:tcPr>
            <w:tcW w:w="3114" w:type="dxa"/>
          </w:tcPr>
          <w:p w14:paraId="31A17D9E" w14:textId="77777777" w:rsidR="00363C19" w:rsidRPr="008865D3" w:rsidRDefault="00363C19" w:rsidP="00AC22B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5D3">
              <w:rPr>
                <w:rFonts w:ascii="Arial" w:hAnsi="Arial" w:cs="Arial"/>
                <w:b/>
                <w:bCs/>
                <w:sz w:val="24"/>
                <w:szCs w:val="24"/>
              </w:rPr>
              <w:t>Vrsta enote</w:t>
            </w:r>
          </w:p>
        </w:tc>
        <w:tc>
          <w:tcPr>
            <w:tcW w:w="3021" w:type="dxa"/>
          </w:tcPr>
          <w:p w14:paraId="1B5CD2A5" w14:textId="77777777" w:rsidR="00363C19" w:rsidRPr="008865D3" w:rsidRDefault="00363C19" w:rsidP="00AC22B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5D3">
              <w:rPr>
                <w:rFonts w:ascii="Arial" w:hAnsi="Arial" w:cs="Arial"/>
                <w:b/>
                <w:bCs/>
                <w:sz w:val="24"/>
                <w:szCs w:val="24"/>
              </w:rPr>
              <w:t>Število aktiviranj</w:t>
            </w:r>
          </w:p>
        </w:tc>
        <w:tc>
          <w:tcPr>
            <w:tcW w:w="3021" w:type="dxa"/>
          </w:tcPr>
          <w:p w14:paraId="5309B8EA" w14:textId="77777777" w:rsidR="00363C19" w:rsidRPr="008865D3" w:rsidRDefault="00363C19" w:rsidP="00AC22B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5D3">
              <w:rPr>
                <w:rFonts w:ascii="Arial" w:hAnsi="Arial" w:cs="Arial"/>
                <w:b/>
                <w:bCs/>
                <w:sz w:val="24"/>
                <w:szCs w:val="24"/>
              </w:rPr>
              <w:t>Število sodelujočih</w:t>
            </w:r>
          </w:p>
        </w:tc>
      </w:tr>
      <w:tr w:rsidR="00363C19" w:rsidRPr="00162189" w14:paraId="5DC49144" w14:textId="77777777" w:rsidTr="00AC22B0">
        <w:tc>
          <w:tcPr>
            <w:tcW w:w="3114" w:type="dxa"/>
          </w:tcPr>
          <w:p w14:paraId="4234D4B3" w14:textId="77777777" w:rsidR="00363C19" w:rsidRPr="00162189" w:rsidRDefault="00363C19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189">
              <w:rPr>
                <w:rFonts w:ascii="Arial" w:eastAsia="Tahoma" w:hAnsi="Arial" w:cs="Arial"/>
                <w:color w:val="333333"/>
                <w:sz w:val="24"/>
                <w:szCs w:val="24"/>
              </w:rPr>
              <w:t>Gorski reševalci</w:t>
            </w:r>
          </w:p>
        </w:tc>
        <w:tc>
          <w:tcPr>
            <w:tcW w:w="3021" w:type="dxa"/>
          </w:tcPr>
          <w:p w14:paraId="7FD0ACBE" w14:textId="77777777" w:rsidR="00363C19" w:rsidRPr="00162189" w:rsidRDefault="00725CED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124F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021" w:type="dxa"/>
          </w:tcPr>
          <w:p w14:paraId="037FED70" w14:textId="43F1AF05" w:rsidR="00363C19" w:rsidRPr="00162189" w:rsidRDefault="008124F4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6240</w:t>
            </w:r>
          </w:p>
        </w:tc>
      </w:tr>
      <w:tr w:rsidR="00363C19" w:rsidRPr="00162189" w14:paraId="176A3CCD" w14:textId="77777777" w:rsidTr="00AC22B0">
        <w:tc>
          <w:tcPr>
            <w:tcW w:w="3114" w:type="dxa"/>
          </w:tcPr>
          <w:p w14:paraId="5905C4A7" w14:textId="77777777" w:rsidR="00363C19" w:rsidRPr="00162189" w:rsidRDefault="00363C19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189">
              <w:rPr>
                <w:rFonts w:ascii="Arial" w:eastAsia="Tahoma" w:hAnsi="Arial" w:cs="Arial"/>
                <w:color w:val="333333"/>
                <w:sz w:val="24"/>
                <w:szCs w:val="24"/>
              </w:rPr>
              <w:t>Industrijske gasilske enote</w:t>
            </w:r>
          </w:p>
        </w:tc>
        <w:tc>
          <w:tcPr>
            <w:tcW w:w="3021" w:type="dxa"/>
          </w:tcPr>
          <w:p w14:paraId="4D562A89" w14:textId="77777777" w:rsidR="00363C19" w:rsidRPr="00162189" w:rsidRDefault="008124F4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021" w:type="dxa"/>
          </w:tcPr>
          <w:p w14:paraId="7DAAAAE0" w14:textId="77777777" w:rsidR="00363C19" w:rsidRPr="00162189" w:rsidRDefault="008124F4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294</w:t>
            </w:r>
          </w:p>
        </w:tc>
      </w:tr>
      <w:tr w:rsidR="00363C19" w:rsidRPr="00162189" w14:paraId="468FA68E" w14:textId="77777777" w:rsidTr="00AC22B0">
        <w:tc>
          <w:tcPr>
            <w:tcW w:w="3114" w:type="dxa"/>
          </w:tcPr>
          <w:p w14:paraId="61AB4DD3" w14:textId="77777777" w:rsidR="00363C19" w:rsidRPr="00162189" w:rsidRDefault="00363C19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189">
              <w:rPr>
                <w:rFonts w:ascii="Arial" w:eastAsia="Tahoma" w:hAnsi="Arial" w:cs="Arial"/>
                <w:color w:val="333333"/>
                <w:sz w:val="24"/>
                <w:szCs w:val="24"/>
              </w:rPr>
              <w:t>Jamarji</w:t>
            </w:r>
          </w:p>
        </w:tc>
        <w:tc>
          <w:tcPr>
            <w:tcW w:w="3021" w:type="dxa"/>
          </w:tcPr>
          <w:p w14:paraId="03D59131" w14:textId="77777777" w:rsidR="00363C19" w:rsidRPr="00162189" w:rsidRDefault="000157E7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124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21" w:type="dxa"/>
          </w:tcPr>
          <w:p w14:paraId="332FA9BE" w14:textId="77777777" w:rsidR="00363C19" w:rsidRPr="00162189" w:rsidRDefault="000157E7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8124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63C19" w:rsidRPr="00162189" w14:paraId="35A0FEE3" w14:textId="77777777" w:rsidTr="00AC22B0">
        <w:tc>
          <w:tcPr>
            <w:tcW w:w="3114" w:type="dxa"/>
          </w:tcPr>
          <w:p w14:paraId="0FF568D6" w14:textId="77777777" w:rsidR="00363C19" w:rsidRPr="00162189" w:rsidRDefault="00363C19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189">
              <w:rPr>
                <w:rFonts w:ascii="Arial" w:eastAsia="Tahoma" w:hAnsi="Arial" w:cs="Arial"/>
                <w:color w:val="333333"/>
                <w:sz w:val="24"/>
                <w:szCs w:val="24"/>
              </w:rPr>
              <w:t>Kinologi</w:t>
            </w:r>
          </w:p>
        </w:tc>
        <w:tc>
          <w:tcPr>
            <w:tcW w:w="3021" w:type="dxa"/>
          </w:tcPr>
          <w:p w14:paraId="54C385A6" w14:textId="77777777" w:rsidR="00363C19" w:rsidRPr="00162189" w:rsidRDefault="008124F4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3021" w:type="dxa"/>
          </w:tcPr>
          <w:p w14:paraId="6BEB1C13" w14:textId="77777777" w:rsidR="00363C19" w:rsidRPr="00162189" w:rsidRDefault="008124F4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</w:t>
            </w:r>
          </w:p>
        </w:tc>
      </w:tr>
      <w:tr w:rsidR="00363C19" w:rsidRPr="00162189" w14:paraId="449742DB" w14:textId="77777777" w:rsidTr="00AC22B0">
        <w:tc>
          <w:tcPr>
            <w:tcW w:w="3114" w:type="dxa"/>
          </w:tcPr>
          <w:p w14:paraId="7C5F1936" w14:textId="77777777" w:rsidR="00363C19" w:rsidRPr="00162189" w:rsidRDefault="00363C19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189">
              <w:rPr>
                <w:rFonts w:ascii="Arial" w:eastAsia="Tahoma" w:hAnsi="Arial" w:cs="Arial"/>
                <w:color w:val="333333"/>
                <w:sz w:val="24"/>
                <w:szCs w:val="24"/>
              </w:rPr>
              <w:t>Prostovoljna teritorialna gasilska društva</w:t>
            </w:r>
          </w:p>
        </w:tc>
        <w:tc>
          <w:tcPr>
            <w:tcW w:w="3021" w:type="dxa"/>
          </w:tcPr>
          <w:p w14:paraId="67572925" w14:textId="77777777" w:rsidR="00363C19" w:rsidRPr="00162189" w:rsidRDefault="000157E7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24F4">
              <w:rPr>
                <w:rFonts w:ascii="Arial" w:hAnsi="Arial" w:cs="Arial"/>
                <w:sz w:val="24"/>
                <w:szCs w:val="24"/>
              </w:rPr>
              <w:t>5.709</w:t>
            </w:r>
          </w:p>
        </w:tc>
        <w:tc>
          <w:tcPr>
            <w:tcW w:w="3021" w:type="dxa"/>
          </w:tcPr>
          <w:p w14:paraId="15D26C73" w14:textId="77777777" w:rsidR="00363C19" w:rsidRPr="00162189" w:rsidRDefault="000157E7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24F4">
              <w:rPr>
                <w:rFonts w:ascii="Arial" w:hAnsi="Arial" w:cs="Arial"/>
                <w:sz w:val="24"/>
                <w:szCs w:val="24"/>
              </w:rPr>
              <w:t>18.744</w:t>
            </w:r>
          </w:p>
        </w:tc>
      </w:tr>
      <w:tr w:rsidR="00363C19" w:rsidRPr="00162189" w14:paraId="3AAEC700" w14:textId="77777777" w:rsidTr="00AC22B0">
        <w:tc>
          <w:tcPr>
            <w:tcW w:w="3114" w:type="dxa"/>
          </w:tcPr>
          <w:p w14:paraId="79ECA58B" w14:textId="77777777" w:rsidR="00363C19" w:rsidRPr="00162189" w:rsidRDefault="00363C19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189">
              <w:rPr>
                <w:rFonts w:ascii="Arial" w:eastAsia="Tahoma" w:hAnsi="Arial" w:cs="Arial"/>
                <w:color w:val="333333"/>
                <w:sz w:val="24"/>
                <w:szCs w:val="24"/>
              </w:rPr>
              <w:t>Poklicne gasilske enote</w:t>
            </w:r>
          </w:p>
        </w:tc>
        <w:tc>
          <w:tcPr>
            <w:tcW w:w="3021" w:type="dxa"/>
          </w:tcPr>
          <w:p w14:paraId="0697CB79" w14:textId="29D43832" w:rsidR="00363C19" w:rsidRPr="00162189" w:rsidRDefault="000157E7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124F4">
              <w:rPr>
                <w:rFonts w:ascii="Arial" w:hAnsi="Arial" w:cs="Arial"/>
                <w:sz w:val="24"/>
                <w:szCs w:val="24"/>
              </w:rPr>
              <w:t>276</w:t>
            </w:r>
          </w:p>
        </w:tc>
        <w:tc>
          <w:tcPr>
            <w:tcW w:w="3021" w:type="dxa"/>
          </w:tcPr>
          <w:p w14:paraId="08658BBF" w14:textId="77777777" w:rsidR="00363C19" w:rsidRPr="00162189" w:rsidRDefault="000157E7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  <w:r w:rsidR="008124F4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</w:tr>
      <w:tr w:rsidR="00363C19" w:rsidRPr="00162189" w14:paraId="008392A0" w14:textId="77777777" w:rsidTr="00AC22B0">
        <w:tc>
          <w:tcPr>
            <w:tcW w:w="3114" w:type="dxa"/>
          </w:tcPr>
          <w:p w14:paraId="5E150FB5" w14:textId="77777777" w:rsidR="00363C19" w:rsidRPr="00162189" w:rsidRDefault="00363C19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189">
              <w:rPr>
                <w:rFonts w:ascii="Arial" w:eastAsia="Tahoma" w:hAnsi="Arial" w:cs="Arial"/>
                <w:color w:val="333333"/>
                <w:sz w:val="24"/>
                <w:szCs w:val="24"/>
              </w:rPr>
              <w:t>Potapljači</w:t>
            </w:r>
          </w:p>
        </w:tc>
        <w:tc>
          <w:tcPr>
            <w:tcW w:w="3021" w:type="dxa"/>
          </w:tcPr>
          <w:p w14:paraId="6908823F" w14:textId="77777777" w:rsidR="00363C19" w:rsidRPr="00162189" w:rsidRDefault="008124F4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021" w:type="dxa"/>
          </w:tcPr>
          <w:p w14:paraId="06798F85" w14:textId="77777777" w:rsidR="00363C19" w:rsidRPr="00162189" w:rsidRDefault="008124F4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AF4B6B" w:rsidRPr="00162189" w14:paraId="44FDDBF1" w14:textId="77777777" w:rsidTr="00AC22B0">
        <w:tc>
          <w:tcPr>
            <w:tcW w:w="3114" w:type="dxa"/>
          </w:tcPr>
          <w:p w14:paraId="529CA52B" w14:textId="77777777" w:rsidR="00AF4B6B" w:rsidRPr="00162189" w:rsidRDefault="00AF4B6B" w:rsidP="00AC22B0">
            <w:pPr>
              <w:jc w:val="both"/>
              <w:rPr>
                <w:rFonts w:ascii="Arial" w:eastAsia="Tahoma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ahoma" w:hAnsi="Arial" w:cs="Arial"/>
                <w:color w:val="333333"/>
                <w:sz w:val="24"/>
                <w:szCs w:val="24"/>
              </w:rPr>
              <w:t>Druge enote CZ</w:t>
            </w:r>
          </w:p>
        </w:tc>
        <w:tc>
          <w:tcPr>
            <w:tcW w:w="3021" w:type="dxa"/>
          </w:tcPr>
          <w:p w14:paraId="5E79406E" w14:textId="77777777" w:rsidR="00AF4B6B" w:rsidRDefault="008124F4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021" w:type="dxa"/>
          </w:tcPr>
          <w:p w14:paraId="6CA9B125" w14:textId="77777777" w:rsidR="00AF4B6B" w:rsidRDefault="008124F4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</w:tr>
      <w:tr w:rsidR="00363C19" w:rsidRPr="00162189" w14:paraId="1BCDE4D9" w14:textId="77777777" w:rsidTr="00AC22B0">
        <w:tc>
          <w:tcPr>
            <w:tcW w:w="3114" w:type="dxa"/>
          </w:tcPr>
          <w:p w14:paraId="59EB7DFF" w14:textId="77777777" w:rsidR="00363C19" w:rsidRPr="00162189" w:rsidRDefault="00363C19" w:rsidP="00AC22B0">
            <w:pPr>
              <w:jc w:val="both"/>
              <w:rPr>
                <w:rFonts w:ascii="Arial" w:eastAsia="Tahoma" w:hAnsi="Arial" w:cs="Arial"/>
                <w:color w:val="333333"/>
                <w:sz w:val="24"/>
                <w:szCs w:val="24"/>
              </w:rPr>
            </w:pPr>
            <w:r w:rsidRPr="00162189">
              <w:rPr>
                <w:rFonts w:ascii="Arial" w:eastAsia="Tahoma" w:hAnsi="Arial" w:cs="Arial"/>
                <w:color w:val="333333"/>
                <w:sz w:val="24"/>
                <w:szCs w:val="24"/>
              </w:rPr>
              <w:t>Skupaj</w:t>
            </w:r>
          </w:p>
        </w:tc>
        <w:tc>
          <w:tcPr>
            <w:tcW w:w="3021" w:type="dxa"/>
          </w:tcPr>
          <w:p w14:paraId="3A4D8A7C" w14:textId="77777777" w:rsidR="00363C19" w:rsidRPr="00162189" w:rsidRDefault="00551599" w:rsidP="00AC22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124F4">
              <w:rPr>
                <w:rFonts w:ascii="Arial" w:hAnsi="Arial" w:cs="Arial"/>
                <w:sz w:val="24"/>
                <w:szCs w:val="24"/>
              </w:rPr>
              <w:t>6.181</w:t>
            </w:r>
          </w:p>
        </w:tc>
        <w:tc>
          <w:tcPr>
            <w:tcW w:w="3021" w:type="dxa"/>
          </w:tcPr>
          <w:p w14:paraId="4BC691A3" w14:textId="77777777" w:rsidR="00363C19" w:rsidRPr="00162189" w:rsidRDefault="00551599" w:rsidP="00AC22B0">
            <w:pPr>
              <w:keepNext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24F4">
              <w:rPr>
                <w:rFonts w:ascii="Arial" w:hAnsi="Arial" w:cs="Arial"/>
                <w:sz w:val="24"/>
                <w:szCs w:val="24"/>
              </w:rPr>
              <w:t>64.499</w:t>
            </w:r>
          </w:p>
        </w:tc>
      </w:tr>
    </w:tbl>
    <w:p w14:paraId="44D10903" w14:textId="686581DC" w:rsidR="00A91F0B" w:rsidRPr="00A91F0B" w:rsidRDefault="00426311" w:rsidP="00AC22B0">
      <w:pPr>
        <w:pStyle w:val="Napis"/>
        <w:jc w:val="both"/>
      </w:pPr>
      <w:r>
        <w:t>Preglednica</w:t>
      </w:r>
      <w:r w:rsidR="00455622">
        <w:t xml:space="preserve"> </w:t>
      </w:r>
      <w:r w:rsidR="00834C10">
        <w:rPr>
          <w:noProof/>
        </w:rPr>
        <w:t>1</w:t>
      </w:r>
      <w:r w:rsidR="00AC22B0">
        <w:rPr>
          <w:noProof/>
        </w:rPr>
        <w:t>:</w:t>
      </w:r>
      <w:r w:rsidR="00455622">
        <w:t xml:space="preserve"> Število aktiviranj in</w:t>
      </w:r>
      <w:r w:rsidR="00D7734D">
        <w:t xml:space="preserve"> </w:t>
      </w:r>
      <w:r w:rsidR="00AF4B6B">
        <w:t>sodelujočih let</w:t>
      </w:r>
      <w:r w:rsidR="00FA489A">
        <w:t>a</w:t>
      </w:r>
      <w:r w:rsidR="00AF4B6B">
        <w:t xml:space="preserve"> 202</w:t>
      </w:r>
      <w:r w:rsidR="00146705">
        <w:t>5</w:t>
      </w:r>
      <w:r w:rsidR="00AF4B6B">
        <w:t xml:space="preserve"> je </w:t>
      </w:r>
      <w:r w:rsidR="00BC2390">
        <w:t xml:space="preserve">bilo </w:t>
      </w:r>
      <w:r w:rsidR="00AF4B6B">
        <w:t xml:space="preserve">obdelano </w:t>
      </w:r>
      <w:r w:rsidR="00BC2390">
        <w:t>dne</w:t>
      </w:r>
      <w:r w:rsidR="00AF4B6B">
        <w:t xml:space="preserve"> </w:t>
      </w:r>
      <w:r w:rsidR="00146705">
        <w:t>10.</w:t>
      </w:r>
      <w:r w:rsidR="00AC22B0">
        <w:t xml:space="preserve"> </w:t>
      </w:r>
      <w:r w:rsidR="00146705">
        <w:t>3.</w:t>
      </w:r>
      <w:r w:rsidR="00AC22B0">
        <w:t xml:space="preserve"> </w:t>
      </w:r>
      <w:r w:rsidR="00146705">
        <w:t>2025</w:t>
      </w:r>
      <w:r w:rsidR="00AF4B6B">
        <w:t xml:space="preserve"> </w:t>
      </w:r>
      <w:r w:rsidR="00455622">
        <w:t xml:space="preserve">na podlagi </w:t>
      </w:r>
      <w:r w:rsidR="00017F35">
        <w:t>vnesenih</w:t>
      </w:r>
      <w:r w:rsidR="00455622">
        <w:t xml:space="preserve"> in potrjenih podatkov vodij intervencij v poročil</w:t>
      </w:r>
      <w:r w:rsidR="00BC2390">
        <w:t>ih</w:t>
      </w:r>
      <w:r w:rsidR="00455622">
        <w:t xml:space="preserve"> v </w:t>
      </w:r>
      <w:r w:rsidR="00BC2390">
        <w:t>s</w:t>
      </w:r>
      <w:r w:rsidR="00455622">
        <w:t xml:space="preserve">istemu za poročanje </w:t>
      </w:r>
      <w:r w:rsidR="00BC2390">
        <w:t>o</w:t>
      </w:r>
      <w:r w:rsidR="00455622">
        <w:t xml:space="preserve"> intervencij</w:t>
      </w:r>
      <w:r w:rsidR="00BC2390">
        <w:t xml:space="preserve">ah in nesrečah </w:t>
      </w:r>
      <w:r w:rsidR="00455622">
        <w:t>SPIN</w:t>
      </w:r>
      <w:r w:rsidR="00D659D0">
        <w:t>.</w:t>
      </w:r>
      <w:r w:rsidR="00294952" w:rsidRPr="00A91F0B">
        <w:t xml:space="preserve"> </w:t>
      </w:r>
    </w:p>
    <w:p w14:paraId="79E456B5" w14:textId="77777777" w:rsidR="00370D09" w:rsidRPr="00370D09" w:rsidRDefault="00043FC6" w:rsidP="00AC22B0">
      <w:pPr>
        <w:pStyle w:val="Naslov1"/>
        <w:rPr>
          <w:rFonts w:eastAsia="Times New Roman"/>
        </w:rPr>
      </w:pPr>
      <w:r>
        <w:rPr>
          <w:rFonts w:eastAsia="Times New Roman"/>
        </w:rPr>
        <w:t>Dogodki leta 202</w:t>
      </w:r>
      <w:r w:rsidR="006D1B28">
        <w:rPr>
          <w:rFonts w:eastAsia="Times New Roman"/>
        </w:rPr>
        <w:t>5</w:t>
      </w:r>
    </w:p>
    <w:p w14:paraId="47DF6839" w14:textId="107F3519" w:rsidR="00370D09" w:rsidRDefault="00BB796B" w:rsidP="00AC22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Leta 202</w:t>
      </w:r>
      <w:r w:rsidR="006D1B28">
        <w:rPr>
          <w:rFonts w:ascii="Arial" w:eastAsia="Times New Roman" w:hAnsi="Arial" w:cs="Arial"/>
          <w:sz w:val="24"/>
          <w:szCs w:val="24"/>
          <w:lang w:eastAsia="sl-SI"/>
        </w:rPr>
        <w:t>5</w:t>
      </w:r>
      <w:r w:rsidR="00AC22B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70D09" w:rsidRPr="00370D09">
        <w:rPr>
          <w:rFonts w:ascii="Arial" w:eastAsia="Times New Roman" w:hAnsi="Arial" w:cs="Arial"/>
          <w:sz w:val="24"/>
          <w:szCs w:val="24"/>
          <w:lang w:eastAsia="sl-SI"/>
        </w:rPr>
        <w:t>je bilo v R</w:t>
      </w:r>
      <w:r w:rsidR="00CE05E0">
        <w:rPr>
          <w:rFonts w:ascii="Arial" w:eastAsia="Times New Roman" w:hAnsi="Arial" w:cs="Arial"/>
          <w:sz w:val="24"/>
          <w:szCs w:val="24"/>
          <w:lang w:eastAsia="sl-SI"/>
        </w:rPr>
        <w:t xml:space="preserve">epubliki </w:t>
      </w:r>
      <w:r w:rsidR="00370D09" w:rsidRPr="00370D09">
        <w:rPr>
          <w:rFonts w:ascii="Arial" w:eastAsia="Times New Roman" w:hAnsi="Arial" w:cs="Arial"/>
          <w:sz w:val="24"/>
          <w:szCs w:val="24"/>
          <w:lang w:eastAsia="sl-SI"/>
        </w:rPr>
        <w:t>S</w:t>
      </w:r>
      <w:r w:rsidR="00CE05E0">
        <w:rPr>
          <w:rFonts w:ascii="Arial" w:eastAsia="Times New Roman" w:hAnsi="Arial" w:cs="Arial"/>
          <w:sz w:val="24"/>
          <w:szCs w:val="24"/>
          <w:lang w:eastAsia="sl-SI"/>
        </w:rPr>
        <w:t>loveniji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1</w:t>
      </w:r>
      <w:r w:rsidR="006D1B28">
        <w:rPr>
          <w:rFonts w:ascii="Arial" w:eastAsia="Times New Roman" w:hAnsi="Arial" w:cs="Arial"/>
          <w:sz w:val="24"/>
          <w:szCs w:val="24"/>
          <w:lang w:eastAsia="sl-SI"/>
        </w:rPr>
        <w:t>8.299</w:t>
      </w:r>
      <w:r w:rsidR="00370D09" w:rsidRPr="00370D09">
        <w:rPr>
          <w:rFonts w:ascii="Arial" w:eastAsia="Times New Roman" w:hAnsi="Arial" w:cs="Arial"/>
          <w:sz w:val="24"/>
          <w:szCs w:val="24"/>
          <w:lang w:eastAsia="sl-SI"/>
        </w:rPr>
        <w:t xml:space="preserve"> različnih dogodkov (naravne in druge nesreče, nesreče v prometu, požari in eksplozije, onesnaženja, nesreče z nevarnimi snovmi, jedrski in drugi dogodki, najdbe NUS, motnje oskrbe in poškodbe objektov, tehnična in druga pomoč, nepotrebne oz</w:t>
      </w:r>
      <w:r w:rsidR="002830AE">
        <w:rPr>
          <w:rFonts w:ascii="Arial" w:eastAsia="Times New Roman" w:hAnsi="Arial" w:cs="Arial"/>
          <w:sz w:val="24"/>
          <w:szCs w:val="24"/>
          <w:lang w:eastAsia="sl-SI"/>
        </w:rPr>
        <w:t>iroma</w:t>
      </w:r>
      <w:r w:rsidR="00370D09" w:rsidRPr="00370D09">
        <w:rPr>
          <w:rFonts w:ascii="Arial" w:eastAsia="Times New Roman" w:hAnsi="Arial" w:cs="Arial"/>
          <w:sz w:val="24"/>
          <w:szCs w:val="24"/>
          <w:lang w:eastAsia="sl-SI"/>
        </w:rPr>
        <w:t xml:space="preserve"> lažne intervencije), v katerih so poleg drugih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služb posredovale tudi sile </w:t>
      </w:r>
      <w:r w:rsidR="00CE05E0">
        <w:rPr>
          <w:rFonts w:ascii="Arial" w:eastAsia="Times New Roman" w:hAnsi="Arial" w:cs="Arial"/>
          <w:sz w:val="24"/>
          <w:szCs w:val="24"/>
          <w:lang w:eastAsia="sl-SI"/>
        </w:rPr>
        <w:t xml:space="preserve">za </w:t>
      </w:r>
      <w:r>
        <w:rPr>
          <w:rFonts w:ascii="Arial" w:eastAsia="Times New Roman" w:hAnsi="Arial" w:cs="Arial"/>
          <w:sz w:val="24"/>
          <w:szCs w:val="24"/>
          <w:lang w:eastAsia="sl-SI"/>
        </w:rPr>
        <w:t>ZRP</w:t>
      </w:r>
      <w:r w:rsidR="00370D09" w:rsidRPr="00370D09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1B66A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1B66A6" w:rsidRPr="001B66A6">
        <w:rPr>
          <w:rFonts w:ascii="Arial" w:eastAsia="Times New Roman" w:hAnsi="Arial" w:cs="Arial"/>
          <w:sz w:val="24"/>
          <w:szCs w:val="24"/>
          <w:lang w:eastAsia="sl-SI"/>
        </w:rPr>
        <w:t>S pravočasnim in učinkovitim ukrepanjem ter pomoč</w:t>
      </w:r>
      <w:r w:rsidR="002830AE">
        <w:rPr>
          <w:rFonts w:ascii="Arial" w:eastAsia="Times New Roman" w:hAnsi="Arial" w:cs="Arial"/>
          <w:sz w:val="24"/>
          <w:szCs w:val="24"/>
          <w:lang w:eastAsia="sl-SI"/>
        </w:rPr>
        <w:t>jo</w:t>
      </w:r>
      <w:r w:rsidR="001B66A6" w:rsidRPr="001B66A6">
        <w:rPr>
          <w:rFonts w:ascii="Arial" w:eastAsia="Times New Roman" w:hAnsi="Arial" w:cs="Arial"/>
          <w:sz w:val="24"/>
          <w:szCs w:val="24"/>
          <w:lang w:eastAsia="sl-SI"/>
        </w:rPr>
        <w:t xml:space="preserve"> prizadetim so sile za ZRP prispevale k zmanjšanju škode in drugih posledic, ki so </w:t>
      </w:r>
      <w:r w:rsidR="00D659D0">
        <w:rPr>
          <w:rFonts w:ascii="Arial" w:eastAsia="Times New Roman" w:hAnsi="Arial" w:cs="Arial"/>
          <w:sz w:val="24"/>
          <w:szCs w:val="24"/>
          <w:lang w:eastAsia="sl-SI"/>
        </w:rPr>
        <w:t>nastale zaradi</w:t>
      </w:r>
      <w:r w:rsidR="001B66A6" w:rsidRPr="001B66A6">
        <w:rPr>
          <w:rFonts w:ascii="Arial" w:eastAsia="Times New Roman" w:hAnsi="Arial" w:cs="Arial"/>
          <w:sz w:val="24"/>
          <w:szCs w:val="24"/>
          <w:lang w:eastAsia="sl-SI"/>
        </w:rPr>
        <w:t xml:space="preserve"> omenjen</w:t>
      </w:r>
      <w:r w:rsidR="00D659D0">
        <w:rPr>
          <w:rFonts w:ascii="Arial" w:eastAsia="Times New Roman" w:hAnsi="Arial" w:cs="Arial"/>
          <w:sz w:val="24"/>
          <w:szCs w:val="24"/>
          <w:lang w:eastAsia="sl-SI"/>
        </w:rPr>
        <w:t>ih</w:t>
      </w:r>
      <w:r w:rsidR="001B66A6" w:rsidRPr="001B66A6">
        <w:rPr>
          <w:rFonts w:ascii="Arial" w:eastAsia="Times New Roman" w:hAnsi="Arial" w:cs="Arial"/>
          <w:sz w:val="24"/>
          <w:szCs w:val="24"/>
          <w:lang w:eastAsia="sl-SI"/>
        </w:rPr>
        <w:t xml:space="preserve"> nesreč.</w:t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Dogodki leta 2020"/>
      </w:tblPr>
      <w:tblGrid>
        <w:gridCol w:w="4531"/>
        <w:gridCol w:w="4531"/>
      </w:tblGrid>
      <w:tr w:rsidR="00370D09" w:rsidRPr="00162189" w14:paraId="6FB76529" w14:textId="77777777" w:rsidTr="008312E0">
        <w:trPr>
          <w:tblHeader/>
        </w:trPr>
        <w:tc>
          <w:tcPr>
            <w:tcW w:w="4531" w:type="dxa"/>
          </w:tcPr>
          <w:p w14:paraId="60AE1FF5" w14:textId="77777777" w:rsidR="00370D09" w:rsidRPr="008865D3" w:rsidRDefault="00370D09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8865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Dogodek</w:t>
            </w:r>
          </w:p>
        </w:tc>
        <w:tc>
          <w:tcPr>
            <w:tcW w:w="4531" w:type="dxa"/>
          </w:tcPr>
          <w:p w14:paraId="130CDE43" w14:textId="77777777" w:rsidR="00370D09" w:rsidRPr="008865D3" w:rsidRDefault="00370D09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8865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Število dogodkov</w:t>
            </w:r>
          </w:p>
        </w:tc>
      </w:tr>
      <w:tr w:rsidR="00370D09" w:rsidRPr="00162189" w14:paraId="175E1A56" w14:textId="77777777" w:rsidTr="00370D09">
        <w:tc>
          <w:tcPr>
            <w:tcW w:w="4531" w:type="dxa"/>
          </w:tcPr>
          <w:p w14:paraId="69B0D844" w14:textId="77777777" w:rsidR="00370D09" w:rsidRPr="00162189" w:rsidRDefault="00370D09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Naravne nesreče</w:t>
            </w:r>
          </w:p>
        </w:tc>
        <w:tc>
          <w:tcPr>
            <w:tcW w:w="4531" w:type="dxa"/>
          </w:tcPr>
          <w:p w14:paraId="4065AB01" w14:textId="77777777" w:rsidR="00370D09" w:rsidRPr="00162189" w:rsidRDefault="00377F4C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294</w:t>
            </w:r>
          </w:p>
        </w:tc>
      </w:tr>
      <w:tr w:rsidR="00370D09" w:rsidRPr="00162189" w14:paraId="24E01A70" w14:textId="77777777" w:rsidTr="00370D09">
        <w:tc>
          <w:tcPr>
            <w:tcW w:w="4531" w:type="dxa"/>
          </w:tcPr>
          <w:p w14:paraId="102507F9" w14:textId="77777777" w:rsidR="00370D09" w:rsidRPr="00162189" w:rsidRDefault="00370D09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Druge nesreče</w:t>
            </w:r>
          </w:p>
        </w:tc>
        <w:tc>
          <w:tcPr>
            <w:tcW w:w="4531" w:type="dxa"/>
          </w:tcPr>
          <w:p w14:paraId="77AF8DCE" w14:textId="3F0C945C" w:rsidR="00370D09" w:rsidRPr="00162189" w:rsidRDefault="004511F6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21</w:t>
            </w:r>
            <w:r w:rsidR="00970F1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65</w:t>
            </w:r>
          </w:p>
        </w:tc>
      </w:tr>
      <w:tr w:rsidR="00370D09" w:rsidRPr="00162189" w14:paraId="4163F42D" w14:textId="77777777" w:rsidTr="00370D09">
        <w:tc>
          <w:tcPr>
            <w:tcW w:w="4531" w:type="dxa"/>
          </w:tcPr>
          <w:p w14:paraId="4463053E" w14:textId="77777777" w:rsidR="00370D09" w:rsidRPr="00162189" w:rsidRDefault="00370D09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Nesreče v prometu</w:t>
            </w:r>
          </w:p>
        </w:tc>
        <w:tc>
          <w:tcPr>
            <w:tcW w:w="4531" w:type="dxa"/>
          </w:tcPr>
          <w:p w14:paraId="25CCEB19" w14:textId="60A46B75" w:rsidR="00370D09" w:rsidRPr="00162189" w:rsidRDefault="00970F13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3014</w:t>
            </w:r>
          </w:p>
        </w:tc>
      </w:tr>
      <w:tr w:rsidR="00370D09" w:rsidRPr="00162189" w14:paraId="796DC911" w14:textId="77777777" w:rsidTr="00370D09">
        <w:tc>
          <w:tcPr>
            <w:tcW w:w="4531" w:type="dxa"/>
          </w:tcPr>
          <w:p w14:paraId="329B30E0" w14:textId="77777777" w:rsidR="00370D09" w:rsidRPr="00162189" w:rsidRDefault="00370D09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Požari in eksplozije</w:t>
            </w:r>
          </w:p>
        </w:tc>
        <w:tc>
          <w:tcPr>
            <w:tcW w:w="4531" w:type="dxa"/>
          </w:tcPr>
          <w:p w14:paraId="06AEC2A4" w14:textId="1EBB3FC6" w:rsidR="00370D09" w:rsidRPr="00162189" w:rsidRDefault="00BB796B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</w:t>
            </w:r>
            <w:r w:rsidR="00970F1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661</w:t>
            </w:r>
          </w:p>
        </w:tc>
      </w:tr>
      <w:tr w:rsidR="00370D09" w:rsidRPr="00162189" w14:paraId="1B975671" w14:textId="77777777" w:rsidTr="00370D09">
        <w:tc>
          <w:tcPr>
            <w:tcW w:w="4531" w:type="dxa"/>
          </w:tcPr>
          <w:p w14:paraId="03C799ED" w14:textId="77777777" w:rsidR="00370D09" w:rsidRPr="00162189" w:rsidRDefault="00370D09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Onesnaženja, nesreče z nevarnimi snovmi</w:t>
            </w:r>
          </w:p>
        </w:tc>
        <w:tc>
          <w:tcPr>
            <w:tcW w:w="4531" w:type="dxa"/>
          </w:tcPr>
          <w:p w14:paraId="1B68B93F" w14:textId="77777777" w:rsidR="00370D09" w:rsidRPr="00162189" w:rsidRDefault="00970F13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841</w:t>
            </w:r>
          </w:p>
        </w:tc>
      </w:tr>
      <w:tr w:rsidR="00F60FC7" w:rsidRPr="00162189" w14:paraId="20F96A83" w14:textId="77777777" w:rsidTr="00370D09">
        <w:tc>
          <w:tcPr>
            <w:tcW w:w="4531" w:type="dxa"/>
          </w:tcPr>
          <w:p w14:paraId="17DBFB81" w14:textId="77777777" w:rsidR="00F60FC7" w:rsidRPr="00162189" w:rsidRDefault="00F60FC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Jedrski in drugi dogodki</w:t>
            </w:r>
          </w:p>
        </w:tc>
        <w:tc>
          <w:tcPr>
            <w:tcW w:w="4531" w:type="dxa"/>
          </w:tcPr>
          <w:p w14:paraId="6D4C3E28" w14:textId="77777777" w:rsidR="00F60FC7" w:rsidRDefault="00970F13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</w:t>
            </w:r>
          </w:p>
        </w:tc>
      </w:tr>
      <w:tr w:rsidR="00370D09" w:rsidRPr="00162189" w14:paraId="0DA47633" w14:textId="77777777" w:rsidTr="00370D09">
        <w:tc>
          <w:tcPr>
            <w:tcW w:w="4531" w:type="dxa"/>
          </w:tcPr>
          <w:p w14:paraId="1B77DF4F" w14:textId="77777777" w:rsidR="00370D09" w:rsidRPr="00162189" w:rsidRDefault="00370D09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Najdbe NUS</w:t>
            </w:r>
          </w:p>
        </w:tc>
        <w:tc>
          <w:tcPr>
            <w:tcW w:w="4531" w:type="dxa"/>
          </w:tcPr>
          <w:p w14:paraId="60BEAA9F" w14:textId="77777777" w:rsidR="00370D09" w:rsidRPr="00162189" w:rsidRDefault="004511F6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</w:t>
            </w:r>
            <w:r w:rsidR="00970F1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</w:t>
            </w:r>
          </w:p>
        </w:tc>
      </w:tr>
      <w:tr w:rsidR="00370D09" w:rsidRPr="00162189" w14:paraId="67BD4B86" w14:textId="77777777" w:rsidTr="00370D09">
        <w:tc>
          <w:tcPr>
            <w:tcW w:w="4531" w:type="dxa"/>
          </w:tcPr>
          <w:p w14:paraId="79572D3C" w14:textId="77777777" w:rsidR="00370D09" w:rsidRPr="00162189" w:rsidRDefault="00370D09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Tehnična in druga pomoč</w:t>
            </w:r>
          </w:p>
        </w:tc>
        <w:tc>
          <w:tcPr>
            <w:tcW w:w="4531" w:type="dxa"/>
          </w:tcPr>
          <w:p w14:paraId="206F452B" w14:textId="108A415C" w:rsidR="00370D09" w:rsidRPr="00162189" w:rsidRDefault="004511F6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60</w:t>
            </w:r>
            <w:r w:rsidR="00970F1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69</w:t>
            </w:r>
          </w:p>
        </w:tc>
      </w:tr>
      <w:tr w:rsidR="00370D09" w:rsidRPr="00162189" w14:paraId="20FF6C15" w14:textId="77777777" w:rsidTr="00370D09">
        <w:tc>
          <w:tcPr>
            <w:tcW w:w="4531" w:type="dxa"/>
          </w:tcPr>
          <w:p w14:paraId="640749C4" w14:textId="77777777" w:rsidR="00370D09" w:rsidRPr="00162189" w:rsidRDefault="00370D09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Nepotrebne oz. lažne intervencije</w:t>
            </w:r>
          </w:p>
        </w:tc>
        <w:tc>
          <w:tcPr>
            <w:tcW w:w="4531" w:type="dxa"/>
          </w:tcPr>
          <w:p w14:paraId="06A5C83C" w14:textId="22FA2344" w:rsidR="00370D09" w:rsidRPr="00162189" w:rsidRDefault="00BB796B" w:rsidP="00AC22B0">
            <w:pPr>
              <w:keepNext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  <w:r w:rsidR="00970F1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704</w:t>
            </w:r>
          </w:p>
        </w:tc>
      </w:tr>
    </w:tbl>
    <w:p w14:paraId="01E223A5" w14:textId="20BA5606" w:rsidR="00370D09" w:rsidRPr="00162189" w:rsidRDefault="00F60FC7" w:rsidP="00AC22B0">
      <w:pPr>
        <w:pStyle w:val="Napis"/>
        <w:jc w:val="both"/>
        <w:rPr>
          <w:rFonts w:ascii="Arial" w:hAnsi="Arial" w:cs="Arial"/>
        </w:rPr>
      </w:pPr>
      <w:r>
        <w:rPr>
          <w:rFonts w:ascii="Arial" w:hAnsi="Arial" w:cs="Arial"/>
        </w:rPr>
        <w:t>Preglednica 2</w:t>
      </w:r>
      <w:r w:rsidR="00AC22B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Dogodki leta 202</w:t>
      </w:r>
      <w:r w:rsidR="0044487D">
        <w:rPr>
          <w:rFonts w:ascii="Arial" w:hAnsi="Arial" w:cs="Arial"/>
        </w:rPr>
        <w:t>5</w:t>
      </w:r>
      <w:r w:rsidR="00370D09" w:rsidRPr="00162189">
        <w:rPr>
          <w:rFonts w:ascii="Arial" w:hAnsi="Arial" w:cs="Arial"/>
        </w:rPr>
        <w:t xml:space="preserve"> so obdelani na podlagi vpisanih in potr</w:t>
      </w:r>
      <w:r w:rsidR="00CE05E0">
        <w:rPr>
          <w:rFonts w:ascii="Arial" w:hAnsi="Arial" w:cs="Arial"/>
        </w:rPr>
        <w:t>jenih</w:t>
      </w:r>
      <w:r w:rsidR="00370D09" w:rsidRPr="00162189">
        <w:rPr>
          <w:rFonts w:ascii="Arial" w:hAnsi="Arial" w:cs="Arial"/>
        </w:rPr>
        <w:t xml:space="preserve"> podatkov vodij intervencij</w:t>
      </w:r>
      <w:r w:rsidR="00FF1DB0" w:rsidRPr="00162189">
        <w:rPr>
          <w:rFonts w:ascii="Arial" w:hAnsi="Arial" w:cs="Arial"/>
        </w:rPr>
        <w:t xml:space="preserve"> </w:t>
      </w:r>
      <w:r w:rsidR="002830AE">
        <w:rPr>
          <w:rFonts w:ascii="Arial" w:hAnsi="Arial" w:cs="Arial"/>
        </w:rPr>
        <w:t>ter</w:t>
      </w:r>
      <w:r w:rsidR="00FF1DB0" w:rsidRPr="00162189">
        <w:rPr>
          <w:rFonts w:ascii="Arial" w:hAnsi="Arial" w:cs="Arial"/>
        </w:rPr>
        <w:t xml:space="preserve"> sodelujočih enot</w:t>
      </w:r>
      <w:r w:rsidR="00370D09" w:rsidRPr="00162189">
        <w:rPr>
          <w:rFonts w:ascii="Arial" w:hAnsi="Arial" w:cs="Arial"/>
        </w:rPr>
        <w:t xml:space="preserve"> v sistemu SPIN. </w:t>
      </w:r>
      <w:r>
        <w:rPr>
          <w:rFonts w:ascii="Arial" w:hAnsi="Arial" w:cs="Arial"/>
        </w:rPr>
        <w:t xml:space="preserve">Zajem podatkov </w:t>
      </w:r>
      <w:r w:rsidR="00F212E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44487D">
        <w:rPr>
          <w:rFonts w:ascii="Arial" w:hAnsi="Arial" w:cs="Arial"/>
        </w:rPr>
        <w:t>10.</w:t>
      </w:r>
      <w:r w:rsidR="00AC22B0">
        <w:rPr>
          <w:rFonts w:ascii="Arial" w:hAnsi="Arial" w:cs="Arial"/>
        </w:rPr>
        <w:t xml:space="preserve"> </w:t>
      </w:r>
      <w:r w:rsidR="0044487D">
        <w:rPr>
          <w:rFonts w:ascii="Arial" w:hAnsi="Arial" w:cs="Arial"/>
        </w:rPr>
        <w:t>3.</w:t>
      </w:r>
      <w:r w:rsidR="00AC22B0">
        <w:rPr>
          <w:rFonts w:ascii="Arial" w:hAnsi="Arial" w:cs="Arial"/>
        </w:rPr>
        <w:t xml:space="preserve"> </w:t>
      </w:r>
      <w:r w:rsidR="0044487D">
        <w:rPr>
          <w:rFonts w:ascii="Arial" w:hAnsi="Arial" w:cs="Arial"/>
        </w:rPr>
        <w:t>2026</w:t>
      </w:r>
      <w:r w:rsidR="00370D09" w:rsidRPr="00162189">
        <w:rPr>
          <w:rFonts w:ascii="Arial" w:hAnsi="Arial" w:cs="Arial"/>
        </w:rPr>
        <w:t xml:space="preserve">, spletna stran: </w:t>
      </w:r>
      <w:hyperlink r:id="rId13" w:history="1">
        <w:r w:rsidR="006C06A5" w:rsidRPr="00162189">
          <w:rPr>
            <w:rStyle w:val="Hiperpovezava"/>
            <w:rFonts w:ascii="Arial" w:hAnsi="Arial" w:cs="Arial"/>
          </w:rPr>
          <w:t>SPIN</w:t>
        </w:r>
      </w:hyperlink>
      <w:r w:rsidR="002830AE">
        <w:rPr>
          <w:rStyle w:val="Hiperpovezava"/>
          <w:rFonts w:ascii="Arial" w:hAnsi="Arial" w:cs="Arial"/>
        </w:rPr>
        <w:t>.</w:t>
      </w:r>
    </w:p>
    <w:p w14:paraId="5B7E2564" w14:textId="77777777" w:rsidR="00AC22B0" w:rsidRDefault="00AC22B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  <w:tblCaption w:val="Naravne nesreče leta 2020"/>
        <w:tblDescription w:val="Leta 2020 je bilo v RS 16.895 različnih dogodkov (naravne in druge nesreče, nesreče v prometu, požari in eksplozije, onesnaženja, nesreče z nevarnimi snovmi, jedrski in drugi dogodki, najdbe NUS, motnje oskrbe in poškodbe objektov, tehnična in druga pomoč, nepotrebne oz. lažne intervencije), v katerih so poleg drugih služb posredovale tudi sile ZRP. S pravočasnim in učinkovitim ukrepanjem ter nudenjem pomoči prizadetim so sile za ZRP nedvomno prispevale k zmanjšanju škode in drugih posledic, ki so jih povzročile omenjene nesreče."/>
      </w:tblPr>
      <w:tblGrid>
        <w:gridCol w:w="4531"/>
        <w:gridCol w:w="4531"/>
      </w:tblGrid>
      <w:tr w:rsidR="008C6B77" w:rsidRPr="00162189" w14:paraId="629B149F" w14:textId="77777777" w:rsidTr="00AB1068">
        <w:trPr>
          <w:tblHeader/>
        </w:trPr>
        <w:tc>
          <w:tcPr>
            <w:tcW w:w="4531" w:type="dxa"/>
          </w:tcPr>
          <w:p w14:paraId="116D4CDE" w14:textId="2782E36C" w:rsidR="008C6B77" w:rsidRPr="008865D3" w:rsidRDefault="008C6B7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8865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lastRenderedPageBreak/>
              <w:t xml:space="preserve">Dogodek </w:t>
            </w:r>
            <w:r w:rsidR="002830AE" w:rsidRPr="008865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n</w:t>
            </w:r>
            <w:r w:rsidRPr="008865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aravne nesreče</w:t>
            </w:r>
          </w:p>
        </w:tc>
        <w:tc>
          <w:tcPr>
            <w:tcW w:w="4531" w:type="dxa"/>
          </w:tcPr>
          <w:p w14:paraId="292A9B78" w14:textId="77777777" w:rsidR="008C6B77" w:rsidRPr="008865D3" w:rsidRDefault="008C6B7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  <w:r w:rsidRPr="008865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Število dogodkov</w:t>
            </w:r>
          </w:p>
        </w:tc>
      </w:tr>
      <w:tr w:rsidR="008C6B77" w:rsidRPr="00162189" w14:paraId="7B428F22" w14:textId="77777777" w:rsidTr="00AB1068">
        <w:tc>
          <w:tcPr>
            <w:tcW w:w="4531" w:type="dxa"/>
          </w:tcPr>
          <w:p w14:paraId="72730348" w14:textId="77777777" w:rsidR="008C6B77" w:rsidRPr="00162189" w:rsidRDefault="008C6B7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hAnsi="Arial" w:cs="Arial"/>
                <w:color w:val="333333"/>
                <w:sz w:val="24"/>
                <w:szCs w:val="24"/>
              </w:rPr>
              <w:t>Visoko plimovanje morja</w:t>
            </w:r>
          </w:p>
        </w:tc>
        <w:tc>
          <w:tcPr>
            <w:tcW w:w="4531" w:type="dxa"/>
          </w:tcPr>
          <w:p w14:paraId="4151D419" w14:textId="77777777" w:rsidR="008C6B77" w:rsidRPr="00162189" w:rsidRDefault="00E50390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</w:t>
            </w:r>
          </w:p>
        </w:tc>
      </w:tr>
      <w:tr w:rsidR="008C6B77" w:rsidRPr="00162189" w14:paraId="50C2C6A4" w14:textId="77777777" w:rsidTr="00AB1068">
        <w:tc>
          <w:tcPr>
            <w:tcW w:w="4531" w:type="dxa"/>
          </w:tcPr>
          <w:p w14:paraId="4379F334" w14:textId="77777777" w:rsidR="008C6B77" w:rsidRPr="00162189" w:rsidRDefault="008C6B7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Poplave</w:t>
            </w:r>
          </w:p>
        </w:tc>
        <w:tc>
          <w:tcPr>
            <w:tcW w:w="4531" w:type="dxa"/>
          </w:tcPr>
          <w:p w14:paraId="3873E270" w14:textId="77777777" w:rsidR="008C6B77" w:rsidRPr="00162189" w:rsidRDefault="00E50390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67</w:t>
            </w:r>
          </w:p>
        </w:tc>
      </w:tr>
      <w:tr w:rsidR="008C6B77" w:rsidRPr="00162189" w14:paraId="01C7AD9D" w14:textId="77777777" w:rsidTr="00AB1068">
        <w:tc>
          <w:tcPr>
            <w:tcW w:w="4531" w:type="dxa"/>
          </w:tcPr>
          <w:p w14:paraId="5B4B6741" w14:textId="77777777" w:rsidR="008C6B77" w:rsidRPr="00162189" w:rsidRDefault="008C6B7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Plazovi</w:t>
            </w:r>
          </w:p>
        </w:tc>
        <w:tc>
          <w:tcPr>
            <w:tcW w:w="4531" w:type="dxa"/>
          </w:tcPr>
          <w:p w14:paraId="76C5151B" w14:textId="77777777" w:rsidR="008C6B77" w:rsidRPr="00162189" w:rsidRDefault="00E50390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39</w:t>
            </w:r>
          </w:p>
        </w:tc>
      </w:tr>
      <w:tr w:rsidR="008C6B77" w:rsidRPr="00162189" w14:paraId="245FF72D" w14:textId="77777777" w:rsidTr="00AB1068">
        <w:tc>
          <w:tcPr>
            <w:tcW w:w="4531" w:type="dxa"/>
          </w:tcPr>
          <w:p w14:paraId="645C1CCD" w14:textId="77777777" w:rsidR="008C6B77" w:rsidRPr="00162189" w:rsidRDefault="008C6B7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Visok sneg</w:t>
            </w:r>
          </w:p>
        </w:tc>
        <w:tc>
          <w:tcPr>
            <w:tcW w:w="4531" w:type="dxa"/>
          </w:tcPr>
          <w:p w14:paraId="3CC9CA3A" w14:textId="77777777" w:rsidR="008C6B77" w:rsidRPr="00162189" w:rsidRDefault="0053211F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  <w:r w:rsidR="00E5039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</w:p>
        </w:tc>
      </w:tr>
      <w:tr w:rsidR="00235F47" w:rsidRPr="00162189" w14:paraId="7104CFED" w14:textId="77777777" w:rsidTr="00AB1068">
        <w:tc>
          <w:tcPr>
            <w:tcW w:w="4531" w:type="dxa"/>
          </w:tcPr>
          <w:p w14:paraId="109A469A" w14:textId="77777777" w:rsidR="00235F47" w:rsidRPr="00162189" w:rsidRDefault="00235F4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Neurja</w:t>
            </w:r>
          </w:p>
        </w:tc>
        <w:tc>
          <w:tcPr>
            <w:tcW w:w="4531" w:type="dxa"/>
          </w:tcPr>
          <w:p w14:paraId="09933FD7" w14:textId="77777777" w:rsidR="00235F47" w:rsidRDefault="00E50390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19</w:t>
            </w:r>
          </w:p>
        </w:tc>
      </w:tr>
      <w:tr w:rsidR="008C6B77" w:rsidRPr="00162189" w14:paraId="48D65029" w14:textId="77777777" w:rsidTr="00AB1068">
        <w:tc>
          <w:tcPr>
            <w:tcW w:w="4531" w:type="dxa"/>
          </w:tcPr>
          <w:p w14:paraId="60A9B979" w14:textId="77777777" w:rsidR="008C6B77" w:rsidRPr="00162189" w:rsidRDefault="008C6B7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Močan veter</w:t>
            </w:r>
          </w:p>
        </w:tc>
        <w:tc>
          <w:tcPr>
            <w:tcW w:w="4531" w:type="dxa"/>
          </w:tcPr>
          <w:p w14:paraId="6A3D32E4" w14:textId="77777777" w:rsidR="008C6B77" w:rsidRPr="00162189" w:rsidRDefault="0053211F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  <w:r w:rsidR="00E5039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09</w:t>
            </w:r>
          </w:p>
        </w:tc>
      </w:tr>
      <w:tr w:rsidR="008C6B77" w:rsidRPr="00162189" w14:paraId="5402C793" w14:textId="77777777" w:rsidTr="00AB1068">
        <w:tc>
          <w:tcPr>
            <w:tcW w:w="4531" w:type="dxa"/>
          </w:tcPr>
          <w:p w14:paraId="60CE0DFC" w14:textId="77777777" w:rsidR="008C6B77" w:rsidRPr="00162189" w:rsidRDefault="008C6B7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Udari strel</w:t>
            </w:r>
          </w:p>
        </w:tc>
        <w:tc>
          <w:tcPr>
            <w:tcW w:w="4531" w:type="dxa"/>
          </w:tcPr>
          <w:p w14:paraId="5BFB5543" w14:textId="77777777" w:rsidR="008C6B77" w:rsidRPr="00162189" w:rsidRDefault="00E50390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</w:t>
            </w:r>
          </w:p>
        </w:tc>
      </w:tr>
      <w:tr w:rsidR="008C6B77" w:rsidRPr="00162189" w14:paraId="3ABB0BFD" w14:textId="77777777" w:rsidTr="00AB1068">
        <w:tc>
          <w:tcPr>
            <w:tcW w:w="4531" w:type="dxa"/>
          </w:tcPr>
          <w:p w14:paraId="09AF433F" w14:textId="77777777" w:rsidR="008C6B77" w:rsidRPr="00162189" w:rsidRDefault="008C6B77" w:rsidP="00AC22B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6218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Prekinitev prometa zaradi naravnih pojavov</w:t>
            </w:r>
          </w:p>
        </w:tc>
        <w:tc>
          <w:tcPr>
            <w:tcW w:w="4531" w:type="dxa"/>
          </w:tcPr>
          <w:p w14:paraId="23B3907F" w14:textId="77777777" w:rsidR="008C6B77" w:rsidRPr="00162189" w:rsidRDefault="0053211F" w:rsidP="00AC22B0">
            <w:pPr>
              <w:keepNext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  <w:r w:rsidR="00E50390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0</w:t>
            </w:r>
          </w:p>
        </w:tc>
      </w:tr>
    </w:tbl>
    <w:p w14:paraId="34C7B710" w14:textId="723FCCC7" w:rsidR="00A91F0B" w:rsidRDefault="00834C10" w:rsidP="00AC22B0">
      <w:pPr>
        <w:pStyle w:val="Napis"/>
        <w:jc w:val="both"/>
      </w:pPr>
      <w:r>
        <w:t>Preglednica 3</w:t>
      </w:r>
      <w:r w:rsidR="00AC22B0">
        <w:t>:</w:t>
      </w:r>
      <w:r w:rsidR="00063D4D">
        <w:t xml:space="preserve"> Podatki za dog</w:t>
      </w:r>
      <w:r w:rsidR="00883773">
        <w:t>odke</w:t>
      </w:r>
      <w:r w:rsidR="002830AE">
        <w:t>, ki se nanašajo na</w:t>
      </w:r>
      <w:r w:rsidR="00883773">
        <w:t xml:space="preserve"> </w:t>
      </w:r>
      <w:r w:rsidR="002830AE">
        <w:t>n</w:t>
      </w:r>
      <w:r w:rsidR="00883773">
        <w:t>aravne nesreče let</w:t>
      </w:r>
      <w:r w:rsidR="002830AE">
        <w:t>a</w:t>
      </w:r>
      <w:r w:rsidR="00883773">
        <w:t xml:space="preserve"> 202</w:t>
      </w:r>
      <w:r w:rsidR="001B7E1D">
        <w:t>5</w:t>
      </w:r>
      <w:r w:rsidR="002830AE">
        <w:t>,</w:t>
      </w:r>
      <w:r w:rsidR="00063D4D">
        <w:t xml:space="preserve"> so obdelani na podlagi vpisanih in </w:t>
      </w:r>
      <w:r w:rsidR="00CE05E0">
        <w:t xml:space="preserve">potrjenih </w:t>
      </w:r>
      <w:r w:rsidR="00063D4D">
        <w:t xml:space="preserve">podatkov vodij intervencij in sodelujočih enot v sistemu SPIN. </w:t>
      </w:r>
      <w:r w:rsidR="00883773">
        <w:t xml:space="preserve">Zajem podatkov </w:t>
      </w:r>
      <w:r w:rsidR="007E567C">
        <w:t>dne</w:t>
      </w:r>
      <w:r w:rsidR="00883773">
        <w:t xml:space="preserve"> </w:t>
      </w:r>
      <w:r w:rsidR="0053211F">
        <w:t>1</w:t>
      </w:r>
      <w:r w:rsidR="001B7E1D">
        <w:t>0.</w:t>
      </w:r>
      <w:r w:rsidR="00AC22B0">
        <w:t xml:space="preserve"> </w:t>
      </w:r>
      <w:r w:rsidR="001B7E1D">
        <w:t>3.</w:t>
      </w:r>
      <w:r w:rsidR="00AC22B0">
        <w:t xml:space="preserve"> </w:t>
      </w:r>
      <w:r w:rsidR="001B7E1D">
        <w:t>2026</w:t>
      </w:r>
      <w:r w:rsidR="00063D4D">
        <w:t>, spletna stran:</w:t>
      </w:r>
      <w:r w:rsidR="00063D4D" w:rsidRPr="00370D09">
        <w:t xml:space="preserve"> </w:t>
      </w:r>
      <w:hyperlink r:id="rId14" w:history="1">
        <w:r w:rsidR="00063D4D">
          <w:rPr>
            <w:rStyle w:val="Hiperpovezava"/>
          </w:rPr>
          <w:t>SPIN</w:t>
        </w:r>
      </w:hyperlink>
      <w:r w:rsidR="00294952">
        <w:rPr>
          <w:rStyle w:val="Hiperpovezava"/>
        </w:rPr>
        <w:t>.</w:t>
      </w:r>
    </w:p>
    <w:p w14:paraId="6CC6A598" w14:textId="77777777" w:rsidR="00AC22B0" w:rsidRDefault="00AC22B0" w:rsidP="00AC22B0">
      <w:pPr>
        <w:jc w:val="both"/>
      </w:pPr>
    </w:p>
    <w:p w14:paraId="1BCBAEAF" w14:textId="5792E430" w:rsidR="009D05B6" w:rsidRPr="00AC22B0" w:rsidRDefault="00F0217F" w:rsidP="00AC22B0">
      <w:pPr>
        <w:pStyle w:val="Naslov1"/>
      </w:pPr>
      <w:r w:rsidRPr="00F0217F">
        <w:t>Statistika</w:t>
      </w:r>
      <w:r w:rsidR="00E83606">
        <w:t xml:space="preserve"> javnega alarmiranja let</w:t>
      </w:r>
      <w:r w:rsidR="002830AE">
        <w:t>a</w:t>
      </w:r>
      <w:r w:rsidR="00E83606">
        <w:t xml:space="preserve"> 202</w:t>
      </w:r>
      <w:r w:rsidR="007874B7">
        <w:t>5</w:t>
      </w:r>
    </w:p>
    <w:p w14:paraId="6FF929CA" w14:textId="77777777" w:rsidR="00287083" w:rsidRPr="00A91F0B" w:rsidRDefault="00287083" w:rsidP="00AC22B0">
      <w:pPr>
        <w:jc w:val="both"/>
      </w:pPr>
    </w:p>
    <w:p w14:paraId="44C52FC1" w14:textId="77777777" w:rsidR="000F3C90" w:rsidRPr="009D05B6" w:rsidRDefault="007874B7" w:rsidP="00AC22B0">
      <w:pPr>
        <w:jc w:val="both"/>
      </w:pPr>
      <w:r w:rsidRPr="007874B7">
        <w:rPr>
          <w:noProof/>
        </w:rPr>
        <w:drawing>
          <wp:inline distT="0" distB="0" distL="0" distR="0" wp14:anchorId="1D59392A" wp14:editId="02F2BC21">
            <wp:extent cx="5760720" cy="2399030"/>
            <wp:effectExtent l="0" t="0" r="0" b="1270"/>
            <wp:docPr id="6" name="Slika 6" descr="Število proženj siren javnega alarmiranja po ReCO za leto 2025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5E53D" w14:textId="77777777" w:rsidR="00F0217F" w:rsidRDefault="00F0217F" w:rsidP="00AC22B0">
      <w:pPr>
        <w:pStyle w:val="Napis"/>
        <w:jc w:val="both"/>
      </w:pPr>
      <w:r>
        <w:t xml:space="preserve">Slika </w:t>
      </w:r>
      <w:r w:rsidR="000F3C90">
        <w:rPr>
          <w:noProof/>
        </w:rPr>
        <w:t>5</w:t>
      </w:r>
      <w:r w:rsidR="00AC22B0">
        <w:rPr>
          <w:noProof/>
        </w:rPr>
        <w:t>:</w:t>
      </w:r>
      <w:r>
        <w:t xml:space="preserve"> Število proženj siren javnega ala</w:t>
      </w:r>
      <w:r w:rsidR="009D05B6">
        <w:t>rmiranja po</w:t>
      </w:r>
      <w:r w:rsidR="000F3C90">
        <w:t xml:space="preserve"> ReCO za leto 202</w:t>
      </w:r>
      <w:r w:rsidR="007874B7">
        <w:t>5</w:t>
      </w:r>
      <w:r>
        <w:t>. Vir: URSZR, Služba za informatiko in komunikacije.</w:t>
      </w:r>
    </w:p>
    <w:p w14:paraId="51F8451A" w14:textId="77777777" w:rsidR="00A7696C" w:rsidRPr="00287083" w:rsidRDefault="00A7696C" w:rsidP="00AC22B0">
      <w:pPr>
        <w:jc w:val="both"/>
      </w:pPr>
    </w:p>
    <w:p w14:paraId="3C7FDE85" w14:textId="77777777" w:rsidR="00F0217F" w:rsidRDefault="00F04987" w:rsidP="00AC22B0">
      <w:pPr>
        <w:jc w:val="both"/>
      </w:pPr>
      <w:r w:rsidRPr="00F04987">
        <w:rPr>
          <w:noProof/>
        </w:rPr>
        <w:drawing>
          <wp:inline distT="0" distB="0" distL="0" distR="0" wp14:anchorId="3527F67C" wp14:editId="5927CB3D">
            <wp:extent cx="5760720" cy="2374900"/>
            <wp:effectExtent l="0" t="0" r="0" b="6350"/>
            <wp:docPr id="8" name="Slika 8" descr="Število proženj siren javnega alarmiranja po mesecih za leto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8799F" w14:textId="6AC8236E" w:rsidR="00A91F0B" w:rsidRPr="00A91F0B" w:rsidRDefault="00F0217F" w:rsidP="00AC22B0">
      <w:pPr>
        <w:pStyle w:val="Napis"/>
        <w:jc w:val="both"/>
      </w:pPr>
      <w:r>
        <w:t xml:space="preserve">Slika </w:t>
      </w:r>
      <w:r w:rsidR="000F3C90">
        <w:rPr>
          <w:noProof/>
        </w:rPr>
        <w:t>6</w:t>
      </w:r>
      <w:r w:rsidR="00AC22B0">
        <w:rPr>
          <w:noProof/>
        </w:rPr>
        <w:t>:</w:t>
      </w:r>
      <w:r w:rsidR="000F3C90">
        <w:rPr>
          <w:noProof/>
        </w:rPr>
        <w:t xml:space="preserve"> </w:t>
      </w:r>
      <w:r>
        <w:t>Število proženj siren javnega alarmiranja po</w:t>
      </w:r>
      <w:r w:rsidR="000F3C90">
        <w:t xml:space="preserve"> mesecih za leto 202</w:t>
      </w:r>
      <w:r w:rsidR="00F04987">
        <w:t>5</w:t>
      </w:r>
      <w:r w:rsidR="009D05B6">
        <w:t>. Vir: URSZR, Služba za informatiko in komunikacije</w:t>
      </w:r>
      <w:r w:rsidR="002830AE">
        <w:t>.</w:t>
      </w:r>
    </w:p>
    <w:p w14:paraId="6A33DB8D" w14:textId="77777777" w:rsidR="0032532A" w:rsidRDefault="0032532A" w:rsidP="00AC22B0">
      <w:pPr>
        <w:jc w:val="both"/>
        <w:rPr>
          <w:noProof/>
        </w:rPr>
      </w:pPr>
      <w:bookmarkStart w:id="0" w:name="_GoBack"/>
      <w:bookmarkEnd w:id="0"/>
      <w:r w:rsidRPr="0032532A">
        <w:rPr>
          <w:noProof/>
        </w:rPr>
        <w:lastRenderedPageBreak/>
        <w:drawing>
          <wp:inline distT="0" distB="0" distL="0" distR="0" wp14:anchorId="66ACCBFC" wp14:editId="0E1A60CF">
            <wp:extent cx="5760720" cy="2661920"/>
            <wp:effectExtent l="0" t="0" r="0" b="5080"/>
            <wp:docPr id="11" name="Slika 11" descr="Število proženj siren javnega alarmiranja po mesecih za leto 2025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A9167" w14:textId="5181E0E1" w:rsidR="00A5090E" w:rsidRPr="00287083" w:rsidRDefault="00A5090E" w:rsidP="00AC22B0">
      <w:pPr>
        <w:jc w:val="both"/>
        <w:rPr>
          <w:i/>
          <w:sz w:val="18"/>
          <w:szCs w:val="18"/>
        </w:rPr>
      </w:pPr>
      <w:r w:rsidRPr="00287083">
        <w:rPr>
          <w:i/>
          <w:sz w:val="18"/>
          <w:szCs w:val="18"/>
        </w:rPr>
        <w:t xml:space="preserve">Slika </w:t>
      </w:r>
      <w:r w:rsidRPr="00287083">
        <w:rPr>
          <w:i/>
          <w:noProof/>
          <w:sz w:val="18"/>
          <w:szCs w:val="18"/>
        </w:rPr>
        <w:t>7</w:t>
      </w:r>
      <w:r w:rsidR="00AC22B0">
        <w:rPr>
          <w:i/>
          <w:noProof/>
          <w:sz w:val="18"/>
          <w:szCs w:val="18"/>
        </w:rPr>
        <w:t>:</w:t>
      </w:r>
      <w:r w:rsidRPr="00287083">
        <w:rPr>
          <w:i/>
          <w:noProof/>
          <w:sz w:val="18"/>
          <w:szCs w:val="18"/>
        </w:rPr>
        <w:t xml:space="preserve"> </w:t>
      </w:r>
      <w:r w:rsidRPr="00287083">
        <w:rPr>
          <w:i/>
          <w:sz w:val="18"/>
          <w:szCs w:val="18"/>
        </w:rPr>
        <w:t>Število proženj siren javnega alarmiranja po tipih alarma za leto 202</w:t>
      </w:r>
      <w:r w:rsidR="0032532A">
        <w:rPr>
          <w:i/>
          <w:sz w:val="18"/>
          <w:szCs w:val="18"/>
        </w:rPr>
        <w:t>5</w:t>
      </w:r>
      <w:r w:rsidRPr="00287083">
        <w:rPr>
          <w:i/>
          <w:sz w:val="18"/>
          <w:szCs w:val="18"/>
        </w:rPr>
        <w:t>. Vir: URSZR, Služba za informatiko in komunikacije</w:t>
      </w:r>
      <w:r w:rsidR="002830AE">
        <w:rPr>
          <w:i/>
          <w:sz w:val="18"/>
          <w:szCs w:val="18"/>
        </w:rPr>
        <w:t>.</w:t>
      </w:r>
    </w:p>
    <w:p w14:paraId="13290CD0" w14:textId="77777777" w:rsidR="00724CE9" w:rsidRDefault="00724CE9" w:rsidP="00AC22B0">
      <w:pPr>
        <w:jc w:val="both"/>
      </w:pPr>
    </w:p>
    <w:p w14:paraId="28DD4CB9" w14:textId="77777777" w:rsidR="00F0217F" w:rsidRPr="00724CE9" w:rsidRDefault="00F0217F" w:rsidP="00AC22B0">
      <w:pPr>
        <w:jc w:val="both"/>
      </w:pPr>
    </w:p>
    <w:sectPr w:rsidR="00F0217F" w:rsidRPr="0072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F1CD0" w14:textId="77777777" w:rsidR="00C15F8A" w:rsidRDefault="00C15F8A" w:rsidP="00CF0007">
      <w:pPr>
        <w:spacing w:after="0" w:line="240" w:lineRule="auto"/>
      </w:pPr>
      <w:r>
        <w:separator/>
      </w:r>
    </w:p>
  </w:endnote>
  <w:endnote w:type="continuationSeparator" w:id="0">
    <w:p w14:paraId="1A98FB6A" w14:textId="77777777" w:rsidR="00C15F8A" w:rsidRDefault="00C15F8A" w:rsidP="00CF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9288D" w14:textId="77777777" w:rsidR="00C15F8A" w:rsidRDefault="00C15F8A" w:rsidP="00CF0007">
      <w:pPr>
        <w:spacing w:after="0" w:line="240" w:lineRule="auto"/>
      </w:pPr>
      <w:r>
        <w:separator/>
      </w:r>
    </w:p>
  </w:footnote>
  <w:footnote w:type="continuationSeparator" w:id="0">
    <w:p w14:paraId="38580474" w14:textId="77777777" w:rsidR="00C15F8A" w:rsidRDefault="00C15F8A" w:rsidP="00CF0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A8"/>
    <w:rsid w:val="00011171"/>
    <w:rsid w:val="000157E7"/>
    <w:rsid w:val="00015AD2"/>
    <w:rsid w:val="00017F35"/>
    <w:rsid w:val="0002403B"/>
    <w:rsid w:val="00032CF4"/>
    <w:rsid w:val="0003684B"/>
    <w:rsid w:val="0004345D"/>
    <w:rsid w:val="00043FC6"/>
    <w:rsid w:val="00051976"/>
    <w:rsid w:val="00052F0C"/>
    <w:rsid w:val="00053102"/>
    <w:rsid w:val="000556BD"/>
    <w:rsid w:val="000615C4"/>
    <w:rsid w:val="00063D4D"/>
    <w:rsid w:val="00070FB5"/>
    <w:rsid w:val="00071316"/>
    <w:rsid w:val="00071F34"/>
    <w:rsid w:val="00076C0F"/>
    <w:rsid w:val="00080A22"/>
    <w:rsid w:val="000948F9"/>
    <w:rsid w:val="00095E48"/>
    <w:rsid w:val="000A1610"/>
    <w:rsid w:val="000A32A8"/>
    <w:rsid w:val="000C1389"/>
    <w:rsid w:val="000E0000"/>
    <w:rsid w:val="000E078A"/>
    <w:rsid w:val="000E3CF5"/>
    <w:rsid w:val="000E41E7"/>
    <w:rsid w:val="000E4D2A"/>
    <w:rsid w:val="000F0A27"/>
    <w:rsid w:val="000F3C90"/>
    <w:rsid w:val="000F4694"/>
    <w:rsid w:val="000F631F"/>
    <w:rsid w:val="00106226"/>
    <w:rsid w:val="001111D7"/>
    <w:rsid w:val="00116BC9"/>
    <w:rsid w:val="00117F11"/>
    <w:rsid w:val="0013652F"/>
    <w:rsid w:val="00137EAB"/>
    <w:rsid w:val="0014363A"/>
    <w:rsid w:val="00146705"/>
    <w:rsid w:val="00162189"/>
    <w:rsid w:val="00170D69"/>
    <w:rsid w:val="001716A0"/>
    <w:rsid w:val="00176D59"/>
    <w:rsid w:val="00177878"/>
    <w:rsid w:val="00177F48"/>
    <w:rsid w:val="00181F8A"/>
    <w:rsid w:val="00182853"/>
    <w:rsid w:val="001871AB"/>
    <w:rsid w:val="0019545A"/>
    <w:rsid w:val="001956E8"/>
    <w:rsid w:val="001A42D7"/>
    <w:rsid w:val="001B66A6"/>
    <w:rsid w:val="001B6ADE"/>
    <w:rsid w:val="001B7E1D"/>
    <w:rsid w:val="001C23C2"/>
    <w:rsid w:val="001C3084"/>
    <w:rsid w:val="001D0467"/>
    <w:rsid w:val="001E526C"/>
    <w:rsid w:val="001F02CB"/>
    <w:rsid w:val="001F1F03"/>
    <w:rsid w:val="00205E4B"/>
    <w:rsid w:val="00216A14"/>
    <w:rsid w:val="00225B65"/>
    <w:rsid w:val="00235F47"/>
    <w:rsid w:val="0023692E"/>
    <w:rsid w:val="00240BD3"/>
    <w:rsid w:val="00244927"/>
    <w:rsid w:val="00251033"/>
    <w:rsid w:val="002513FC"/>
    <w:rsid w:val="0025778F"/>
    <w:rsid w:val="00260788"/>
    <w:rsid w:val="00260FEC"/>
    <w:rsid w:val="00272929"/>
    <w:rsid w:val="00275B2A"/>
    <w:rsid w:val="00276EB9"/>
    <w:rsid w:val="002830AE"/>
    <w:rsid w:val="00287083"/>
    <w:rsid w:val="002873F4"/>
    <w:rsid w:val="00294952"/>
    <w:rsid w:val="00296CB9"/>
    <w:rsid w:val="002B4990"/>
    <w:rsid w:val="002D06F5"/>
    <w:rsid w:val="002D4A3A"/>
    <w:rsid w:val="002D750A"/>
    <w:rsid w:val="002E0A99"/>
    <w:rsid w:val="002E2B60"/>
    <w:rsid w:val="002E7CB3"/>
    <w:rsid w:val="002E7E0A"/>
    <w:rsid w:val="002F0C2B"/>
    <w:rsid w:val="002F4F4D"/>
    <w:rsid w:val="00300989"/>
    <w:rsid w:val="00303A56"/>
    <w:rsid w:val="0030672C"/>
    <w:rsid w:val="0031459A"/>
    <w:rsid w:val="00316777"/>
    <w:rsid w:val="00320199"/>
    <w:rsid w:val="003201BE"/>
    <w:rsid w:val="0032532A"/>
    <w:rsid w:val="0032590F"/>
    <w:rsid w:val="00333037"/>
    <w:rsid w:val="003462F0"/>
    <w:rsid w:val="00352A78"/>
    <w:rsid w:val="003545EA"/>
    <w:rsid w:val="003560A3"/>
    <w:rsid w:val="00357035"/>
    <w:rsid w:val="00363C19"/>
    <w:rsid w:val="00370D09"/>
    <w:rsid w:val="00370D6B"/>
    <w:rsid w:val="0037631C"/>
    <w:rsid w:val="00377F4C"/>
    <w:rsid w:val="00377FE4"/>
    <w:rsid w:val="00382444"/>
    <w:rsid w:val="00395335"/>
    <w:rsid w:val="003A2ECC"/>
    <w:rsid w:val="003D2C28"/>
    <w:rsid w:val="003D3C2C"/>
    <w:rsid w:val="003E2F7A"/>
    <w:rsid w:val="003F3BDB"/>
    <w:rsid w:val="003F4185"/>
    <w:rsid w:val="003F4262"/>
    <w:rsid w:val="003F74B1"/>
    <w:rsid w:val="00404CB3"/>
    <w:rsid w:val="00426311"/>
    <w:rsid w:val="00426C62"/>
    <w:rsid w:val="004309FF"/>
    <w:rsid w:val="004319E9"/>
    <w:rsid w:val="00443C5F"/>
    <w:rsid w:val="0044487D"/>
    <w:rsid w:val="004456BF"/>
    <w:rsid w:val="004511F6"/>
    <w:rsid w:val="004521EE"/>
    <w:rsid w:val="00454646"/>
    <w:rsid w:val="00455622"/>
    <w:rsid w:val="0045752D"/>
    <w:rsid w:val="0046213E"/>
    <w:rsid w:val="00463B4C"/>
    <w:rsid w:val="00480225"/>
    <w:rsid w:val="00481E28"/>
    <w:rsid w:val="00482955"/>
    <w:rsid w:val="0049221D"/>
    <w:rsid w:val="004926AD"/>
    <w:rsid w:val="00493FBB"/>
    <w:rsid w:val="004A474A"/>
    <w:rsid w:val="004B608E"/>
    <w:rsid w:val="004C2715"/>
    <w:rsid w:val="004C3F19"/>
    <w:rsid w:val="004C5CB7"/>
    <w:rsid w:val="004C65A0"/>
    <w:rsid w:val="004C6ABE"/>
    <w:rsid w:val="004D26B8"/>
    <w:rsid w:val="004D387E"/>
    <w:rsid w:val="004E00D8"/>
    <w:rsid w:val="004E50BF"/>
    <w:rsid w:val="004F0A50"/>
    <w:rsid w:val="005046E5"/>
    <w:rsid w:val="00504ACB"/>
    <w:rsid w:val="005053D5"/>
    <w:rsid w:val="00515B74"/>
    <w:rsid w:val="005315CA"/>
    <w:rsid w:val="0053211F"/>
    <w:rsid w:val="005353E6"/>
    <w:rsid w:val="00540CD9"/>
    <w:rsid w:val="00544854"/>
    <w:rsid w:val="00551599"/>
    <w:rsid w:val="00560379"/>
    <w:rsid w:val="00566618"/>
    <w:rsid w:val="00570B4F"/>
    <w:rsid w:val="005717B5"/>
    <w:rsid w:val="00571F55"/>
    <w:rsid w:val="00595728"/>
    <w:rsid w:val="005B33DC"/>
    <w:rsid w:val="005B76CA"/>
    <w:rsid w:val="005C04EC"/>
    <w:rsid w:val="005C2CD2"/>
    <w:rsid w:val="005C7A8F"/>
    <w:rsid w:val="005C7DA0"/>
    <w:rsid w:val="005E365C"/>
    <w:rsid w:val="005F0E3A"/>
    <w:rsid w:val="0061130C"/>
    <w:rsid w:val="00613735"/>
    <w:rsid w:val="00613C04"/>
    <w:rsid w:val="00624BA8"/>
    <w:rsid w:val="00637699"/>
    <w:rsid w:val="0064244B"/>
    <w:rsid w:val="006542A8"/>
    <w:rsid w:val="00662538"/>
    <w:rsid w:val="006629A0"/>
    <w:rsid w:val="00667FD3"/>
    <w:rsid w:val="006706B1"/>
    <w:rsid w:val="00675390"/>
    <w:rsid w:val="006864ED"/>
    <w:rsid w:val="006933F7"/>
    <w:rsid w:val="0069363B"/>
    <w:rsid w:val="006C0351"/>
    <w:rsid w:val="006C06A5"/>
    <w:rsid w:val="006C5228"/>
    <w:rsid w:val="006D1B28"/>
    <w:rsid w:val="006D2B83"/>
    <w:rsid w:val="006D631B"/>
    <w:rsid w:val="006D7D01"/>
    <w:rsid w:val="006E47CD"/>
    <w:rsid w:val="006F4620"/>
    <w:rsid w:val="006F479F"/>
    <w:rsid w:val="006F61E0"/>
    <w:rsid w:val="00705904"/>
    <w:rsid w:val="00706AC7"/>
    <w:rsid w:val="007106DC"/>
    <w:rsid w:val="00712ED2"/>
    <w:rsid w:val="00716906"/>
    <w:rsid w:val="00724CE9"/>
    <w:rsid w:val="00725CED"/>
    <w:rsid w:val="0072695D"/>
    <w:rsid w:val="00743876"/>
    <w:rsid w:val="007502BC"/>
    <w:rsid w:val="00761293"/>
    <w:rsid w:val="00775491"/>
    <w:rsid w:val="00776536"/>
    <w:rsid w:val="0078668A"/>
    <w:rsid w:val="007874B7"/>
    <w:rsid w:val="007939C3"/>
    <w:rsid w:val="007B28B4"/>
    <w:rsid w:val="007B74B8"/>
    <w:rsid w:val="007B7D9C"/>
    <w:rsid w:val="007C2184"/>
    <w:rsid w:val="007D0674"/>
    <w:rsid w:val="007D147C"/>
    <w:rsid w:val="007D5823"/>
    <w:rsid w:val="007E3829"/>
    <w:rsid w:val="007E567C"/>
    <w:rsid w:val="007F575C"/>
    <w:rsid w:val="007F68DA"/>
    <w:rsid w:val="00800D31"/>
    <w:rsid w:val="0080492C"/>
    <w:rsid w:val="00812222"/>
    <w:rsid w:val="008124F4"/>
    <w:rsid w:val="00813FB3"/>
    <w:rsid w:val="0082568A"/>
    <w:rsid w:val="008312E0"/>
    <w:rsid w:val="00834C10"/>
    <w:rsid w:val="00835ABA"/>
    <w:rsid w:val="00845D49"/>
    <w:rsid w:val="00855808"/>
    <w:rsid w:val="00864B6D"/>
    <w:rsid w:val="00874B35"/>
    <w:rsid w:val="00876329"/>
    <w:rsid w:val="00882FEE"/>
    <w:rsid w:val="00883773"/>
    <w:rsid w:val="00883A6F"/>
    <w:rsid w:val="008865D3"/>
    <w:rsid w:val="00891FF6"/>
    <w:rsid w:val="008A0BA8"/>
    <w:rsid w:val="008A48DC"/>
    <w:rsid w:val="008B2712"/>
    <w:rsid w:val="008B50FC"/>
    <w:rsid w:val="008B758B"/>
    <w:rsid w:val="008B7701"/>
    <w:rsid w:val="008C6056"/>
    <w:rsid w:val="008C6325"/>
    <w:rsid w:val="008C6B77"/>
    <w:rsid w:val="008D1D73"/>
    <w:rsid w:val="008D6101"/>
    <w:rsid w:val="008D7B20"/>
    <w:rsid w:val="008E23BE"/>
    <w:rsid w:val="008E2D5A"/>
    <w:rsid w:val="008F14F4"/>
    <w:rsid w:val="00905EC4"/>
    <w:rsid w:val="009112F0"/>
    <w:rsid w:val="00916C2A"/>
    <w:rsid w:val="009276F0"/>
    <w:rsid w:val="00927A6E"/>
    <w:rsid w:val="00931432"/>
    <w:rsid w:val="00935D95"/>
    <w:rsid w:val="009405BC"/>
    <w:rsid w:val="00946467"/>
    <w:rsid w:val="009464E0"/>
    <w:rsid w:val="00953C08"/>
    <w:rsid w:val="009557F6"/>
    <w:rsid w:val="0095734A"/>
    <w:rsid w:val="00961D6B"/>
    <w:rsid w:val="00961FCA"/>
    <w:rsid w:val="00970D26"/>
    <w:rsid w:val="00970F13"/>
    <w:rsid w:val="00971A06"/>
    <w:rsid w:val="009720E3"/>
    <w:rsid w:val="009738BA"/>
    <w:rsid w:val="00982428"/>
    <w:rsid w:val="00992E70"/>
    <w:rsid w:val="00996C62"/>
    <w:rsid w:val="009A1765"/>
    <w:rsid w:val="009B02E6"/>
    <w:rsid w:val="009B5BA5"/>
    <w:rsid w:val="009B74FB"/>
    <w:rsid w:val="009C7A66"/>
    <w:rsid w:val="009C7E23"/>
    <w:rsid w:val="009D05B6"/>
    <w:rsid w:val="009D2A92"/>
    <w:rsid w:val="009D6171"/>
    <w:rsid w:val="009E362A"/>
    <w:rsid w:val="009E6ECD"/>
    <w:rsid w:val="009F179A"/>
    <w:rsid w:val="009F2445"/>
    <w:rsid w:val="009F28EE"/>
    <w:rsid w:val="00A07EF9"/>
    <w:rsid w:val="00A10979"/>
    <w:rsid w:val="00A132C2"/>
    <w:rsid w:val="00A14D0A"/>
    <w:rsid w:val="00A22E48"/>
    <w:rsid w:val="00A266FC"/>
    <w:rsid w:val="00A33E8B"/>
    <w:rsid w:val="00A40E4F"/>
    <w:rsid w:val="00A46888"/>
    <w:rsid w:val="00A5090E"/>
    <w:rsid w:val="00A53B70"/>
    <w:rsid w:val="00A573EB"/>
    <w:rsid w:val="00A671E2"/>
    <w:rsid w:val="00A709C4"/>
    <w:rsid w:val="00A7696C"/>
    <w:rsid w:val="00A81A5B"/>
    <w:rsid w:val="00A91F0B"/>
    <w:rsid w:val="00A9203E"/>
    <w:rsid w:val="00AA21B0"/>
    <w:rsid w:val="00AA7E92"/>
    <w:rsid w:val="00AB3D2F"/>
    <w:rsid w:val="00AB3F20"/>
    <w:rsid w:val="00AB5B12"/>
    <w:rsid w:val="00AB6B50"/>
    <w:rsid w:val="00AC22B0"/>
    <w:rsid w:val="00AC695D"/>
    <w:rsid w:val="00AD63A0"/>
    <w:rsid w:val="00AD775F"/>
    <w:rsid w:val="00AD7CF0"/>
    <w:rsid w:val="00AE0E32"/>
    <w:rsid w:val="00AE3B42"/>
    <w:rsid w:val="00AE76EA"/>
    <w:rsid w:val="00AF026D"/>
    <w:rsid w:val="00AF07E8"/>
    <w:rsid w:val="00AF2BB6"/>
    <w:rsid w:val="00AF4B6B"/>
    <w:rsid w:val="00B04675"/>
    <w:rsid w:val="00B10FEB"/>
    <w:rsid w:val="00B224CB"/>
    <w:rsid w:val="00B23295"/>
    <w:rsid w:val="00B30E8D"/>
    <w:rsid w:val="00B525D7"/>
    <w:rsid w:val="00B60474"/>
    <w:rsid w:val="00B61146"/>
    <w:rsid w:val="00B635DE"/>
    <w:rsid w:val="00B6503B"/>
    <w:rsid w:val="00B673C4"/>
    <w:rsid w:val="00B751CB"/>
    <w:rsid w:val="00B83AFE"/>
    <w:rsid w:val="00B95AA4"/>
    <w:rsid w:val="00B9654C"/>
    <w:rsid w:val="00BA1C0C"/>
    <w:rsid w:val="00BA3593"/>
    <w:rsid w:val="00BA7962"/>
    <w:rsid w:val="00BB49F1"/>
    <w:rsid w:val="00BB4C71"/>
    <w:rsid w:val="00BB796B"/>
    <w:rsid w:val="00BC2390"/>
    <w:rsid w:val="00BD0E9A"/>
    <w:rsid w:val="00BE5FB0"/>
    <w:rsid w:val="00BE69C6"/>
    <w:rsid w:val="00BF3DF0"/>
    <w:rsid w:val="00BF4DA2"/>
    <w:rsid w:val="00BF689E"/>
    <w:rsid w:val="00C01040"/>
    <w:rsid w:val="00C01670"/>
    <w:rsid w:val="00C0213C"/>
    <w:rsid w:val="00C028ED"/>
    <w:rsid w:val="00C03E9E"/>
    <w:rsid w:val="00C04A5E"/>
    <w:rsid w:val="00C05453"/>
    <w:rsid w:val="00C11335"/>
    <w:rsid w:val="00C11F15"/>
    <w:rsid w:val="00C140C5"/>
    <w:rsid w:val="00C15F8A"/>
    <w:rsid w:val="00C16B87"/>
    <w:rsid w:val="00C242E8"/>
    <w:rsid w:val="00C333C1"/>
    <w:rsid w:val="00C33921"/>
    <w:rsid w:val="00C35B33"/>
    <w:rsid w:val="00C37CEB"/>
    <w:rsid w:val="00C41E21"/>
    <w:rsid w:val="00C62D6E"/>
    <w:rsid w:val="00C63248"/>
    <w:rsid w:val="00C733F5"/>
    <w:rsid w:val="00C75AA3"/>
    <w:rsid w:val="00C767D7"/>
    <w:rsid w:val="00C817CA"/>
    <w:rsid w:val="00C92F11"/>
    <w:rsid w:val="00C9504E"/>
    <w:rsid w:val="00C96434"/>
    <w:rsid w:val="00CA1C05"/>
    <w:rsid w:val="00CA5D9E"/>
    <w:rsid w:val="00CA7612"/>
    <w:rsid w:val="00CC10A4"/>
    <w:rsid w:val="00CC173F"/>
    <w:rsid w:val="00CD0648"/>
    <w:rsid w:val="00CD260A"/>
    <w:rsid w:val="00CD4014"/>
    <w:rsid w:val="00CE05E0"/>
    <w:rsid w:val="00CE6761"/>
    <w:rsid w:val="00CE73B5"/>
    <w:rsid w:val="00CF0007"/>
    <w:rsid w:val="00CF7F00"/>
    <w:rsid w:val="00D00527"/>
    <w:rsid w:val="00D01853"/>
    <w:rsid w:val="00D06CD0"/>
    <w:rsid w:val="00D11F73"/>
    <w:rsid w:val="00D3115F"/>
    <w:rsid w:val="00D31CE8"/>
    <w:rsid w:val="00D3430E"/>
    <w:rsid w:val="00D40246"/>
    <w:rsid w:val="00D40EE6"/>
    <w:rsid w:val="00D4680E"/>
    <w:rsid w:val="00D659D0"/>
    <w:rsid w:val="00D71CB9"/>
    <w:rsid w:val="00D765E5"/>
    <w:rsid w:val="00D7734D"/>
    <w:rsid w:val="00D84721"/>
    <w:rsid w:val="00D936FE"/>
    <w:rsid w:val="00DA19EB"/>
    <w:rsid w:val="00DB27E0"/>
    <w:rsid w:val="00DC0C14"/>
    <w:rsid w:val="00DC5E53"/>
    <w:rsid w:val="00DD2ECB"/>
    <w:rsid w:val="00DD48CA"/>
    <w:rsid w:val="00DD63AF"/>
    <w:rsid w:val="00DE5560"/>
    <w:rsid w:val="00DE70CF"/>
    <w:rsid w:val="00DF1C63"/>
    <w:rsid w:val="00DF62EC"/>
    <w:rsid w:val="00E00B1A"/>
    <w:rsid w:val="00E059AD"/>
    <w:rsid w:val="00E06490"/>
    <w:rsid w:val="00E1543C"/>
    <w:rsid w:val="00E209F6"/>
    <w:rsid w:val="00E304D1"/>
    <w:rsid w:val="00E30650"/>
    <w:rsid w:val="00E3502F"/>
    <w:rsid w:val="00E45FF9"/>
    <w:rsid w:val="00E50390"/>
    <w:rsid w:val="00E568A6"/>
    <w:rsid w:val="00E73E67"/>
    <w:rsid w:val="00E82ACA"/>
    <w:rsid w:val="00E83606"/>
    <w:rsid w:val="00E842D7"/>
    <w:rsid w:val="00E84438"/>
    <w:rsid w:val="00E84BCE"/>
    <w:rsid w:val="00E874C7"/>
    <w:rsid w:val="00E8771E"/>
    <w:rsid w:val="00EA4A37"/>
    <w:rsid w:val="00EB0497"/>
    <w:rsid w:val="00EB5A26"/>
    <w:rsid w:val="00EC102B"/>
    <w:rsid w:val="00EC4E56"/>
    <w:rsid w:val="00ED0DD3"/>
    <w:rsid w:val="00ED4A09"/>
    <w:rsid w:val="00ED50BC"/>
    <w:rsid w:val="00ED5273"/>
    <w:rsid w:val="00EE0A29"/>
    <w:rsid w:val="00EE0B7C"/>
    <w:rsid w:val="00EE12C7"/>
    <w:rsid w:val="00EF01BA"/>
    <w:rsid w:val="00EF4F0A"/>
    <w:rsid w:val="00F014B9"/>
    <w:rsid w:val="00F0217F"/>
    <w:rsid w:val="00F03266"/>
    <w:rsid w:val="00F04987"/>
    <w:rsid w:val="00F066BD"/>
    <w:rsid w:val="00F120F3"/>
    <w:rsid w:val="00F17B12"/>
    <w:rsid w:val="00F212E7"/>
    <w:rsid w:val="00F24357"/>
    <w:rsid w:val="00F255D6"/>
    <w:rsid w:val="00F31F96"/>
    <w:rsid w:val="00F42B46"/>
    <w:rsid w:val="00F42EF8"/>
    <w:rsid w:val="00F43D11"/>
    <w:rsid w:val="00F44BAF"/>
    <w:rsid w:val="00F60FC7"/>
    <w:rsid w:val="00F72919"/>
    <w:rsid w:val="00F92036"/>
    <w:rsid w:val="00F931CD"/>
    <w:rsid w:val="00F93CDF"/>
    <w:rsid w:val="00FA489A"/>
    <w:rsid w:val="00FD1078"/>
    <w:rsid w:val="00FD422F"/>
    <w:rsid w:val="00FD698B"/>
    <w:rsid w:val="00FE18B2"/>
    <w:rsid w:val="00FF10AA"/>
    <w:rsid w:val="00FF1DB0"/>
    <w:rsid w:val="00FF2C6E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9FF9E"/>
  <w15:chartTrackingRefBased/>
  <w15:docId w15:val="{D7C1B935-0D57-4DAF-B5C8-7DE0FF0C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24BA8"/>
  </w:style>
  <w:style w:type="paragraph" w:styleId="Naslov1">
    <w:name w:val="heading 1"/>
    <w:basedOn w:val="Navaden"/>
    <w:next w:val="Navaden"/>
    <w:link w:val="Naslov1Znak"/>
    <w:uiPriority w:val="9"/>
    <w:qFormat/>
    <w:rsid w:val="00624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4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pis">
    <w:name w:val="caption"/>
    <w:basedOn w:val="Navaden"/>
    <w:next w:val="Navaden"/>
    <w:uiPriority w:val="35"/>
    <w:unhideWhenUsed/>
    <w:qFormat/>
    <w:rsid w:val="00D936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02E6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D3115F"/>
    <w:rPr>
      <w:color w:val="0563C1" w:themeColor="hyperlink"/>
      <w:u w:val="single"/>
    </w:rPr>
  </w:style>
  <w:style w:type="paragraph" w:customStyle="1" w:styleId="EmptyCellLayoutStyle">
    <w:name w:val="EmptyCellLayoutStyle"/>
    <w:rsid w:val="00333037"/>
    <w:rPr>
      <w:rFonts w:ascii="Times New Roman" w:eastAsia="Times New Roman" w:hAnsi="Times New Roman" w:cs="Times New Roman"/>
      <w:sz w:val="2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330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3303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3303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330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33037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AB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AB3F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AB3F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2">
    <w:name w:val="Plain Table 2"/>
    <w:basedOn w:val="Navadnatabela"/>
    <w:uiPriority w:val="42"/>
    <w:rsid w:val="00AB3F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AB3F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AB3F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AB3F2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D343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D3430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D3430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D3430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D3430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D3430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slov">
    <w:name w:val="Title"/>
    <w:basedOn w:val="Naslov1"/>
    <w:next w:val="Navaden"/>
    <w:link w:val="NaslovZnak"/>
    <w:uiPriority w:val="10"/>
    <w:qFormat/>
    <w:rsid w:val="00426311"/>
    <w:pPr>
      <w:jc w:val="center"/>
    </w:pPr>
    <w:rPr>
      <w:rFonts w:eastAsia="Times New Roman"/>
      <w:lang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426311"/>
    <w:rPr>
      <w:rFonts w:asciiTheme="majorHAnsi" w:eastAsia="Times New Roman" w:hAnsiTheme="majorHAnsi" w:cstheme="majorBidi"/>
      <w:color w:val="2E74B5" w:themeColor="accent1" w:themeShade="BF"/>
      <w:sz w:val="32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F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0007"/>
  </w:style>
  <w:style w:type="paragraph" w:styleId="Noga">
    <w:name w:val="footer"/>
    <w:basedOn w:val="Navaden"/>
    <w:link w:val="NogaZnak"/>
    <w:uiPriority w:val="99"/>
    <w:unhideWhenUsed/>
    <w:rsid w:val="00CF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0007"/>
  </w:style>
  <w:style w:type="paragraph" w:styleId="Navadensplet">
    <w:name w:val="Normal (Web)"/>
    <w:basedOn w:val="Navaden"/>
    <w:uiPriority w:val="99"/>
    <w:unhideWhenUsed/>
    <w:rsid w:val="00BE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4D3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n3.sos112.si/javno/porocilo" TargetMode="External"/><Relationship Id="rId13" Type="http://schemas.openxmlformats.org/officeDocument/2006/relationships/hyperlink" Target="https://spin3.sos112.si/javno/porocil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klic.sos112.si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spin3.sos112.si/javno/porocil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8AA904-B160-4C64-80BE-FC9A0B29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Predovnik</dc:creator>
  <cp:keywords/>
  <dc:description/>
  <cp:lastModifiedBy>Vesna Predovnik</cp:lastModifiedBy>
  <cp:revision>2</cp:revision>
  <cp:lastPrinted>2026-04-30T07:42:00Z</cp:lastPrinted>
  <dcterms:created xsi:type="dcterms:W3CDTF">2026-05-06T09:18:00Z</dcterms:created>
  <dcterms:modified xsi:type="dcterms:W3CDTF">2026-05-06T09:18:00Z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dd323b484481e21b47d84b4fab4dae969140e487f3dbaf1ad213be0ee40a4aab</vt:lpwstr>
  </property>
</Properties>
</file>