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CB3" w:rsidRPr="00426311" w:rsidRDefault="00624BA8" w:rsidP="00426311">
      <w:pPr>
        <w:pStyle w:val="Naslov"/>
      </w:pPr>
      <w:r w:rsidRPr="00426311">
        <w:t>V</w:t>
      </w:r>
      <w:r w:rsidR="00540CD9" w:rsidRPr="00426311">
        <w:t xml:space="preserve"> letu 2021</w:t>
      </w:r>
      <w:r w:rsidR="00E209F6" w:rsidRPr="00426311">
        <w:t xml:space="preserve"> smo prejeli 524.656</w:t>
      </w:r>
      <w:r w:rsidRPr="00426311">
        <w:t xml:space="preserve"> klicev </w:t>
      </w:r>
      <w:r w:rsidR="00B6503B" w:rsidRPr="00426311">
        <w:t>v Regijske centre za obveščanje</w:t>
      </w:r>
      <w:r w:rsidR="00EE0B7C" w:rsidRPr="00426311">
        <w:t xml:space="preserve"> </w:t>
      </w:r>
      <w:r w:rsidR="00E209F6" w:rsidRPr="00426311">
        <w:t xml:space="preserve"> </w:t>
      </w:r>
    </w:p>
    <w:p w:rsidR="00624BA8" w:rsidRDefault="00624BA8" w:rsidP="006C5228">
      <w:pPr>
        <w:spacing w:before="100" w:beforeAutospacing="1" w:after="100" w:afterAutospacing="1" w:line="240" w:lineRule="auto"/>
        <w:jc w:val="both"/>
        <w:rPr>
          <w:rFonts w:ascii="Arial" w:eastAsia="Times New Roman" w:hAnsi="Arial" w:cs="Arial"/>
          <w:sz w:val="24"/>
          <w:szCs w:val="24"/>
          <w:lang w:eastAsia="sl-SI"/>
        </w:rPr>
      </w:pPr>
      <w:r w:rsidRPr="00E22AAC">
        <w:rPr>
          <w:rFonts w:ascii="Arial" w:eastAsia="Times New Roman" w:hAnsi="Arial" w:cs="Arial"/>
          <w:sz w:val="24"/>
          <w:szCs w:val="24"/>
          <w:lang w:eastAsia="sl-SI"/>
        </w:rPr>
        <w:t>Operativno-komunikacijske naloge opazovanja, obveščanje in alarmiranja opravljajo 24 ur na dan, neprekinjeno 365 dni v letu Center</w:t>
      </w:r>
      <w:r>
        <w:rPr>
          <w:rFonts w:ascii="Arial" w:eastAsia="Times New Roman" w:hAnsi="Arial" w:cs="Arial"/>
          <w:sz w:val="24"/>
          <w:szCs w:val="24"/>
          <w:lang w:eastAsia="sl-SI"/>
        </w:rPr>
        <w:t xml:space="preserve"> za obveščanje RS (CORS) in 13 R</w:t>
      </w:r>
      <w:r w:rsidRPr="00E22AAC">
        <w:rPr>
          <w:rFonts w:ascii="Arial" w:eastAsia="Times New Roman" w:hAnsi="Arial" w:cs="Arial"/>
          <w:sz w:val="24"/>
          <w:szCs w:val="24"/>
          <w:lang w:eastAsia="sl-SI"/>
        </w:rPr>
        <w:t xml:space="preserve">egijskih centrov za obveščanje (ReCO), ki se odzivajo na klic v sili 112. Z delovanjem ReCO so vsem državljanom zagotovljeni dostopnost nujne medicinske pomoči, hitro aktiviranje reševalcev, predvsem gasilcev, ter ustrezno odzivanje različnih reševalnih služb ob naravnih in drugih nesrečah. </w:t>
      </w:r>
    </w:p>
    <w:p w:rsidR="00D3115F" w:rsidRPr="00E22AAC" w:rsidRDefault="00D3115F" w:rsidP="006C5228">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V analizi so bili uporabljeni podatki, ki so javno dostopni in sicer na spletnih naslovih </w:t>
      </w:r>
      <w:hyperlink r:id="rId5" w:history="1">
        <w:proofErr w:type="spellStart"/>
        <w:r w:rsidRPr="00F42B46">
          <w:rPr>
            <w:rStyle w:val="Hiperpovezava"/>
            <w:rFonts w:ascii="Arial" w:eastAsia="Times New Roman" w:hAnsi="Arial" w:cs="Arial"/>
            <w:sz w:val="24"/>
            <w:szCs w:val="24"/>
            <w:lang w:eastAsia="sl-SI"/>
          </w:rPr>
          <w:t>Statklic</w:t>
        </w:r>
        <w:proofErr w:type="spellEnd"/>
      </w:hyperlink>
      <w:r>
        <w:rPr>
          <w:rFonts w:ascii="Arial" w:eastAsia="Times New Roman" w:hAnsi="Arial" w:cs="Arial"/>
          <w:sz w:val="24"/>
          <w:szCs w:val="24"/>
          <w:lang w:eastAsia="sl-SI"/>
        </w:rPr>
        <w:t xml:space="preserve">  in </w:t>
      </w:r>
      <w:hyperlink r:id="rId6" w:tooltip="https://spin3.sos112.si/javno/porocilo" w:history="1">
        <w:r w:rsidRPr="00F42B46">
          <w:rPr>
            <w:rStyle w:val="Hiperpovezava"/>
            <w:rFonts w:ascii="Arial" w:eastAsia="Times New Roman" w:hAnsi="Arial" w:cs="Arial"/>
            <w:sz w:val="24"/>
            <w:szCs w:val="24"/>
            <w:lang w:eastAsia="sl-SI"/>
          </w:rPr>
          <w:t>SPIN</w:t>
        </w:r>
      </w:hyperlink>
      <w:r w:rsidR="00F42B46">
        <w:rPr>
          <w:rFonts w:ascii="Arial" w:eastAsia="Times New Roman" w:hAnsi="Arial" w:cs="Arial"/>
          <w:sz w:val="24"/>
          <w:szCs w:val="24"/>
          <w:lang w:eastAsia="sl-SI"/>
        </w:rPr>
        <w:t xml:space="preserve"> </w:t>
      </w:r>
      <w:r>
        <w:rPr>
          <w:rFonts w:ascii="Arial" w:eastAsia="Times New Roman" w:hAnsi="Arial" w:cs="Arial"/>
          <w:sz w:val="24"/>
          <w:szCs w:val="24"/>
          <w:lang w:eastAsia="sl-SI"/>
        </w:rPr>
        <w:t>.</w:t>
      </w:r>
    </w:p>
    <w:p w:rsidR="00961FCA" w:rsidRDefault="00E209F6" w:rsidP="00961FCA">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V 13 ReCO smo leta 2021</w:t>
      </w:r>
      <w:r w:rsidR="00624BA8" w:rsidRPr="00E22AAC">
        <w:rPr>
          <w:rFonts w:ascii="Arial" w:eastAsia="Times New Roman" w:hAnsi="Arial" w:cs="Arial"/>
          <w:sz w:val="24"/>
          <w:szCs w:val="24"/>
          <w:lang w:eastAsia="sl-SI"/>
        </w:rPr>
        <w:t xml:space="preserve"> po zadnjih nerevidiranih podatkih</w:t>
      </w:r>
      <w:r>
        <w:rPr>
          <w:rFonts w:ascii="Arial" w:eastAsia="Times New Roman" w:hAnsi="Arial" w:cs="Arial"/>
          <w:sz w:val="24"/>
          <w:szCs w:val="24"/>
          <w:lang w:eastAsia="sl-SI"/>
        </w:rPr>
        <w:t xml:space="preserve"> prejeli 524.656</w:t>
      </w:r>
      <w:r w:rsidR="00C75AA3">
        <w:rPr>
          <w:rFonts w:ascii="Arial" w:eastAsia="Times New Roman" w:hAnsi="Arial" w:cs="Arial"/>
          <w:sz w:val="24"/>
          <w:szCs w:val="24"/>
          <w:lang w:eastAsia="sl-SI"/>
        </w:rPr>
        <w:t xml:space="preserve"> </w:t>
      </w:r>
      <w:r w:rsidR="00624BA8" w:rsidRPr="00E22AAC">
        <w:rPr>
          <w:rFonts w:ascii="Arial" w:eastAsia="Times New Roman" w:hAnsi="Arial" w:cs="Arial"/>
          <w:sz w:val="24"/>
          <w:szCs w:val="24"/>
          <w:lang w:eastAsia="sl-SI"/>
        </w:rPr>
        <w:t xml:space="preserve">telefonskih klicev </w:t>
      </w:r>
      <w:r w:rsidR="00624BA8">
        <w:rPr>
          <w:rFonts w:ascii="Arial" w:eastAsia="Times New Roman" w:hAnsi="Arial" w:cs="Arial"/>
          <w:sz w:val="24"/>
          <w:szCs w:val="24"/>
          <w:lang w:eastAsia="sl-SI"/>
        </w:rPr>
        <w:t>(klicev na številko 112)</w:t>
      </w:r>
      <w:r w:rsidR="00624BA8" w:rsidRPr="00E22AAC">
        <w:rPr>
          <w:rFonts w:ascii="Arial" w:eastAsia="Times New Roman" w:hAnsi="Arial" w:cs="Arial"/>
          <w:sz w:val="24"/>
          <w:szCs w:val="24"/>
          <w:lang w:eastAsia="sl-SI"/>
        </w:rPr>
        <w:t>,</w:t>
      </w:r>
      <w:r w:rsidR="00A709C4">
        <w:rPr>
          <w:rFonts w:ascii="Arial" w:eastAsia="Times New Roman" w:hAnsi="Arial" w:cs="Arial"/>
          <w:sz w:val="24"/>
          <w:szCs w:val="24"/>
          <w:lang w:eastAsia="sl-SI"/>
        </w:rPr>
        <w:t xml:space="preserve"> </w:t>
      </w:r>
      <w:r w:rsidR="00624BA8" w:rsidRPr="00E22AAC">
        <w:rPr>
          <w:rFonts w:ascii="Arial" w:eastAsia="Times New Roman" w:hAnsi="Arial" w:cs="Arial"/>
          <w:sz w:val="24"/>
          <w:szCs w:val="24"/>
          <w:lang w:eastAsia="sl-SI"/>
        </w:rPr>
        <w:t>kar je povprečno</w:t>
      </w:r>
      <w:r>
        <w:rPr>
          <w:rFonts w:ascii="Arial" w:eastAsia="Times New Roman" w:hAnsi="Arial" w:cs="Arial"/>
          <w:sz w:val="24"/>
          <w:szCs w:val="24"/>
          <w:lang w:eastAsia="sl-SI"/>
        </w:rPr>
        <w:t xml:space="preserve"> preko 1.43</w:t>
      </w:r>
      <w:r w:rsidR="00C75AA3">
        <w:rPr>
          <w:rFonts w:ascii="Arial" w:eastAsia="Times New Roman" w:hAnsi="Arial" w:cs="Arial"/>
          <w:sz w:val="24"/>
          <w:szCs w:val="24"/>
          <w:lang w:eastAsia="sl-SI"/>
        </w:rPr>
        <w:t>0</w:t>
      </w:r>
      <w:r w:rsidR="00624BA8" w:rsidRPr="00E22AAC">
        <w:rPr>
          <w:rFonts w:ascii="Arial" w:eastAsia="Times New Roman" w:hAnsi="Arial" w:cs="Arial"/>
          <w:sz w:val="24"/>
          <w:szCs w:val="24"/>
          <w:lang w:eastAsia="sl-SI"/>
        </w:rPr>
        <w:t xml:space="preserve"> klicev na dan.</w:t>
      </w:r>
      <w:r w:rsidR="00C75AA3">
        <w:rPr>
          <w:rFonts w:ascii="Arial" w:eastAsia="Times New Roman" w:hAnsi="Arial" w:cs="Arial"/>
          <w:sz w:val="24"/>
          <w:szCs w:val="24"/>
          <w:lang w:eastAsia="sl-SI"/>
        </w:rPr>
        <w:t xml:space="preserve"> Glede na let</w:t>
      </w:r>
      <w:r>
        <w:rPr>
          <w:rFonts w:ascii="Arial" w:eastAsia="Times New Roman" w:hAnsi="Arial" w:cs="Arial"/>
          <w:sz w:val="24"/>
          <w:szCs w:val="24"/>
          <w:lang w:eastAsia="sl-SI"/>
        </w:rPr>
        <w:t>o 2020 je bilo klicev več za 1,94</w:t>
      </w:r>
      <w:r w:rsidR="00C75AA3">
        <w:rPr>
          <w:rFonts w:ascii="Arial" w:eastAsia="Times New Roman" w:hAnsi="Arial" w:cs="Arial"/>
          <w:sz w:val="24"/>
          <w:szCs w:val="24"/>
          <w:lang w:eastAsia="sl-SI"/>
        </w:rPr>
        <w:t>%.</w:t>
      </w:r>
      <w:r w:rsidR="008C6056">
        <w:rPr>
          <w:rFonts w:ascii="Arial" w:eastAsia="Times New Roman" w:hAnsi="Arial" w:cs="Arial"/>
          <w:sz w:val="24"/>
          <w:szCs w:val="24"/>
          <w:lang w:eastAsia="sl-SI"/>
        </w:rPr>
        <w:t xml:space="preserve"> </w:t>
      </w:r>
    </w:p>
    <w:p w:rsidR="00181F8A" w:rsidRDefault="003462F0" w:rsidP="006C5228">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Letno š</w:t>
      </w:r>
      <w:r w:rsidR="00961FCA">
        <w:rPr>
          <w:rFonts w:ascii="Arial" w:eastAsia="Times New Roman" w:hAnsi="Arial" w:cs="Arial"/>
          <w:sz w:val="24"/>
          <w:szCs w:val="24"/>
          <w:lang w:eastAsia="sl-SI"/>
        </w:rPr>
        <w:t xml:space="preserve">tevilo </w:t>
      </w:r>
      <w:r w:rsidR="00BF4DA2">
        <w:rPr>
          <w:rFonts w:ascii="Arial" w:eastAsia="Times New Roman" w:hAnsi="Arial" w:cs="Arial"/>
          <w:sz w:val="24"/>
          <w:szCs w:val="24"/>
          <w:lang w:eastAsia="sl-SI"/>
        </w:rPr>
        <w:t xml:space="preserve">dohodnih </w:t>
      </w:r>
      <w:r w:rsidR="00961FCA">
        <w:rPr>
          <w:rFonts w:ascii="Arial" w:eastAsia="Times New Roman" w:hAnsi="Arial" w:cs="Arial"/>
          <w:sz w:val="24"/>
          <w:szCs w:val="24"/>
          <w:lang w:eastAsia="sl-SI"/>
        </w:rPr>
        <w:t>klicev po Regijskih centrih za obveščanje in</w:t>
      </w:r>
      <w:r w:rsidR="00BF4DA2">
        <w:rPr>
          <w:rFonts w:ascii="Arial" w:eastAsia="Times New Roman" w:hAnsi="Arial" w:cs="Arial"/>
          <w:sz w:val="24"/>
          <w:szCs w:val="24"/>
          <w:lang w:eastAsia="sl-SI"/>
        </w:rPr>
        <w:t xml:space="preserve"> po vrstnem redu: Ljubljana (142.792</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6D7D01">
        <w:rPr>
          <w:rFonts w:ascii="Arial" w:eastAsia="Times New Roman" w:hAnsi="Arial" w:cs="Arial"/>
          <w:sz w:val="24"/>
          <w:szCs w:val="24"/>
          <w:lang w:eastAsia="sl-SI"/>
        </w:rPr>
        <w:t xml:space="preserve">Celje (66.411), </w:t>
      </w:r>
      <w:r w:rsidR="00953C08">
        <w:rPr>
          <w:rFonts w:ascii="Arial" w:eastAsia="Times New Roman" w:hAnsi="Arial" w:cs="Arial"/>
          <w:sz w:val="24"/>
          <w:szCs w:val="24"/>
          <w:lang w:eastAsia="sl-SI"/>
        </w:rPr>
        <w:t>Maribor (60.669</w:t>
      </w:r>
      <w:r w:rsidR="00961FCA">
        <w:rPr>
          <w:rFonts w:ascii="Arial" w:eastAsia="Times New Roman" w:hAnsi="Arial" w:cs="Arial"/>
          <w:sz w:val="24"/>
          <w:szCs w:val="24"/>
          <w:lang w:eastAsia="sl-SI"/>
        </w:rPr>
        <w:t>),</w:t>
      </w:r>
      <w:r w:rsidR="006D7D01">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Kranj (45.899), Koper (36.388), Postojna (25.835</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Novo mesto (24.385</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Nova Gorica (23.941</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Brežice (23.052</w:t>
      </w:r>
      <w:r w:rsidR="00961FCA">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Murska Sobota (22.172</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Trbovlje (19.351</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Ptuj (19.879</w:t>
      </w:r>
      <w:r w:rsidR="00961FCA">
        <w:rPr>
          <w:rFonts w:ascii="Arial" w:eastAsia="Times New Roman" w:hAnsi="Arial" w:cs="Arial"/>
          <w:sz w:val="24"/>
          <w:szCs w:val="24"/>
          <w:lang w:eastAsia="sl-SI"/>
        </w:rPr>
        <w:t>),</w:t>
      </w:r>
      <w:r w:rsidR="00961FCA" w:rsidRPr="006C5228">
        <w:rPr>
          <w:rFonts w:ascii="Arial" w:eastAsia="Times New Roman" w:hAnsi="Arial" w:cs="Arial"/>
          <w:sz w:val="24"/>
          <w:szCs w:val="24"/>
          <w:lang w:eastAsia="sl-SI"/>
        </w:rPr>
        <w:t xml:space="preserve"> </w:t>
      </w:r>
      <w:r w:rsidR="00ED5273">
        <w:rPr>
          <w:rFonts w:ascii="Arial" w:eastAsia="Times New Roman" w:hAnsi="Arial" w:cs="Arial"/>
          <w:sz w:val="24"/>
          <w:szCs w:val="24"/>
          <w:lang w:eastAsia="sl-SI"/>
        </w:rPr>
        <w:t>Slovenj Gradec (13.975</w:t>
      </w:r>
      <w:r w:rsidR="00961FCA">
        <w:rPr>
          <w:rFonts w:ascii="Arial" w:eastAsia="Times New Roman" w:hAnsi="Arial" w:cs="Arial"/>
          <w:sz w:val="24"/>
          <w:szCs w:val="24"/>
          <w:lang w:eastAsia="sl-SI"/>
        </w:rPr>
        <w:t xml:space="preserve">). </w:t>
      </w:r>
    </w:p>
    <w:p w:rsidR="00D936FE" w:rsidRDefault="00AE76EA" w:rsidP="00D936FE">
      <w:pPr>
        <w:keepNext/>
        <w:spacing w:before="100" w:beforeAutospacing="1" w:after="100" w:afterAutospacing="1" w:line="240" w:lineRule="auto"/>
        <w:jc w:val="both"/>
      </w:pPr>
      <w:r>
        <w:rPr>
          <w:noProof/>
          <w:lang w:eastAsia="sl-SI"/>
        </w:rPr>
        <w:drawing>
          <wp:inline distT="0" distB="0" distL="0" distR="0" wp14:anchorId="21DC91A5" wp14:editId="3E1A8089">
            <wp:extent cx="5760720" cy="1839016"/>
            <wp:effectExtent l="0" t="0" r="0" b="8890"/>
            <wp:docPr id="1" name="Slika 1" descr="Letno število dohodnih klicev po Regijskih centrih za obveščanje in po vrstnem redu: Ljubljana (142.792), Celje (66.411), Maribor (60.669), Kranj (45.899), Koper (36.388), Postojna (25.835), Novo mesto (24.385), Nova Gorica (23.941), Brežice (23.052), Murska Sobota (22.172), Trbovlje (19.351). Ptuj (19.879), Slovenj Gradec (13.975). " title="Grafični prikaz števila klicev na številko 112 po Regijskih centrih za obveščanje v letu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37838" cy="1863635"/>
                    </a:xfrm>
                    <a:prstGeom prst="rect">
                      <a:avLst/>
                    </a:prstGeom>
                  </pic:spPr>
                </pic:pic>
              </a:graphicData>
            </a:graphic>
          </wp:inline>
        </w:drawing>
      </w:r>
    </w:p>
    <w:p w:rsidR="009720E3" w:rsidRDefault="00D936FE" w:rsidP="009720E3">
      <w:pPr>
        <w:pStyle w:val="Napis"/>
        <w:jc w:val="both"/>
        <w:rPr>
          <w:rFonts w:ascii="Arial" w:eastAsia="Times New Roman" w:hAnsi="Arial" w:cs="Arial"/>
          <w:sz w:val="24"/>
          <w:szCs w:val="24"/>
          <w:lang w:eastAsia="sl-SI"/>
        </w:rPr>
      </w:pPr>
      <w:r>
        <w:t xml:space="preserve">Slika </w:t>
      </w:r>
      <w:r w:rsidR="00162189">
        <w:rPr>
          <w:noProof/>
        </w:rPr>
        <w:fldChar w:fldCharType="begin"/>
      </w:r>
      <w:r w:rsidR="00162189">
        <w:rPr>
          <w:noProof/>
        </w:rPr>
        <w:instrText xml:space="preserve"> SEQ Slika \* ARABIC </w:instrText>
      </w:r>
      <w:r w:rsidR="00162189">
        <w:rPr>
          <w:noProof/>
        </w:rPr>
        <w:fldChar w:fldCharType="separate"/>
      </w:r>
      <w:r w:rsidR="00F0217F">
        <w:rPr>
          <w:noProof/>
        </w:rPr>
        <w:t>1</w:t>
      </w:r>
      <w:r w:rsidR="00162189">
        <w:rPr>
          <w:noProof/>
        </w:rPr>
        <w:fldChar w:fldCharType="end"/>
      </w:r>
      <w:r>
        <w:t xml:space="preserve"> Število</w:t>
      </w:r>
      <w:r w:rsidR="00AE76EA">
        <w:t xml:space="preserve"> dohodnih</w:t>
      </w:r>
      <w:r>
        <w:t xml:space="preserve"> klicev po Regijskih ce</w:t>
      </w:r>
      <w:r w:rsidR="00AE76EA">
        <w:t>ntrih za obveščanje za leto 2021</w:t>
      </w:r>
    </w:p>
    <w:p w:rsidR="00B9654C" w:rsidRDefault="0049221D" w:rsidP="009B02E6">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Največje število </w:t>
      </w:r>
      <w:r w:rsidR="00F92036">
        <w:rPr>
          <w:rFonts w:ascii="Arial" w:eastAsia="Times New Roman" w:hAnsi="Arial" w:cs="Arial"/>
          <w:sz w:val="24"/>
          <w:szCs w:val="24"/>
          <w:lang w:eastAsia="sl-SI"/>
        </w:rPr>
        <w:t xml:space="preserve">dohodnih </w:t>
      </w:r>
      <w:r>
        <w:rPr>
          <w:rFonts w:ascii="Arial" w:eastAsia="Times New Roman" w:hAnsi="Arial" w:cs="Arial"/>
          <w:sz w:val="24"/>
          <w:szCs w:val="24"/>
          <w:lang w:eastAsia="sl-SI"/>
        </w:rPr>
        <w:t xml:space="preserve">klicev v enem dnevu po posameznem </w:t>
      </w:r>
      <w:r w:rsidR="000E078A">
        <w:rPr>
          <w:rFonts w:ascii="Arial" w:eastAsia="Times New Roman" w:hAnsi="Arial" w:cs="Arial"/>
          <w:sz w:val="24"/>
          <w:szCs w:val="24"/>
          <w:lang w:eastAsia="sl-SI"/>
        </w:rPr>
        <w:t>R</w:t>
      </w:r>
      <w:r>
        <w:rPr>
          <w:rFonts w:ascii="Arial" w:eastAsia="Times New Roman" w:hAnsi="Arial" w:cs="Arial"/>
          <w:sz w:val="24"/>
          <w:szCs w:val="24"/>
          <w:lang w:eastAsia="sl-SI"/>
        </w:rPr>
        <w:t>egijskem</w:t>
      </w:r>
      <w:r w:rsidR="000E078A">
        <w:rPr>
          <w:rFonts w:ascii="Arial" w:eastAsia="Times New Roman" w:hAnsi="Arial" w:cs="Arial"/>
          <w:sz w:val="24"/>
          <w:szCs w:val="24"/>
          <w:lang w:eastAsia="sl-SI"/>
        </w:rPr>
        <w:t xml:space="preserve"> ce</w:t>
      </w:r>
      <w:r>
        <w:rPr>
          <w:rFonts w:ascii="Arial" w:eastAsia="Times New Roman" w:hAnsi="Arial" w:cs="Arial"/>
          <w:sz w:val="24"/>
          <w:szCs w:val="24"/>
          <w:lang w:eastAsia="sl-SI"/>
        </w:rPr>
        <w:t>ntru</w:t>
      </w:r>
      <w:r w:rsidR="00C028ED">
        <w:rPr>
          <w:rFonts w:ascii="Arial" w:eastAsia="Times New Roman" w:hAnsi="Arial" w:cs="Arial"/>
          <w:sz w:val="24"/>
          <w:szCs w:val="24"/>
          <w:lang w:eastAsia="sl-SI"/>
        </w:rPr>
        <w:t xml:space="preserve"> z</w:t>
      </w:r>
      <w:r w:rsidR="00480225">
        <w:rPr>
          <w:rFonts w:ascii="Arial" w:eastAsia="Times New Roman" w:hAnsi="Arial" w:cs="Arial"/>
          <w:sz w:val="24"/>
          <w:szCs w:val="24"/>
          <w:lang w:eastAsia="sl-SI"/>
        </w:rPr>
        <w:t>a obveščanje</w:t>
      </w:r>
      <w:r w:rsidR="00C333C1">
        <w:rPr>
          <w:rFonts w:ascii="Arial" w:eastAsia="Times New Roman" w:hAnsi="Arial" w:cs="Arial"/>
          <w:sz w:val="24"/>
          <w:szCs w:val="24"/>
          <w:lang w:eastAsia="sl-SI"/>
        </w:rPr>
        <w:t xml:space="preserve"> in vrsti</w:t>
      </w:r>
      <w:r w:rsidR="000E078A">
        <w:rPr>
          <w:rFonts w:ascii="Arial" w:eastAsia="Times New Roman" w:hAnsi="Arial" w:cs="Arial"/>
          <w:sz w:val="24"/>
          <w:szCs w:val="24"/>
          <w:lang w:eastAsia="sl-SI"/>
        </w:rPr>
        <w:t xml:space="preserve"> dogodka</w:t>
      </w:r>
      <w:r>
        <w:rPr>
          <w:rFonts w:ascii="Arial" w:eastAsia="Times New Roman" w:hAnsi="Arial" w:cs="Arial"/>
          <w:sz w:val="24"/>
          <w:szCs w:val="24"/>
          <w:lang w:eastAsia="sl-SI"/>
        </w:rPr>
        <w:t xml:space="preserve"> (naravna in/ali druga nesreča</w:t>
      </w:r>
      <w:r w:rsidR="00C333C1">
        <w:rPr>
          <w:rFonts w:ascii="Arial" w:eastAsia="Times New Roman" w:hAnsi="Arial" w:cs="Arial"/>
          <w:sz w:val="24"/>
          <w:szCs w:val="24"/>
          <w:lang w:eastAsia="sl-SI"/>
        </w:rPr>
        <w:t>; večje število klicev krajanov zaradi drugih</w:t>
      </w:r>
      <w:r w:rsidR="00E059AD">
        <w:rPr>
          <w:rFonts w:ascii="Arial" w:eastAsia="Times New Roman" w:hAnsi="Arial" w:cs="Arial"/>
          <w:sz w:val="24"/>
          <w:szCs w:val="24"/>
          <w:lang w:eastAsia="sl-SI"/>
        </w:rPr>
        <w:t xml:space="preserve"> vzrokov/več različnih dogodkov</w:t>
      </w:r>
      <w:r>
        <w:rPr>
          <w:rFonts w:ascii="Arial" w:eastAsia="Times New Roman" w:hAnsi="Arial" w:cs="Arial"/>
          <w:sz w:val="24"/>
          <w:szCs w:val="24"/>
          <w:lang w:eastAsia="sl-SI"/>
        </w:rPr>
        <w:t>)</w:t>
      </w:r>
      <w:r w:rsidR="000E078A">
        <w:rPr>
          <w:rFonts w:ascii="Arial" w:eastAsia="Times New Roman" w:hAnsi="Arial" w:cs="Arial"/>
          <w:sz w:val="24"/>
          <w:szCs w:val="24"/>
          <w:lang w:eastAsia="sl-SI"/>
        </w:rPr>
        <w:t xml:space="preserve"> </w:t>
      </w:r>
      <w:r w:rsidR="00480225">
        <w:rPr>
          <w:rFonts w:ascii="Arial" w:eastAsia="Times New Roman" w:hAnsi="Arial" w:cs="Arial"/>
          <w:sz w:val="24"/>
          <w:szCs w:val="24"/>
          <w:lang w:eastAsia="sl-SI"/>
        </w:rPr>
        <w:t>: ReCO Ljubljana (</w:t>
      </w:r>
      <w:r w:rsidR="00C028ED">
        <w:rPr>
          <w:rFonts w:ascii="Arial" w:eastAsia="Times New Roman" w:hAnsi="Arial" w:cs="Arial"/>
          <w:sz w:val="24"/>
          <w:szCs w:val="24"/>
          <w:lang w:eastAsia="sl-SI"/>
        </w:rPr>
        <w:t>dne 29.9.2021</w:t>
      </w:r>
      <w:r w:rsidR="00DC0C14">
        <w:rPr>
          <w:rFonts w:ascii="Arial" w:eastAsia="Times New Roman" w:hAnsi="Arial" w:cs="Arial"/>
          <w:sz w:val="24"/>
          <w:szCs w:val="24"/>
          <w:lang w:eastAsia="sl-SI"/>
        </w:rPr>
        <w:t xml:space="preserve">, </w:t>
      </w:r>
      <w:r w:rsidR="00480225">
        <w:rPr>
          <w:rFonts w:ascii="Arial" w:eastAsia="Times New Roman" w:hAnsi="Arial" w:cs="Arial"/>
          <w:sz w:val="24"/>
          <w:szCs w:val="24"/>
          <w:lang w:eastAsia="sl-SI"/>
        </w:rPr>
        <w:t xml:space="preserve">3.084 </w:t>
      </w:r>
      <w:r w:rsidR="00C028ED">
        <w:rPr>
          <w:rFonts w:ascii="Arial" w:eastAsia="Times New Roman" w:hAnsi="Arial" w:cs="Arial"/>
          <w:sz w:val="24"/>
          <w:szCs w:val="24"/>
          <w:lang w:eastAsia="sl-SI"/>
        </w:rPr>
        <w:t>klicev</w:t>
      </w:r>
      <w:r>
        <w:rPr>
          <w:rFonts w:ascii="Arial" w:eastAsia="Times New Roman" w:hAnsi="Arial" w:cs="Arial"/>
          <w:sz w:val="24"/>
          <w:szCs w:val="24"/>
          <w:lang w:eastAsia="sl-SI"/>
        </w:rPr>
        <w:t>, dogodek: neurje</w:t>
      </w:r>
      <w:r w:rsidR="00C028ED">
        <w:rPr>
          <w:rFonts w:ascii="Arial" w:eastAsia="Times New Roman" w:hAnsi="Arial" w:cs="Arial"/>
          <w:sz w:val="24"/>
          <w:szCs w:val="24"/>
          <w:lang w:eastAsia="sl-SI"/>
        </w:rPr>
        <w:t>),</w:t>
      </w:r>
      <w:r w:rsidR="00DC0C14">
        <w:rPr>
          <w:rFonts w:ascii="Arial" w:eastAsia="Times New Roman" w:hAnsi="Arial" w:cs="Arial"/>
          <w:sz w:val="24"/>
          <w:szCs w:val="24"/>
          <w:lang w:eastAsia="sl-SI"/>
        </w:rPr>
        <w:t xml:space="preserve"> ReCO Celje (dne 27.5.2021, 326 klicev</w:t>
      </w:r>
      <w:r w:rsidR="00244927">
        <w:rPr>
          <w:rFonts w:ascii="Arial" w:eastAsia="Times New Roman" w:hAnsi="Arial" w:cs="Arial"/>
          <w:sz w:val="24"/>
          <w:szCs w:val="24"/>
          <w:lang w:eastAsia="sl-SI"/>
        </w:rPr>
        <w:t>, dogodek: neurje</w:t>
      </w:r>
      <w:r w:rsidR="00DC0C14">
        <w:rPr>
          <w:rFonts w:ascii="Arial" w:eastAsia="Times New Roman" w:hAnsi="Arial" w:cs="Arial"/>
          <w:sz w:val="24"/>
          <w:szCs w:val="24"/>
          <w:lang w:eastAsia="sl-SI"/>
        </w:rPr>
        <w:t xml:space="preserve">), </w:t>
      </w:r>
      <w:r w:rsidR="00662538">
        <w:rPr>
          <w:rFonts w:ascii="Arial" w:eastAsia="Times New Roman" w:hAnsi="Arial" w:cs="Arial"/>
          <w:sz w:val="24"/>
          <w:szCs w:val="24"/>
          <w:lang w:eastAsia="sl-SI"/>
        </w:rPr>
        <w:t>ReCO Maribor (dne 27.5.2021, 317 klicev</w:t>
      </w:r>
      <w:r w:rsidR="00244927">
        <w:rPr>
          <w:rFonts w:ascii="Arial" w:eastAsia="Times New Roman" w:hAnsi="Arial" w:cs="Arial"/>
          <w:sz w:val="24"/>
          <w:szCs w:val="24"/>
          <w:lang w:eastAsia="sl-SI"/>
        </w:rPr>
        <w:t>, dogodek: neurje</w:t>
      </w:r>
      <w:r w:rsidR="00662538">
        <w:rPr>
          <w:rFonts w:ascii="Arial" w:eastAsia="Times New Roman" w:hAnsi="Arial" w:cs="Arial"/>
          <w:sz w:val="24"/>
          <w:szCs w:val="24"/>
          <w:lang w:eastAsia="sl-SI"/>
        </w:rPr>
        <w:t>), ReCO Kranj (dne 17.8.2021, 306 klicev</w:t>
      </w:r>
      <w:r w:rsidR="00244927">
        <w:rPr>
          <w:rFonts w:ascii="Arial" w:eastAsia="Times New Roman" w:hAnsi="Arial" w:cs="Arial"/>
          <w:sz w:val="24"/>
          <w:szCs w:val="24"/>
          <w:lang w:eastAsia="sl-SI"/>
        </w:rPr>
        <w:t>, dogodek: neurje</w:t>
      </w:r>
      <w:r w:rsidR="00662538">
        <w:rPr>
          <w:rFonts w:ascii="Arial" w:eastAsia="Times New Roman" w:hAnsi="Arial" w:cs="Arial"/>
          <w:sz w:val="24"/>
          <w:szCs w:val="24"/>
          <w:lang w:eastAsia="sl-SI"/>
        </w:rPr>
        <w:t>), ReCO Koper (dne 30.4.2021, 234 klicev</w:t>
      </w:r>
      <w:r w:rsidR="00244927">
        <w:rPr>
          <w:rFonts w:ascii="Arial" w:eastAsia="Times New Roman" w:hAnsi="Arial" w:cs="Arial"/>
          <w:sz w:val="24"/>
          <w:szCs w:val="24"/>
          <w:lang w:eastAsia="sl-SI"/>
        </w:rPr>
        <w:t>, dogodek: večje število klicev krajanov</w:t>
      </w:r>
      <w:r w:rsidR="00D4680E">
        <w:rPr>
          <w:rFonts w:ascii="Arial" w:eastAsia="Times New Roman" w:hAnsi="Arial" w:cs="Arial"/>
          <w:sz w:val="24"/>
          <w:szCs w:val="24"/>
          <w:lang w:eastAsia="sl-SI"/>
        </w:rPr>
        <w:t xml:space="preserve"> zaradi različnih </w:t>
      </w:r>
      <w:r w:rsidR="00A14D0A">
        <w:rPr>
          <w:rFonts w:ascii="Arial" w:eastAsia="Times New Roman" w:hAnsi="Arial" w:cs="Arial"/>
          <w:sz w:val="24"/>
          <w:szCs w:val="24"/>
          <w:lang w:eastAsia="sl-SI"/>
        </w:rPr>
        <w:t>dogodkov/</w:t>
      </w:r>
      <w:r w:rsidR="00D4680E">
        <w:rPr>
          <w:rFonts w:ascii="Arial" w:eastAsia="Times New Roman" w:hAnsi="Arial" w:cs="Arial"/>
          <w:sz w:val="24"/>
          <w:szCs w:val="24"/>
          <w:lang w:eastAsia="sl-SI"/>
        </w:rPr>
        <w:t>vzrokov</w:t>
      </w:r>
      <w:r w:rsidR="00662538">
        <w:rPr>
          <w:rFonts w:ascii="Arial" w:eastAsia="Times New Roman" w:hAnsi="Arial" w:cs="Arial"/>
          <w:sz w:val="24"/>
          <w:szCs w:val="24"/>
          <w:lang w:eastAsia="sl-SI"/>
        </w:rPr>
        <w:t xml:space="preserve">), </w:t>
      </w:r>
      <w:r w:rsidR="00CA7612">
        <w:rPr>
          <w:rFonts w:ascii="Arial" w:eastAsia="Times New Roman" w:hAnsi="Arial" w:cs="Arial"/>
          <w:sz w:val="24"/>
          <w:szCs w:val="24"/>
          <w:lang w:eastAsia="sl-SI"/>
        </w:rPr>
        <w:t>ReCO Breži</w:t>
      </w:r>
      <w:r>
        <w:rPr>
          <w:rFonts w:ascii="Arial" w:eastAsia="Times New Roman" w:hAnsi="Arial" w:cs="Arial"/>
          <w:sz w:val="24"/>
          <w:szCs w:val="24"/>
          <w:lang w:eastAsia="sl-SI"/>
        </w:rPr>
        <w:t>ce (dne 15.8.2021, 184 klicev</w:t>
      </w:r>
      <w:r w:rsidR="00244927">
        <w:rPr>
          <w:rFonts w:ascii="Arial" w:eastAsia="Times New Roman" w:hAnsi="Arial" w:cs="Arial"/>
          <w:sz w:val="24"/>
          <w:szCs w:val="24"/>
          <w:lang w:eastAsia="sl-SI"/>
        </w:rPr>
        <w:t>, dogodek: vetrolom</w:t>
      </w:r>
      <w:r>
        <w:rPr>
          <w:rFonts w:ascii="Arial" w:eastAsia="Times New Roman" w:hAnsi="Arial" w:cs="Arial"/>
          <w:sz w:val="24"/>
          <w:szCs w:val="24"/>
          <w:lang w:eastAsia="sl-SI"/>
        </w:rPr>
        <w:t>), ReCO Ptuj (dne 1.8.2021, 174 klicev</w:t>
      </w:r>
      <w:r w:rsidR="00244927">
        <w:rPr>
          <w:rFonts w:ascii="Arial" w:eastAsia="Times New Roman" w:hAnsi="Arial" w:cs="Arial"/>
          <w:sz w:val="24"/>
          <w:szCs w:val="24"/>
          <w:lang w:eastAsia="sl-SI"/>
        </w:rPr>
        <w:t>, dogodek: vetrolom</w:t>
      </w:r>
      <w:r>
        <w:rPr>
          <w:rFonts w:ascii="Arial" w:eastAsia="Times New Roman" w:hAnsi="Arial" w:cs="Arial"/>
          <w:sz w:val="24"/>
          <w:szCs w:val="24"/>
          <w:lang w:eastAsia="sl-SI"/>
        </w:rPr>
        <w:t>), ReCO Novo mesto (dne 29.10.2021, 155 klicev</w:t>
      </w:r>
      <w:r w:rsidR="00D4680E">
        <w:rPr>
          <w:rFonts w:ascii="Arial" w:eastAsia="Times New Roman" w:hAnsi="Arial" w:cs="Arial"/>
          <w:sz w:val="24"/>
          <w:szCs w:val="24"/>
          <w:lang w:eastAsia="sl-SI"/>
        </w:rPr>
        <w:t xml:space="preserve">, večje število klicev krajanov zaradi različnih </w:t>
      </w:r>
      <w:r w:rsidR="009738BA">
        <w:rPr>
          <w:rFonts w:ascii="Arial" w:eastAsia="Times New Roman" w:hAnsi="Arial" w:cs="Arial"/>
          <w:sz w:val="24"/>
          <w:szCs w:val="24"/>
          <w:lang w:eastAsia="sl-SI"/>
        </w:rPr>
        <w:t>dogodkov/</w:t>
      </w:r>
      <w:r w:rsidR="00D4680E">
        <w:rPr>
          <w:rFonts w:ascii="Arial" w:eastAsia="Times New Roman" w:hAnsi="Arial" w:cs="Arial"/>
          <w:sz w:val="24"/>
          <w:szCs w:val="24"/>
          <w:lang w:eastAsia="sl-SI"/>
        </w:rPr>
        <w:t>vzrokov</w:t>
      </w:r>
      <w:r>
        <w:rPr>
          <w:rFonts w:ascii="Arial" w:eastAsia="Times New Roman" w:hAnsi="Arial" w:cs="Arial"/>
          <w:sz w:val="24"/>
          <w:szCs w:val="24"/>
          <w:lang w:eastAsia="sl-SI"/>
        </w:rPr>
        <w:t>), ReCO Murska Sobota (dne 15.8.2021, 154 klicev</w:t>
      </w:r>
      <w:r w:rsidR="00D4680E">
        <w:rPr>
          <w:rFonts w:ascii="Arial" w:eastAsia="Times New Roman" w:hAnsi="Arial" w:cs="Arial"/>
          <w:sz w:val="24"/>
          <w:szCs w:val="24"/>
          <w:lang w:eastAsia="sl-SI"/>
        </w:rPr>
        <w:t>, dogodek: vetrolom</w:t>
      </w:r>
      <w:r>
        <w:rPr>
          <w:rFonts w:ascii="Arial" w:eastAsia="Times New Roman" w:hAnsi="Arial" w:cs="Arial"/>
          <w:sz w:val="24"/>
          <w:szCs w:val="24"/>
          <w:lang w:eastAsia="sl-SI"/>
        </w:rPr>
        <w:t>), ReCO</w:t>
      </w:r>
      <w:r w:rsidR="00C028ED">
        <w:rPr>
          <w:rFonts w:ascii="Arial" w:eastAsia="Times New Roman" w:hAnsi="Arial" w:cs="Arial"/>
          <w:sz w:val="24"/>
          <w:szCs w:val="24"/>
          <w:lang w:eastAsia="sl-SI"/>
        </w:rPr>
        <w:t xml:space="preserve">  </w:t>
      </w:r>
      <w:r>
        <w:rPr>
          <w:rFonts w:ascii="Arial" w:eastAsia="Times New Roman" w:hAnsi="Arial" w:cs="Arial"/>
          <w:sz w:val="24"/>
          <w:szCs w:val="24"/>
          <w:lang w:eastAsia="sl-SI"/>
        </w:rPr>
        <w:t>Nova Gorica (dne 19.6.2021, 138 klicev</w:t>
      </w:r>
      <w:r w:rsidR="00A14D0A">
        <w:rPr>
          <w:rFonts w:ascii="Arial" w:eastAsia="Times New Roman" w:hAnsi="Arial" w:cs="Arial"/>
          <w:sz w:val="24"/>
          <w:szCs w:val="24"/>
          <w:lang w:eastAsia="sl-SI"/>
        </w:rPr>
        <w:t>, dogodek: večje število klicev krajanov zaradi različnih dogodkov/vzrokov</w:t>
      </w:r>
      <w:r>
        <w:rPr>
          <w:rFonts w:ascii="Arial" w:eastAsia="Times New Roman" w:hAnsi="Arial" w:cs="Arial"/>
          <w:sz w:val="24"/>
          <w:szCs w:val="24"/>
          <w:lang w:eastAsia="sl-SI"/>
        </w:rPr>
        <w:t xml:space="preserve">), </w:t>
      </w:r>
    </w:p>
    <w:p w:rsidR="009B02E6" w:rsidRDefault="0049221D" w:rsidP="009B02E6">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lastRenderedPageBreak/>
        <w:t>ReCO Postojna (dne 24.4.2021, 138 klicev</w:t>
      </w:r>
      <w:r w:rsidR="00A14D0A">
        <w:rPr>
          <w:rFonts w:ascii="Arial" w:eastAsia="Times New Roman" w:hAnsi="Arial" w:cs="Arial"/>
          <w:sz w:val="24"/>
          <w:szCs w:val="24"/>
          <w:lang w:eastAsia="sl-SI"/>
        </w:rPr>
        <w:t>, dogodek: večje število klicev krajanov zaradi različnih dogodkov/vzrokov</w:t>
      </w:r>
      <w:r>
        <w:rPr>
          <w:rFonts w:ascii="Arial" w:eastAsia="Times New Roman" w:hAnsi="Arial" w:cs="Arial"/>
          <w:sz w:val="24"/>
          <w:szCs w:val="24"/>
          <w:lang w:eastAsia="sl-SI"/>
        </w:rPr>
        <w:t>), ReCO</w:t>
      </w:r>
      <w:r w:rsidR="00F92036">
        <w:rPr>
          <w:rFonts w:ascii="Arial" w:eastAsia="Times New Roman" w:hAnsi="Arial" w:cs="Arial"/>
          <w:sz w:val="24"/>
          <w:szCs w:val="24"/>
          <w:lang w:eastAsia="sl-SI"/>
        </w:rPr>
        <w:t xml:space="preserve"> Trbovlje (dne 20.4.2021, 113 klicev</w:t>
      </w:r>
      <w:r w:rsidR="00D01853">
        <w:rPr>
          <w:rFonts w:ascii="Arial" w:eastAsia="Times New Roman" w:hAnsi="Arial" w:cs="Arial"/>
          <w:sz w:val="24"/>
          <w:szCs w:val="24"/>
          <w:lang w:eastAsia="sl-SI"/>
        </w:rPr>
        <w:t>, dogodek: večje število klicev krajanov zaradi različnih dogodkov/vzrokov</w:t>
      </w:r>
      <w:r w:rsidR="00F92036">
        <w:rPr>
          <w:rFonts w:ascii="Arial" w:eastAsia="Times New Roman" w:hAnsi="Arial" w:cs="Arial"/>
          <w:sz w:val="24"/>
          <w:szCs w:val="24"/>
          <w:lang w:eastAsia="sl-SI"/>
        </w:rPr>
        <w:t>) in ReCO Slovenj Gradec (dne 18.7.2021, 112 klicev</w:t>
      </w:r>
      <w:r w:rsidR="00D01853">
        <w:rPr>
          <w:rFonts w:ascii="Arial" w:eastAsia="Times New Roman" w:hAnsi="Arial" w:cs="Arial"/>
          <w:sz w:val="24"/>
          <w:szCs w:val="24"/>
          <w:lang w:eastAsia="sl-SI"/>
        </w:rPr>
        <w:t>, dogodek: poplave ob vodotoku/naraščanje reke</w:t>
      </w:r>
      <w:r w:rsidR="00F92036">
        <w:rPr>
          <w:rFonts w:ascii="Arial" w:eastAsia="Times New Roman" w:hAnsi="Arial" w:cs="Arial"/>
          <w:sz w:val="24"/>
          <w:szCs w:val="24"/>
          <w:lang w:eastAsia="sl-SI"/>
        </w:rPr>
        <w:t>).</w:t>
      </w:r>
    </w:p>
    <w:p w:rsidR="00DE70CF" w:rsidRDefault="00BF689E" w:rsidP="00DE70CF">
      <w:pPr>
        <w:keepNext/>
        <w:spacing w:before="100" w:beforeAutospacing="1" w:after="100" w:afterAutospacing="1" w:line="240" w:lineRule="auto"/>
        <w:jc w:val="both"/>
      </w:pPr>
      <w:r>
        <w:rPr>
          <w:rFonts w:ascii="Arial" w:eastAsia="Times New Roman" w:hAnsi="Arial" w:cs="Arial"/>
          <w:sz w:val="24"/>
          <w:szCs w:val="24"/>
          <w:lang w:eastAsia="sl-SI"/>
        </w:rPr>
        <w:t xml:space="preserve"> </w:t>
      </w:r>
      <w:r w:rsidR="00B9654C">
        <w:rPr>
          <w:noProof/>
          <w:lang w:eastAsia="sl-SI"/>
        </w:rPr>
        <w:drawing>
          <wp:inline distT="0" distB="0" distL="0" distR="0" wp14:anchorId="39B19829" wp14:editId="26CA8132">
            <wp:extent cx="5759481" cy="1369046"/>
            <wp:effectExtent l="0" t="0" r="0" b="3175"/>
            <wp:docPr id="5" name="Slika 5" descr="maksimalno število klicev 4.330, dne 29.9.2021. Največ klicev je bilo v letu 2021 med 10 in 11h." title="Letni prikaz števila klicev po urah za vse Regijske centre za obveščanje po Sloven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9291" cy="1414164"/>
                    </a:xfrm>
                    <a:prstGeom prst="rect">
                      <a:avLst/>
                    </a:prstGeom>
                  </pic:spPr>
                </pic:pic>
              </a:graphicData>
            </a:graphic>
          </wp:inline>
        </w:drawing>
      </w:r>
    </w:p>
    <w:p w:rsidR="009112F0" w:rsidRPr="009112F0" w:rsidRDefault="00DE70CF" w:rsidP="009112F0">
      <w:pPr>
        <w:pStyle w:val="Napis"/>
        <w:jc w:val="both"/>
      </w:pPr>
      <w:r>
        <w:t xml:space="preserve">Slika </w:t>
      </w:r>
      <w:r w:rsidR="00162189">
        <w:rPr>
          <w:noProof/>
        </w:rPr>
        <w:fldChar w:fldCharType="begin"/>
      </w:r>
      <w:r w:rsidR="00162189">
        <w:rPr>
          <w:noProof/>
        </w:rPr>
        <w:instrText xml:space="preserve"> SEQ Slika \* ARABIC </w:instrText>
      </w:r>
      <w:r w:rsidR="00162189">
        <w:rPr>
          <w:noProof/>
        </w:rPr>
        <w:fldChar w:fldCharType="separate"/>
      </w:r>
      <w:r w:rsidR="00F0217F">
        <w:rPr>
          <w:noProof/>
        </w:rPr>
        <w:t>2</w:t>
      </w:r>
      <w:r w:rsidR="00162189">
        <w:rPr>
          <w:noProof/>
        </w:rPr>
        <w:fldChar w:fldCharType="end"/>
      </w:r>
      <w:r>
        <w:t xml:space="preserve"> </w:t>
      </w:r>
      <w:r w:rsidR="003F4185">
        <w:t>Letni p</w:t>
      </w:r>
      <w:r>
        <w:t xml:space="preserve">rikaz števila </w:t>
      </w:r>
      <w:r w:rsidR="00B9654C">
        <w:t xml:space="preserve">dohodnih </w:t>
      </w:r>
      <w:r>
        <w:t>klicev po urah za vse Regijske centre za obveščanje po Sloveniji</w:t>
      </w:r>
    </w:p>
    <w:p w:rsidR="00CD4014" w:rsidRDefault="008C6056" w:rsidP="006C5228">
      <w:pPr>
        <w:spacing w:before="100" w:beforeAutospacing="1" w:after="100" w:afterAutospacing="1" w:line="240" w:lineRule="auto"/>
        <w:jc w:val="both"/>
        <w:rPr>
          <w:rFonts w:ascii="Arial" w:hAnsi="Arial" w:cs="Arial"/>
          <w:color w:val="000000"/>
          <w:sz w:val="24"/>
          <w:szCs w:val="24"/>
        </w:rPr>
      </w:pPr>
      <w:r>
        <w:rPr>
          <w:rFonts w:ascii="Arial" w:eastAsia="Times New Roman" w:hAnsi="Arial" w:cs="Arial"/>
          <w:sz w:val="24"/>
          <w:szCs w:val="24"/>
          <w:lang w:eastAsia="sl-SI"/>
        </w:rPr>
        <w:t xml:space="preserve">Največje število </w:t>
      </w:r>
      <w:r w:rsidR="001F02CB">
        <w:rPr>
          <w:rFonts w:ascii="Arial" w:eastAsia="Times New Roman" w:hAnsi="Arial" w:cs="Arial"/>
          <w:sz w:val="24"/>
          <w:szCs w:val="24"/>
          <w:lang w:eastAsia="sl-SI"/>
        </w:rPr>
        <w:t xml:space="preserve">dohodnih </w:t>
      </w:r>
      <w:r>
        <w:rPr>
          <w:rFonts w:ascii="Arial" w:eastAsia="Times New Roman" w:hAnsi="Arial" w:cs="Arial"/>
          <w:sz w:val="24"/>
          <w:szCs w:val="24"/>
          <w:lang w:eastAsia="sl-SI"/>
        </w:rPr>
        <w:t xml:space="preserve">klicev v eni uri je bilo </w:t>
      </w:r>
      <w:r w:rsidR="00C03E9E">
        <w:rPr>
          <w:rFonts w:ascii="Arial" w:eastAsia="Times New Roman" w:hAnsi="Arial" w:cs="Arial"/>
          <w:sz w:val="24"/>
          <w:szCs w:val="24"/>
          <w:lang w:eastAsia="sl-SI"/>
        </w:rPr>
        <w:t>v R</w:t>
      </w:r>
      <w:r w:rsidR="004521EE">
        <w:rPr>
          <w:rFonts w:ascii="Arial" w:eastAsia="Times New Roman" w:hAnsi="Arial" w:cs="Arial"/>
          <w:sz w:val="24"/>
          <w:szCs w:val="24"/>
          <w:lang w:eastAsia="sl-SI"/>
        </w:rPr>
        <w:t>egijskem centru za obv</w:t>
      </w:r>
      <w:r w:rsidR="009C7A66">
        <w:rPr>
          <w:rFonts w:ascii="Arial" w:eastAsia="Times New Roman" w:hAnsi="Arial" w:cs="Arial"/>
          <w:sz w:val="24"/>
          <w:szCs w:val="24"/>
          <w:lang w:eastAsia="sl-SI"/>
        </w:rPr>
        <w:t xml:space="preserve">eščanje Ljubljana in sicer </w:t>
      </w:r>
      <w:r w:rsidR="001F02CB">
        <w:rPr>
          <w:rFonts w:ascii="Arial" w:eastAsia="Times New Roman" w:hAnsi="Arial" w:cs="Arial"/>
          <w:sz w:val="24"/>
          <w:szCs w:val="24"/>
          <w:lang w:eastAsia="sl-SI"/>
        </w:rPr>
        <w:t xml:space="preserve">1.319 </w:t>
      </w:r>
      <w:r w:rsidR="004521EE">
        <w:rPr>
          <w:rFonts w:ascii="Arial" w:eastAsia="Times New Roman" w:hAnsi="Arial" w:cs="Arial"/>
          <w:sz w:val="24"/>
          <w:szCs w:val="24"/>
          <w:lang w:eastAsia="sl-SI"/>
        </w:rPr>
        <w:t>klicev</w:t>
      </w:r>
      <w:r w:rsidR="00225B65">
        <w:rPr>
          <w:rFonts w:ascii="Arial" w:eastAsia="Times New Roman" w:hAnsi="Arial" w:cs="Arial"/>
          <w:sz w:val="24"/>
          <w:szCs w:val="24"/>
          <w:lang w:eastAsia="sl-SI"/>
        </w:rPr>
        <w:t xml:space="preserve"> </w:t>
      </w:r>
      <w:r w:rsidR="00595728">
        <w:rPr>
          <w:rFonts w:ascii="Arial" w:eastAsia="Times New Roman" w:hAnsi="Arial" w:cs="Arial"/>
          <w:sz w:val="24"/>
          <w:szCs w:val="24"/>
          <w:lang w:eastAsia="sl-SI"/>
        </w:rPr>
        <w:t xml:space="preserve">dne </w:t>
      </w:r>
      <w:r w:rsidR="001F02CB">
        <w:rPr>
          <w:rFonts w:ascii="Arial" w:eastAsia="Times New Roman" w:hAnsi="Arial" w:cs="Arial"/>
          <w:sz w:val="24"/>
          <w:szCs w:val="24"/>
          <w:lang w:eastAsia="sl-SI"/>
        </w:rPr>
        <w:t>29.9.2021 od 21h do 22</w:t>
      </w:r>
      <w:r w:rsidR="00B10FEB">
        <w:rPr>
          <w:rFonts w:ascii="Arial" w:eastAsia="Times New Roman" w:hAnsi="Arial" w:cs="Arial"/>
          <w:sz w:val="24"/>
          <w:szCs w:val="24"/>
          <w:lang w:eastAsia="sl-SI"/>
        </w:rPr>
        <w:t>h</w:t>
      </w:r>
      <w:r w:rsidR="009C7A66">
        <w:rPr>
          <w:rFonts w:ascii="Arial" w:eastAsia="Times New Roman" w:hAnsi="Arial" w:cs="Arial"/>
          <w:sz w:val="24"/>
          <w:szCs w:val="24"/>
          <w:lang w:eastAsia="sl-SI"/>
        </w:rPr>
        <w:t xml:space="preserve"> povezanih</w:t>
      </w:r>
      <w:r w:rsidR="00CD4014">
        <w:rPr>
          <w:rFonts w:ascii="Arial" w:eastAsia="Times New Roman" w:hAnsi="Arial" w:cs="Arial"/>
          <w:sz w:val="24"/>
          <w:szCs w:val="24"/>
          <w:lang w:eastAsia="sl-SI"/>
        </w:rPr>
        <w:t xml:space="preserve"> z dogodkom večjega obsega neurje</w:t>
      </w:r>
      <w:r w:rsidR="009C7A66">
        <w:rPr>
          <w:rFonts w:ascii="Arial" w:eastAsia="Times New Roman" w:hAnsi="Arial" w:cs="Arial"/>
          <w:sz w:val="24"/>
          <w:szCs w:val="24"/>
          <w:lang w:eastAsia="sl-SI"/>
        </w:rPr>
        <w:t>.</w:t>
      </w:r>
      <w:r w:rsidR="00B9654C">
        <w:rPr>
          <w:rFonts w:ascii="Arial" w:eastAsia="Times New Roman" w:hAnsi="Arial" w:cs="Arial"/>
          <w:sz w:val="24"/>
          <w:szCs w:val="24"/>
          <w:lang w:eastAsia="sl-SI"/>
        </w:rPr>
        <w:t xml:space="preserve"> </w:t>
      </w:r>
      <w:r w:rsidR="00B9654C" w:rsidRPr="00C41E21">
        <w:rPr>
          <w:rFonts w:ascii="Arial" w:eastAsia="Times New Roman" w:hAnsi="Arial" w:cs="Arial"/>
          <w:sz w:val="24"/>
          <w:szCs w:val="24"/>
          <w:lang w:eastAsia="sl-SI"/>
        </w:rPr>
        <w:t xml:space="preserve">Tega dne so v </w:t>
      </w:r>
      <w:r w:rsidR="00C242E8">
        <w:rPr>
          <w:rFonts w:ascii="Arial" w:eastAsia="Times New Roman" w:hAnsi="Arial" w:cs="Arial"/>
          <w:sz w:val="24"/>
          <w:szCs w:val="24"/>
          <w:lang w:eastAsia="sl-SI"/>
        </w:rPr>
        <w:t xml:space="preserve">24 urah v </w:t>
      </w:r>
      <w:r w:rsidR="00B9654C" w:rsidRPr="00C41E21">
        <w:rPr>
          <w:rFonts w:ascii="Arial" w:eastAsia="Times New Roman" w:hAnsi="Arial" w:cs="Arial"/>
          <w:sz w:val="24"/>
          <w:szCs w:val="24"/>
          <w:lang w:eastAsia="sl-SI"/>
        </w:rPr>
        <w:t xml:space="preserve">ReCO </w:t>
      </w:r>
      <w:r w:rsidR="00B9654C">
        <w:rPr>
          <w:rFonts w:ascii="Arial" w:eastAsia="Times New Roman" w:hAnsi="Arial" w:cs="Arial"/>
          <w:sz w:val="24"/>
          <w:szCs w:val="24"/>
          <w:lang w:eastAsia="sl-SI"/>
        </w:rPr>
        <w:t>Ljubljana zabeležili 3.084 dohodnih klicev, v ReCO Celje 196, v ReCO Kranj 184, v ReCO Maribor 174, v ReCO</w:t>
      </w:r>
      <w:r w:rsidR="00B224CB">
        <w:rPr>
          <w:rFonts w:ascii="Arial" w:eastAsia="Times New Roman" w:hAnsi="Arial" w:cs="Arial"/>
          <w:sz w:val="24"/>
          <w:szCs w:val="24"/>
          <w:lang w:eastAsia="sl-SI"/>
        </w:rPr>
        <w:t xml:space="preserve"> Murska Sobota 152, </w:t>
      </w:r>
      <w:r w:rsidR="00B9654C">
        <w:rPr>
          <w:rFonts w:ascii="Arial" w:eastAsia="Times New Roman" w:hAnsi="Arial" w:cs="Arial"/>
          <w:sz w:val="24"/>
          <w:szCs w:val="24"/>
          <w:lang w:eastAsia="sl-SI"/>
        </w:rPr>
        <w:t>v ReCO Postojna 111</w:t>
      </w:r>
      <w:r w:rsidR="00B224CB">
        <w:rPr>
          <w:rFonts w:ascii="Arial" w:eastAsia="Times New Roman" w:hAnsi="Arial" w:cs="Arial"/>
          <w:sz w:val="24"/>
          <w:szCs w:val="24"/>
          <w:lang w:eastAsia="sl-SI"/>
        </w:rPr>
        <w:t>, v ReCO Koper 79, v ReCO Novo mesto 68, v ReCO Trbovlje 67, v ReCO Brežice 61, v ReCO Slovenj Gradec 59, v ReCO Ptuj 53 in v ReCO Nova Gorica 52</w:t>
      </w:r>
      <w:r w:rsidR="00B9654C">
        <w:rPr>
          <w:rFonts w:ascii="Arial" w:eastAsia="Times New Roman" w:hAnsi="Arial" w:cs="Arial"/>
          <w:sz w:val="24"/>
          <w:szCs w:val="24"/>
          <w:lang w:eastAsia="sl-SI"/>
        </w:rPr>
        <w:t xml:space="preserve">. </w:t>
      </w:r>
      <w:r w:rsidR="002D06F5" w:rsidRPr="00C41E21">
        <w:rPr>
          <w:rFonts w:ascii="Arial" w:eastAsia="Times New Roman" w:hAnsi="Arial" w:cs="Arial"/>
          <w:sz w:val="24"/>
          <w:szCs w:val="24"/>
          <w:lang w:eastAsia="sl-SI"/>
        </w:rPr>
        <w:t xml:space="preserve">Dne 29.9.2021 se je </w:t>
      </w:r>
      <w:r w:rsidR="002D06F5" w:rsidRPr="00C41E21">
        <w:rPr>
          <w:rFonts w:ascii="Arial" w:hAnsi="Arial" w:cs="Arial"/>
          <w:color w:val="000000"/>
          <w:sz w:val="24"/>
          <w:szCs w:val="24"/>
        </w:rPr>
        <w:t>v poznih popoldanskih urah nad državo razbesnelo neurje z močnimi nalivi, ki so naj</w:t>
      </w:r>
      <w:r w:rsidR="00B9654C">
        <w:rPr>
          <w:rFonts w:ascii="Arial" w:hAnsi="Arial" w:cs="Arial"/>
          <w:color w:val="000000"/>
          <w:sz w:val="24"/>
          <w:szCs w:val="24"/>
        </w:rPr>
        <w:t>prej zajeli severovzhod države</w:t>
      </w:r>
      <w:r w:rsidR="002D06F5" w:rsidRPr="00C41E21">
        <w:rPr>
          <w:rFonts w:ascii="Arial" w:hAnsi="Arial" w:cs="Arial"/>
          <w:color w:val="000000"/>
          <w:sz w:val="24"/>
          <w:szCs w:val="24"/>
        </w:rPr>
        <w:t xml:space="preserve">, zvečer po osmi uri pa do polnoči, pa predvsem območje Ljubljane. </w:t>
      </w:r>
      <w:r w:rsidR="007C2184">
        <w:rPr>
          <w:rFonts w:ascii="Arial" w:hAnsi="Arial" w:cs="Arial"/>
          <w:color w:val="000000"/>
          <w:sz w:val="24"/>
          <w:szCs w:val="24"/>
        </w:rPr>
        <w:t>Meteorna voda je zalila</w:t>
      </w:r>
      <w:r w:rsidR="00C41E21" w:rsidRPr="00C41E21">
        <w:rPr>
          <w:rFonts w:ascii="Arial" w:hAnsi="Arial" w:cs="Arial"/>
          <w:color w:val="000000"/>
          <w:sz w:val="24"/>
          <w:szCs w:val="24"/>
        </w:rPr>
        <w:t xml:space="preserve"> preko </w:t>
      </w:r>
      <w:r w:rsidR="00B9654C">
        <w:rPr>
          <w:rFonts w:ascii="Arial" w:hAnsi="Arial" w:cs="Arial"/>
          <w:color w:val="000000"/>
          <w:sz w:val="24"/>
          <w:szCs w:val="24"/>
        </w:rPr>
        <w:t>600</w:t>
      </w:r>
      <w:r w:rsidR="00C41E21" w:rsidRPr="00C41E21">
        <w:rPr>
          <w:rFonts w:ascii="Arial" w:hAnsi="Arial" w:cs="Arial"/>
          <w:color w:val="000000"/>
          <w:sz w:val="24"/>
          <w:szCs w:val="24"/>
        </w:rPr>
        <w:t xml:space="preserve"> </w:t>
      </w:r>
      <w:r w:rsidR="007C2184">
        <w:rPr>
          <w:rFonts w:ascii="Arial" w:hAnsi="Arial" w:cs="Arial"/>
          <w:color w:val="000000"/>
          <w:sz w:val="24"/>
          <w:szCs w:val="24"/>
        </w:rPr>
        <w:t xml:space="preserve">(lokacij) </w:t>
      </w:r>
      <w:r w:rsidR="00C41E21" w:rsidRPr="00C41E21">
        <w:rPr>
          <w:rFonts w:ascii="Arial" w:hAnsi="Arial" w:cs="Arial"/>
          <w:color w:val="000000"/>
          <w:sz w:val="24"/>
          <w:szCs w:val="24"/>
        </w:rPr>
        <w:t>različnih objektov, predvsem kletne in stanovanjske prostore, osnovne šole, gimnazijo, vrtce, industrijske objekte, gledališče, skladišča, dijaški dom in sodišče. Zalita so bila tudi parkirišča in podvozi, ponekod so bila zalita tudi osebna vozila. Podirala so se tudi drevesa. Poškodovanih v neurju ni bilo. Zabeležen</w:t>
      </w:r>
      <w:r w:rsidR="002513FC">
        <w:rPr>
          <w:rFonts w:ascii="Arial" w:hAnsi="Arial" w:cs="Arial"/>
          <w:color w:val="000000"/>
          <w:sz w:val="24"/>
          <w:szCs w:val="24"/>
        </w:rPr>
        <w:t xml:space="preserve">a sta bila tudi dva udara strel. </w:t>
      </w:r>
    </w:p>
    <w:p w:rsidR="00B224CB" w:rsidRDefault="00B224CB" w:rsidP="006C5228">
      <w:pPr>
        <w:spacing w:before="100" w:beforeAutospacing="1" w:after="100" w:afterAutospacing="1" w:line="240" w:lineRule="auto"/>
        <w:jc w:val="both"/>
        <w:rPr>
          <w:rFonts w:ascii="Arial" w:hAnsi="Arial" w:cs="Arial"/>
          <w:color w:val="000000"/>
          <w:sz w:val="24"/>
          <w:szCs w:val="24"/>
        </w:rPr>
      </w:pPr>
      <w:r>
        <w:rPr>
          <w:noProof/>
          <w:lang w:eastAsia="sl-SI"/>
        </w:rPr>
        <w:drawing>
          <wp:inline distT="0" distB="0" distL="0" distR="0" wp14:anchorId="683ED150" wp14:editId="4CF0E52B">
            <wp:extent cx="5671547" cy="1864559"/>
            <wp:effectExtent l="0" t="0" r="5715" b="2540"/>
            <wp:docPr id="7" name="Slika 7" descr="Največje število dohodnih klicev v eni uri je bilo v Regijskem centru za obveščanje Ljubljana in sicer 1.319 klicev dne 29.9.2021 od 21h do 22h povezanih z dogodkom večjega obsega neurje. Tega dne so v 24 urah v ReCO Ljubljana zabeležili 3.084 dohodnih klicev, v ReCO Celje 196, v ReCO Kranj 184, v ReCO Maribor 174, v ReCO Murska Sobota 152, v ReCO Postojna 111, v ReCO Koper 79, v ReCO Novo mesto 68, v ReCO Trbovlje 67, v ReCO Brežice 61, v ReCO Slovenj Gradec 59, v ReCO Ptuj 53 in v ReCO Nova Gorica 52." title="Dohodni klici 2021 po dnevih po Regijskih centrih za obveščan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2960" cy="1920912"/>
                    </a:xfrm>
                    <a:prstGeom prst="rect">
                      <a:avLst/>
                    </a:prstGeom>
                  </pic:spPr>
                </pic:pic>
              </a:graphicData>
            </a:graphic>
          </wp:inline>
        </w:drawing>
      </w:r>
    </w:p>
    <w:p w:rsidR="00B224CB" w:rsidRDefault="00B224CB" w:rsidP="00B224CB">
      <w:pPr>
        <w:pStyle w:val="Napis"/>
        <w:jc w:val="both"/>
      </w:pPr>
      <w:r>
        <w:t xml:space="preserve">Slika </w:t>
      </w:r>
      <w:r>
        <w:rPr>
          <w:noProof/>
        </w:rPr>
        <w:fldChar w:fldCharType="begin"/>
      </w:r>
      <w:r>
        <w:rPr>
          <w:noProof/>
        </w:rPr>
        <w:instrText xml:space="preserve"> SEQ Slika \* ARABIC </w:instrText>
      </w:r>
      <w:r>
        <w:rPr>
          <w:noProof/>
        </w:rPr>
        <w:fldChar w:fldCharType="separate"/>
      </w:r>
      <w:r>
        <w:rPr>
          <w:noProof/>
        </w:rPr>
        <w:t>3</w:t>
      </w:r>
      <w:r>
        <w:rPr>
          <w:noProof/>
        </w:rPr>
        <w:fldChar w:fldCharType="end"/>
      </w:r>
      <w:r>
        <w:t xml:space="preserve"> Dohodni klici 2021 po dnevih po Regijskih centrih za obveščanje (največje število klicev dne 29.9.2021)</w:t>
      </w:r>
    </w:p>
    <w:p w:rsidR="00B224CB" w:rsidRDefault="00B224CB" w:rsidP="006C5228">
      <w:pPr>
        <w:spacing w:before="100" w:beforeAutospacing="1" w:after="100" w:afterAutospacing="1" w:line="240" w:lineRule="auto"/>
        <w:jc w:val="both"/>
        <w:rPr>
          <w:rFonts w:ascii="Arial" w:eastAsia="Times New Roman" w:hAnsi="Arial" w:cs="Arial"/>
          <w:sz w:val="24"/>
          <w:szCs w:val="24"/>
          <w:lang w:eastAsia="sl-SI"/>
        </w:rPr>
      </w:pPr>
    </w:p>
    <w:p w:rsidR="00032CF4" w:rsidRDefault="00251033" w:rsidP="00931432">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lastRenderedPageBreak/>
        <w:t xml:space="preserve">Največje število dohodnih klicev </w:t>
      </w:r>
      <w:r w:rsidR="00970D26">
        <w:rPr>
          <w:rFonts w:ascii="Arial" w:eastAsia="Times New Roman" w:hAnsi="Arial" w:cs="Arial"/>
          <w:sz w:val="24"/>
          <w:szCs w:val="24"/>
          <w:lang w:eastAsia="sl-SI"/>
        </w:rPr>
        <w:t xml:space="preserve">v vseh Regijskih centrih za obveščanje </w:t>
      </w:r>
      <w:r>
        <w:rPr>
          <w:rFonts w:ascii="Arial" w:eastAsia="Times New Roman" w:hAnsi="Arial" w:cs="Arial"/>
          <w:sz w:val="24"/>
          <w:szCs w:val="24"/>
          <w:lang w:eastAsia="sl-SI"/>
        </w:rPr>
        <w:t xml:space="preserve">po mesecih in vrstnem redu je bilo </w:t>
      </w:r>
      <w:r w:rsidR="00970D26">
        <w:rPr>
          <w:rFonts w:ascii="Arial" w:eastAsia="Times New Roman" w:hAnsi="Arial" w:cs="Arial"/>
          <w:sz w:val="24"/>
          <w:szCs w:val="24"/>
          <w:lang w:eastAsia="sl-SI"/>
        </w:rPr>
        <w:t>septembra (48.588 klicev), junija (47.561) in oktobra (47.366 klicev).</w:t>
      </w:r>
    </w:p>
    <w:p w:rsidR="00724CE9" w:rsidRDefault="005717B5" w:rsidP="00931432">
      <w:pPr>
        <w:spacing w:before="100" w:beforeAutospacing="1" w:after="100" w:afterAutospacing="1" w:line="240" w:lineRule="auto"/>
        <w:jc w:val="both"/>
        <w:rPr>
          <w:rFonts w:ascii="Arial" w:eastAsia="Times New Roman" w:hAnsi="Arial" w:cs="Arial"/>
          <w:sz w:val="24"/>
          <w:szCs w:val="24"/>
          <w:lang w:eastAsia="sl-SI"/>
        </w:rPr>
      </w:pPr>
      <w:r w:rsidRPr="00E22AAC">
        <w:rPr>
          <w:rFonts w:ascii="Arial" w:eastAsia="Times New Roman" w:hAnsi="Arial" w:cs="Arial"/>
          <w:sz w:val="24"/>
          <w:szCs w:val="24"/>
          <w:lang w:eastAsia="sl-SI"/>
        </w:rPr>
        <w:t>V</w:t>
      </w:r>
      <w:r w:rsidR="008E23BE">
        <w:rPr>
          <w:rFonts w:ascii="Arial" w:eastAsia="Times New Roman" w:hAnsi="Arial" w:cs="Arial"/>
          <w:sz w:val="24"/>
          <w:szCs w:val="24"/>
          <w:lang w:eastAsia="sl-SI"/>
        </w:rPr>
        <w:t xml:space="preserve"> letu 2021</w:t>
      </w:r>
      <w:r w:rsidRPr="00E22AAC">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so </w:t>
      </w:r>
      <w:r w:rsidR="008E23BE">
        <w:rPr>
          <w:rFonts w:ascii="Arial" w:eastAsia="Times New Roman" w:hAnsi="Arial" w:cs="Arial"/>
          <w:sz w:val="24"/>
          <w:szCs w:val="24"/>
          <w:lang w:eastAsia="sl-SI"/>
        </w:rPr>
        <w:t>operaterji opravili tudi 278.633</w:t>
      </w:r>
      <w:r>
        <w:rPr>
          <w:rFonts w:ascii="Arial" w:eastAsia="Times New Roman" w:hAnsi="Arial" w:cs="Arial"/>
          <w:sz w:val="24"/>
          <w:szCs w:val="24"/>
          <w:lang w:eastAsia="sl-SI"/>
        </w:rPr>
        <w:t xml:space="preserve"> povratnih (odhodnih) klicev in </w:t>
      </w:r>
      <w:r w:rsidR="009D6171">
        <w:rPr>
          <w:rFonts w:ascii="Arial" w:eastAsia="Times New Roman" w:hAnsi="Arial" w:cs="Arial"/>
          <w:sz w:val="24"/>
          <w:szCs w:val="24"/>
          <w:lang w:eastAsia="sl-SI"/>
        </w:rPr>
        <w:t>159.586</w:t>
      </w:r>
      <w:r>
        <w:rPr>
          <w:rFonts w:ascii="Arial" w:eastAsia="Times New Roman" w:hAnsi="Arial" w:cs="Arial"/>
          <w:sz w:val="24"/>
          <w:szCs w:val="24"/>
          <w:lang w:eastAsia="sl-SI"/>
        </w:rPr>
        <w:t xml:space="preserve"> prevezav.</w:t>
      </w:r>
    </w:p>
    <w:p w:rsidR="00724CE9" w:rsidRDefault="00170D69" w:rsidP="00931432">
      <w:pPr>
        <w:spacing w:before="100" w:beforeAutospacing="1" w:after="100" w:afterAutospacing="1" w:line="240" w:lineRule="auto"/>
        <w:jc w:val="both"/>
        <w:rPr>
          <w:rFonts w:ascii="Arial" w:eastAsia="Times New Roman" w:hAnsi="Arial" w:cs="Arial"/>
          <w:sz w:val="24"/>
          <w:szCs w:val="24"/>
          <w:lang w:eastAsia="sl-SI"/>
        </w:rPr>
      </w:pPr>
      <w:r w:rsidRPr="00170D69">
        <w:rPr>
          <w:rFonts w:ascii="Arial" w:eastAsia="Times New Roman" w:hAnsi="Arial" w:cs="Arial"/>
          <w:sz w:val="24"/>
          <w:szCs w:val="24"/>
          <w:lang w:eastAsia="sl-SI"/>
        </w:rPr>
        <w:t>Večina klicev na 112 pomeni aktiviranje predvidenih reševalnih enot</w:t>
      </w:r>
      <w:r w:rsidR="00493FBB">
        <w:rPr>
          <w:rFonts w:ascii="Arial" w:eastAsia="Times New Roman" w:hAnsi="Arial" w:cs="Arial"/>
          <w:sz w:val="24"/>
          <w:szCs w:val="24"/>
          <w:lang w:eastAsia="sl-SI"/>
        </w:rPr>
        <w:t xml:space="preserve"> in intervencijo. Tudi leta 2021 </w:t>
      </w:r>
      <w:r w:rsidRPr="00170D69">
        <w:rPr>
          <w:rFonts w:ascii="Arial" w:eastAsia="Times New Roman" w:hAnsi="Arial" w:cs="Arial"/>
          <w:sz w:val="24"/>
          <w:szCs w:val="24"/>
          <w:lang w:eastAsia="sl-SI"/>
        </w:rPr>
        <w:t>s</w:t>
      </w:r>
      <w:r w:rsidR="00493FBB">
        <w:rPr>
          <w:rFonts w:ascii="Arial" w:eastAsia="Times New Roman" w:hAnsi="Arial" w:cs="Arial"/>
          <w:sz w:val="24"/>
          <w:szCs w:val="24"/>
          <w:lang w:eastAsia="sl-SI"/>
        </w:rPr>
        <w:t>o ljudje največkrat, več kot 149.833</w:t>
      </w:r>
      <w:r>
        <w:rPr>
          <w:rFonts w:ascii="Arial" w:eastAsia="Times New Roman" w:hAnsi="Arial" w:cs="Arial"/>
          <w:sz w:val="24"/>
          <w:szCs w:val="24"/>
          <w:lang w:eastAsia="sl-SI"/>
        </w:rPr>
        <w:t xml:space="preserve">-krat </w:t>
      </w:r>
      <w:r w:rsidRPr="00170D69">
        <w:rPr>
          <w:rFonts w:ascii="Arial" w:eastAsia="Times New Roman" w:hAnsi="Arial" w:cs="Arial"/>
          <w:sz w:val="24"/>
          <w:szCs w:val="24"/>
          <w:lang w:eastAsia="sl-SI"/>
        </w:rPr>
        <w:t xml:space="preserve">klicali, ker so potrebovali nujno medicinsko pomoč. V takšnih primerih operater v regijskem centru za obveščanje preveže klic v najbližji center za nujno medicinsko pomoč. Podatke, koliko klicem za nujno medicinsko pomoč je sledila intervencija, imajo centri za nujno medicinsko pomoč, ki tudi odločajo o nujnosti in vrsti intervencije. </w:t>
      </w:r>
      <w:r>
        <w:rPr>
          <w:rFonts w:ascii="Arial" w:eastAsia="Times New Roman" w:hAnsi="Arial" w:cs="Arial"/>
          <w:sz w:val="24"/>
          <w:szCs w:val="24"/>
          <w:lang w:eastAsia="sl-SI"/>
        </w:rPr>
        <w:t>Poleg tega so operater</w:t>
      </w:r>
      <w:r w:rsidR="00493FBB">
        <w:rPr>
          <w:rFonts w:ascii="Arial" w:eastAsia="Times New Roman" w:hAnsi="Arial" w:cs="Arial"/>
          <w:sz w:val="24"/>
          <w:szCs w:val="24"/>
          <w:lang w:eastAsia="sl-SI"/>
        </w:rPr>
        <w:t>ji opravili tudi 15.703 klicev na policijo, 22.169 na gasilce in 90.928</w:t>
      </w:r>
      <w:r>
        <w:rPr>
          <w:rFonts w:ascii="Arial" w:eastAsia="Times New Roman" w:hAnsi="Arial" w:cs="Arial"/>
          <w:sz w:val="24"/>
          <w:szCs w:val="24"/>
          <w:lang w:eastAsia="sl-SI"/>
        </w:rPr>
        <w:t xml:space="preserve"> na druge službe zaščite in reševanja.</w:t>
      </w:r>
    </w:p>
    <w:p w:rsidR="005717B5" w:rsidRPr="00AB610D" w:rsidRDefault="005717B5" w:rsidP="00931432">
      <w:pPr>
        <w:spacing w:before="100" w:beforeAutospacing="1" w:after="100" w:afterAutospacing="1" w:line="240" w:lineRule="auto"/>
        <w:jc w:val="both"/>
        <w:rPr>
          <w:rFonts w:ascii="Arial" w:eastAsia="Times New Roman" w:hAnsi="Arial" w:cs="Arial"/>
          <w:sz w:val="24"/>
          <w:szCs w:val="24"/>
          <w:lang w:eastAsia="sl-SI"/>
        </w:rPr>
      </w:pPr>
      <w:r w:rsidRPr="00AB610D">
        <w:rPr>
          <w:rFonts w:ascii="Arial" w:eastAsia="Times New Roman" w:hAnsi="Arial" w:cs="Arial"/>
          <w:sz w:val="24"/>
          <w:szCs w:val="24"/>
          <w:lang w:eastAsia="sl-SI"/>
        </w:rPr>
        <w:t>Operaterji so se na 90</w:t>
      </w:r>
      <w:r w:rsidR="00BA1C0C">
        <w:rPr>
          <w:rFonts w:ascii="Arial" w:eastAsia="Times New Roman" w:hAnsi="Arial" w:cs="Arial"/>
          <w:sz w:val="24"/>
          <w:szCs w:val="24"/>
          <w:lang w:eastAsia="sl-SI"/>
        </w:rPr>
        <w:t xml:space="preserve"> odstotkov klicev odzvali v 5,55</w:t>
      </w:r>
      <w:r w:rsidRPr="00AB610D">
        <w:rPr>
          <w:rFonts w:ascii="Arial" w:eastAsia="Times New Roman" w:hAnsi="Arial" w:cs="Arial"/>
          <w:sz w:val="24"/>
          <w:szCs w:val="24"/>
          <w:lang w:eastAsia="sl-SI"/>
        </w:rPr>
        <w:t xml:space="preserve"> sekunde. V 90 odstotkih vseh klic</w:t>
      </w:r>
      <w:r>
        <w:rPr>
          <w:rFonts w:ascii="Arial" w:eastAsia="Times New Roman" w:hAnsi="Arial" w:cs="Arial"/>
          <w:sz w:val="24"/>
          <w:szCs w:val="24"/>
          <w:lang w:eastAsia="sl-SI"/>
        </w:rPr>
        <w:t xml:space="preserve">ev </w:t>
      </w:r>
      <w:r w:rsidR="00BA1C0C">
        <w:rPr>
          <w:rFonts w:ascii="Arial" w:eastAsia="Times New Roman" w:hAnsi="Arial" w:cs="Arial"/>
          <w:sz w:val="24"/>
          <w:szCs w:val="24"/>
          <w:lang w:eastAsia="sl-SI"/>
        </w:rPr>
        <w:t>je pogovor trajal manj kot 90 sekund</w:t>
      </w:r>
      <w:r w:rsidRPr="00AB610D">
        <w:rPr>
          <w:rFonts w:ascii="Arial" w:eastAsia="Times New Roman" w:hAnsi="Arial" w:cs="Arial"/>
          <w:sz w:val="24"/>
          <w:szCs w:val="24"/>
          <w:lang w:eastAsia="sl-SI"/>
        </w:rPr>
        <w:t xml:space="preserve">, največ </w:t>
      </w:r>
      <w:r>
        <w:rPr>
          <w:rFonts w:ascii="Arial" w:eastAsia="Times New Roman" w:hAnsi="Arial" w:cs="Arial"/>
          <w:sz w:val="24"/>
          <w:szCs w:val="24"/>
          <w:lang w:eastAsia="sl-SI"/>
        </w:rPr>
        <w:t xml:space="preserve">pa je </w:t>
      </w:r>
      <w:r w:rsidR="00BA1C0C">
        <w:rPr>
          <w:rFonts w:ascii="Arial" w:eastAsia="Times New Roman" w:hAnsi="Arial" w:cs="Arial"/>
          <w:sz w:val="24"/>
          <w:szCs w:val="24"/>
          <w:lang w:eastAsia="sl-SI"/>
        </w:rPr>
        <w:t>trajal pogovor okoli 133</w:t>
      </w:r>
      <w:r w:rsidRPr="00AB610D">
        <w:rPr>
          <w:rFonts w:ascii="Arial" w:eastAsia="Times New Roman" w:hAnsi="Arial" w:cs="Arial"/>
          <w:sz w:val="24"/>
          <w:szCs w:val="24"/>
          <w:lang w:eastAsia="sl-SI"/>
        </w:rPr>
        <w:t xml:space="preserve"> sekund. </w:t>
      </w:r>
    </w:p>
    <w:p w:rsidR="006933F7" w:rsidRPr="002E2B60" w:rsidRDefault="005717B5" w:rsidP="00A22E48">
      <w:pPr>
        <w:spacing w:before="100" w:beforeAutospacing="1" w:after="100" w:afterAutospacing="1" w:line="240" w:lineRule="auto"/>
        <w:rPr>
          <w:rFonts w:ascii="Arial" w:eastAsia="Times New Roman" w:hAnsi="Arial" w:cs="Arial"/>
          <w:sz w:val="24"/>
          <w:szCs w:val="24"/>
          <w:lang w:eastAsia="sl-SI"/>
        </w:rPr>
      </w:pPr>
      <w:r w:rsidRPr="002E2B60">
        <w:rPr>
          <w:rFonts w:ascii="Arial" w:eastAsia="Times New Roman" w:hAnsi="Arial" w:cs="Arial"/>
          <w:sz w:val="24"/>
          <w:szCs w:val="24"/>
          <w:lang w:eastAsia="sl-SI"/>
        </w:rPr>
        <w:t xml:space="preserve">V 13. Regijskih centrih za obveščanje smo v </w:t>
      </w:r>
      <w:r w:rsidR="002E2B60">
        <w:rPr>
          <w:rFonts w:ascii="Arial" w:eastAsia="Times New Roman" w:hAnsi="Arial" w:cs="Arial"/>
          <w:sz w:val="24"/>
          <w:szCs w:val="24"/>
          <w:lang w:eastAsia="sl-SI"/>
        </w:rPr>
        <w:t>letu 2021</w:t>
      </w:r>
      <w:r w:rsidR="0032590F" w:rsidRPr="002E2B60">
        <w:rPr>
          <w:rFonts w:ascii="Arial" w:eastAsia="Times New Roman" w:hAnsi="Arial" w:cs="Arial"/>
          <w:sz w:val="24"/>
          <w:szCs w:val="24"/>
          <w:lang w:eastAsia="sl-SI"/>
        </w:rPr>
        <w:t xml:space="preserve"> prejeli tudi </w:t>
      </w:r>
      <w:r w:rsidR="002E2B60">
        <w:rPr>
          <w:rFonts w:ascii="Arial" w:eastAsia="Times New Roman" w:hAnsi="Arial" w:cs="Arial"/>
          <w:sz w:val="24"/>
          <w:szCs w:val="24"/>
          <w:lang w:eastAsia="sl-SI"/>
        </w:rPr>
        <w:t>36.739</w:t>
      </w:r>
      <w:r w:rsidRPr="002E2B60">
        <w:rPr>
          <w:rFonts w:ascii="Arial" w:eastAsia="Times New Roman" w:hAnsi="Arial" w:cs="Arial"/>
          <w:sz w:val="24"/>
          <w:szCs w:val="24"/>
          <w:lang w:eastAsia="sl-SI"/>
        </w:rPr>
        <w:t xml:space="preserve"> SMS sporočil na številko v sili 112</w:t>
      </w:r>
      <w:r w:rsidR="002E2B60">
        <w:rPr>
          <w:rFonts w:ascii="Arial" w:eastAsia="Times New Roman" w:hAnsi="Arial" w:cs="Arial"/>
          <w:sz w:val="24"/>
          <w:szCs w:val="24"/>
          <w:lang w:eastAsia="sl-SI"/>
        </w:rPr>
        <w:t xml:space="preserve"> (v število so zajeti </w:t>
      </w:r>
      <w:r w:rsidR="00AD63A0">
        <w:rPr>
          <w:rFonts w:ascii="Arial" w:eastAsia="Times New Roman" w:hAnsi="Arial" w:cs="Arial"/>
          <w:sz w:val="24"/>
          <w:szCs w:val="24"/>
          <w:lang w:eastAsia="sl-SI"/>
        </w:rPr>
        <w:t>tudi lažni in/ali zlonamerni SMS</w:t>
      </w:r>
      <w:r w:rsidR="002E2B60">
        <w:rPr>
          <w:rFonts w:ascii="Arial" w:eastAsia="Times New Roman" w:hAnsi="Arial" w:cs="Arial"/>
          <w:sz w:val="24"/>
          <w:szCs w:val="24"/>
          <w:lang w:eastAsia="sl-SI"/>
        </w:rPr>
        <w:t>). Opravljenih je bilo 481 SMS pogovorov.</w:t>
      </w:r>
      <w:r w:rsidRPr="002E2B60">
        <w:rPr>
          <w:rFonts w:ascii="Arial" w:eastAsia="Times New Roman" w:hAnsi="Arial" w:cs="Arial"/>
          <w:sz w:val="24"/>
          <w:szCs w:val="24"/>
          <w:lang w:eastAsia="sl-SI"/>
        </w:rPr>
        <w:t xml:space="preserve"> </w:t>
      </w:r>
    </w:p>
    <w:p w:rsidR="00CA5D9E" w:rsidRPr="001B66A6" w:rsidRDefault="00CA5D9E" w:rsidP="00CA5D9E">
      <w:pPr>
        <w:spacing w:before="100" w:beforeAutospacing="1" w:after="100" w:afterAutospacing="1" w:line="240" w:lineRule="auto"/>
        <w:jc w:val="both"/>
        <w:rPr>
          <w:rFonts w:ascii="Arial" w:eastAsia="Times New Roman" w:hAnsi="Arial" w:cs="Arial"/>
          <w:sz w:val="24"/>
          <w:szCs w:val="24"/>
          <w:lang w:eastAsia="sl-SI"/>
        </w:rPr>
      </w:pPr>
      <w:r w:rsidRPr="00CA5D9E">
        <w:rPr>
          <w:rFonts w:ascii="Arial" w:eastAsia="Times New Roman" w:hAnsi="Arial" w:cs="Arial"/>
          <w:sz w:val="24"/>
          <w:szCs w:val="24"/>
          <w:lang w:eastAsia="sl-SI"/>
        </w:rPr>
        <w:t>URSZR hrani podatke o intervencijah vseh drugih reševalnih služb. Ob podrobnejšem pregledu dogodkov</w:t>
      </w:r>
      <w:r w:rsidR="009276F0">
        <w:rPr>
          <w:rFonts w:ascii="Arial" w:eastAsia="Times New Roman" w:hAnsi="Arial" w:cs="Arial"/>
          <w:sz w:val="24"/>
          <w:szCs w:val="24"/>
          <w:lang w:eastAsia="sl-SI"/>
        </w:rPr>
        <w:t xml:space="preserve"> (vp</w:t>
      </w:r>
      <w:r w:rsidR="00296CB9">
        <w:rPr>
          <w:rFonts w:ascii="Arial" w:eastAsia="Times New Roman" w:hAnsi="Arial" w:cs="Arial"/>
          <w:sz w:val="24"/>
          <w:szCs w:val="24"/>
          <w:lang w:eastAsia="sl-SI"/>
        </w:rPr>
        <w:t>ogled na dan 14.1.2022</w:t>
      </w:r>
      <w:r w:rsidR="009276F0">
        <w:rPr>
          <w:rFonts w:ascii="Arial" w:eastAsia="Times New Roman" w:hAnsi="Arial" w:cs="Arial"/>
          <w:sz w:val="24"/>
          <w:szCs w:val="24"/>
          <w:lang w:eastAsia="sl-SI"/>
        </w:rPr>
        <w:t xml:space="preserve"> na podlagi zaključenih in potrjenih poročil vodij intervencij v sistem</w:t>
      </w:r>
      <w:r w:rsidR="00296CB9">
        <w:rPr>
          <w:rFonts w:ascii="Arial" w:eastAsia="Times New Roman" w:hAnsi="Arial" w:cs="Arial"/>
          <w:sz w:val="24"/>
          <w:szCs w:val="24"/>
          <w:lang w:eastAsia="sl-SI"/>
        </w:rPr>
        <w:t xml:space="preserve">u SPIN) je bilo zaradi nesreč 24.706 </w:t>
      </w:r>
      <w:r w:rsidRPr="00CA5D9E">
        <w:rPr>
          <w:rFonts w:ascii="Arial" w:eastAsia="Times New Roman" w:hAnsi="Arial" w:cs="Arial"/>
          <w:sz w:val="24"/>
          <w:szCs w:val="24"/>
          <w:lang w:eastAsia="sl-SI"/>
        </w:rPr>
        <w:t xml:space="preserve">intervencij, </w:t>
      </w:r>
      <w:r w:rsidR="00296CB9">
        <w:rPr>
          <w:rFonts w:ascii="Arial" w:eastAsia="Times New Roman" w:hAnsi="Arial" w:cs="Arial"/>
          <w:sz w:val="24"/>
          <w:szCs w:val="24"/>
          <w:lang w:eastAsia="sl-SI"/>
        </w:rPr>
        <w:t>na katerih je sodelovalo 149.821</w:t>
      </w:r>
      <w:r w:rsidRPr="00CA5D9E">
        <w:rPr>
          <w:rFonts w:ascii="Arial" w:eastAsia="Times New Roman" w:hAnsi="Arial" w:cs="Arial"/>
          <w:sz w:val="24"/>
          <w:szCs w:val="24"/>
          <w:lang w:eastAsia="sl-SI"/>
        </w:rPr>
        <w:t xml:space="preserve"> pripadnikov različnih sil za ZRP. Na</w:t>
      </w:r>
      <w:r w:rsidR="009276F0">
        <w:rPr>
          <w:rFonts w:ascii="Arial" w:eastAsia="Times New Roman" w:hAnsi="Arial" w:cs="Arial"/>
          <w:sz w:val="24"/>
          <w:szCs w:val="24"/>
          <w:lang w:eastAsia="sl-SI"/>
        </w:rPr>
        <w:t>jv</w:t>
      </w:r>
      <w:r w:rsidR="009B74FB">
        <w:rPr>
          <w:rFonts w:ascii="Arial" w:eastAsia="Times New Roman" w:hAnsi="Arial" w:cs="Arial"/>
          <w:sz w:val="24"/>
          <w:szCs w:val="24"/>
          <w:lang w:eastAsia="sl-SI"/>
        </w:rPr>
        <w:t>eč intervencij je bilo septembra (3.200</w:t>
      </w:r>
      <w:r w:rsidR="009276F0">
        <w:rPr>
          <w:rFonts w:ascii="Arial" w:eastAsia="Times New Roman" w:hAnsi="Arial" w:cs="Arial"/>
          <w:sz w:val="24"/>
          <w:szCs w:val="24"/>
          <w:lang w:eastAsia="sl-SI"/>
        </w:rPr>
        <w:t xml:space="preserve">), </w:t>
      </w:r>
      <w:r w:rsidR="009B74FB">
        <w:rPr>
          <w:rFonts w:ascii="Arial" w:eastAsia="Times New Roman" w:hAnsi="Arial" w:cs="Arial"/>
          <w:sz w:val="24"/>
          <w:szCs w:val="24"/>
          <w:lang w:eastAsia="sl-SI"/>
        </w:rPr>
        <w:t>sledijo avgust (2.643</w:t>
      </w:r>
      <w:r w:rsidRPr="00CA5D9E">
        <w:rPr>
          <w:rFonts w:ascii="Arial" w:eastAsia="Times New Roman" w:hAnsi="Arial" w:cs="Arial"/>
          <w:sz w:val="24"/>
          <w:szCs w:val="24"/>
          <w:lang w:eastAsia="sl-SI"/>
        </w:rPr>
        <w:t xml:space="preserve">), in </w:t>
      </w:r>
      <w:r w:rsidR="009B74FB">
        <w:rPr>
          <w:rFonts w:ascii="Arial" w:eastAsia="Times New Roman" w:hAnsi="Arial" w:cs="Arial"/>
          <w:sz w:val="24"/>
          <w:szCs w:val="24"/>
          <w:lang w:eastAsia="sl-SI"/>
        </w:rPr>
        <w:t>julij (2.433</w:t>
      </w:r>
      <w:r w:rsidRPr="00CA5D9E">
        <w:rPr>
          <w:rFonts w:ascii="Arial" w:eastAsia="Times New Roman" w:hAnsi="Arial" w:cs="Arial"/>
          <w:sz w:val="24"/>
          <w:szCs w:val="24"/>
          <w:lang w:eastAsia="sl-SI"/>
        </w:rPr>
        <w:t>). Največ posredovanj so opravila prostovoljna t</w:t>
      </w:r>
      <w:r w:rsidR="005046E5">
        <w:rPr>
          <w:rFonts w:ascii="Arial" w:eastAsia="Times New Roman" w:hAnsi="Arial" w:cs="Arial"/>
          <w:sz w:val="24"/>
          <w:szCs w:val="24"/>
          <w:lang w:eastAsia="sl-SI"/>
        </w:rPr>
        <w:t>eritorialna gasilska društva (14.807), poklicne gasilske enote (8.168</w:t>
      </w:r>
      <w:r w:rsidRPr="00CA5D9E">
        <w:rPr>
          <w:rFonts w:ascii="Arial" w:eastAsia="Times New Roman" w:hAnsi="Arial" w:cs="Arial"/>
          <w:sz w:val="24"/>
          <w:szCs w:val="24"/>
          <w:lang w:eastAsia="sl-SI"/>
        </w:rPr>
        <w:t>), Gorsk</w:t>
      </w:r>
      <w:r w:rsidR="005046E5">
        <w:rPr>
          <w:rFonts w:ascii="Arial" w:eastAsia="Times New Roman" w:hAnsi="Arial" w:cs="Arial"/>
          <w:sz w:val="24"/>
          <w:szCs w:val="24"/>
          <w:lang w:eastAsia="sl-SI"/>
        </w:rPr>
        <w:t>a reševalna zveza Slovenije (838</w:t>
      </w:r>
      <w:r w:rsidR="00DC5E53">
        <w:rPr>
          <w:rFonts w:ascii="Arial" w:eastAsia="Times New Roman" w:hAnsi="Arial" w:cs="Arial"/>
          <w:sz w:val="24"/>
          <w:szCs w:val="24"/>
          <w:lang w:eastAsia="sl-SI"/>
        </w:rPr>
        <w:t xml:space="preserve"> – opomba</w:t>
      </w:r>
      <w:r w:rsidR="005046E5">
        <w:rPr>
          <w:rFonts w:ascii="Arial" w:eastAsia="Times New Roman" w:hAnsi="Arial" w:cs="Arial"/>
          <w:sz w:val="24"/>
          <w:szCs w:val="24"/>
          <w:lang w:eastAsia="sl-SI"/>
        </w:rPr>
        <w:t>: v to število je zajetih tudi 18</w:t>
      </w:r>
      <w:r w:rsidR="00DC5E53">
        <w:rPr>
          <w:rFonts w:ascii="Arial" w:eastAsia="Times New Roman" w:hAnsi="Arial" w:cs="Arial"/>
          <w:sz w:val="24"/>
          <w:szCs w:val="24"/>
          <w:lang w:eastAsia="sl-SI"/>
        </w:rPr>
        <w:t xml:space="preserve"> posredovanj vodnikov reševalnih psov GRZS</w:t>
      </w:r>
      <w:r w:rsidRPr="00CA5D9E">
        <w:rPr>
          <w:rFonts w:ascii="Arial" w:eastAsia="Times New Roman" w:hAnsi="Arial" w:cs="Arial"/>
          <w:sz w:val="24"/>
          <w:szCs w:val="24"/>
          <w:lang w:eastAsia="sl-SI"/>
        </w:rPr>
        <w:t>) in Državn</w:t>
      </w:r>
      <w:r w:rsidR="005046E5">
        <w:rPr>
          <w:rFonts w:ascii="Arial" w:eastAsia="Times New Roman" w:hAnsi="Arial" w:cs="Arial"/>
          <w:sz w:val="24"/>
          <w:szCs w:val="24"/>
          <w:lang w:eastAsia="sl-SI"/>
        </w:rPr>
        <w:t>a enota za varstvo pred NUS (668</w:t>
      </w:r>
      <w:r w:rsidRPr="00CA5D9E">
        <w:rPr>
          <w:rFonts w:ascii="Arial" w:eastAsia="Times New Roman" w:hAnsi="Arial" w:cs="Arial"/>
          <w:sz w:val="24"/>
          <w:szCs w:val="24"/>
          <w:lang w:eastAsia="sl-SI"/>
        </w:rPr>
        <w:t>).</w:t>
      </w:r>
      <w:r w:rsidR="001B66A6" w:rsidRPr="001B66A6">
        <w:rPr>
          <w:rFonts w:ascii="Times New Roman" w:eastAsia="Times New Roman" w:hAnsi="Times New Roman" w:cs="Times New Roman"/>
          <w:sz w:val="24"/>
          <w:szCs w:val="24"/>
          <w:lang w:eastAsia="sl-SI"/>
        </w:rPr>
        <w:t xml:space="preserve"> </w:t>
      </w:r>
    </w:p>
    <w:p w:rsidR="0019545A" w:rsidRDefault="00A22E48" w:rsidP="00CA5D9E">
      <w:pPr>
        <w:jc w:val="both"/>
        <w:rPr>
          <w:rFonts w:ascii="Arial" w:eastAsia="Times New Roman" w:hAnsi="Arial" w:cs="Arial"/>
          <w:sz w:val="24"/>
          <w:szCs w:val="24"/>
          <w:lang w:eastAsia="sl-SI"/>
        </w:rPr>
      </w:pPr>
      <w:r>
        <w:rPr>
          <w:rFonts w:ascii="Arial" w:eastAsia="Times New Roman" w:hAnsi="Arial" w:cs="Arial"/>
          <w:sz w:val="24"/>
          <w:szCs w:val="24"/>
          <w:lang w:eastAsia="sl-SI"/>
        </w:rPr>
        <w:t>V letu</w:t>
      </w:r>
      <w:r w:rsidR="00C0213C">
        <w:rPr>
          <w:rFonts w:ascii="Arial" w:eastAsia="Times New Roman" w:hAnsi="Arial" w:cs="Arial"/>
          <w:sz w:val="24"/>
          <w:szCs w:val="24"/>
          <w:lang w:eastAsia="sl-SI"/>
        </w:rPr>
        <w:t xml:space="preserve"> 2021</w:t>
      </w:r>
      <w:r w:rsidR="00E8771E">
        <w:rPr>
          <w:rFonts w:ascii="Arial" w:eastAsia="Times New Roman" w:hAnsi="Arial" w:cs="Arial"/>
          <w:sz w:val="24"/>
          <w:szCs w:val="24"/>
          <w:lang w:eastAsia="sl-SI"/>
        </w:rPr>
        <w:t xml:space="preserve"> smo največkrat</w:t>
      </w:r>
      <w:r w:rsidR="00C0213C">
        <w:rPr>
          <w:rFonts w:ascii="Arial" w:eastAsia="Times New Roman" w:hAnsi="Arial" w:cs="Arial"/>
          <w:sz w:val="24"/>
          <w:szCs w:val="24"/>
          <w:lang w:eastAsia="sl-SI"/>
        </w:rPr>
        <w:t xml:space="preserve"> aktivirali g</w:t>
      </w:r>
      <w:r w:rsidR="00935D95">
        <w:rPr>
          <w:rFonts w:ascii="Arial" w:eastAsia="Times New Roman" w:hAnsi="Arial" w:cs="Arial"/>
          <w:sz w:val="24"/>
          <w:szCs w:val="24"/>
          <w:lang w:eastAsia="sl-SI"/>
        </w:rPr>
        <w:t>asilce, in sicer 23.575</w:t>
      </w:r>
      <w:r w:rsidR="00C0213C">
        <w:rPr>
          <w:rFonts w:ascii="Arial" w:eastAsia="Times New Roman" w:hAnsi="Arial" w:cs="Arial"/>
          <w:sz w:val="24"/>
          <w:szCs w:val="24"/>
          <w:lang w:eastAsia="sl-SI"/>
        </w:rPr>
        <w:t>-krat, gorske reševalce 820-krat, 175</w:t>
      </w:r>
      <w:r w:rsidR="00624BA8" w:rsidRPr="00E22AAC">
        <w:rPr>
          <w:rFonts w:ascii="Arial" w:eastAsia="Times New Roman" w:hAnsi="Arial" w:cs="Arial"/>
          <w:sz w:val="24"/>
          <w:szCs w:val="24"/>
          <w:lang w:eastAsia="sl-SI"/>
        </w:rPr>
        <w:t>-krat pa enote z reševalnimi psi oziroma vse</w:t>
      </w:r>
      <w:r w:rsidR="00C0213C">
        <w:rPr>
          <w:rFonts w:ascii="Arial" w:eastAsia="Times New Roman" w:hAnsi="Arial" w:cs="Arial"/>
          <w:sz w:val="24"/>
          <w:szCs w:val="24"/>
          <w:lang w:eastAsia="sl-SI"/>
        </w:rPr>
        <w:t xml:space="preserve"> skupaj še z ostalimi enotami 24.636</w:t>
      </w:r>
      <w:r w:rsidR="00624BA8" w:rsidRPr="00E22AAC">
        <w:rPr>
          <w:rFonts w:ascii="Arial" w:eastAsia="Times New Roman" w:hAnsi="Arial" w:cs="Arial"/>
          <w:sz w:val="24"/>
          <w:szCs w:val="24"/>
          <w:lang w:eastAsia="sl-SI"/>
        </w:rPr>
        <w:t>-krat</w:t>
      </w:r>
      <w:r w:rsidR="00E8771E">
        <w:rPr>
          <w:rFonts w:ascii="Arial" w:eastAsia="Times New Roman" w:hAnsi="Arial" w:cs="Arial"/>
          <w:sz w:val="24"/>
          <w:szCs w:val="24"/>
          <w:lang w:eastAsia="sl-SI"/>
        </w:rPr>
        <w:t>.</w:t>
      </w:r>
    </w:p>
    <w:p w:rsidR="00363C19" w:rsidRDefault="00363C19" w:rsidP="00624BA8">
      <w:r>
        <w:t>Leto 2020</w:t>
      </w:r>
    </w:p>
    <w:tbl>
      <w:tblPr>
        <w:tblStyle w:val="Tabelamrea"/>
        <w:tblW w:w="0" w:type="auto"/>
        <w:tblLook w:val="04A0" w:firstRow="1" w:lastRow="0" w:firstColumn="1" w:lastColumn="0" w:noHBand="0" w:noVBand="1"/>
        <w:tblCaption w:val="Število aktiviranj in sodelujočih enot v letu 2020"/>
        <w:tblDescription w:val="Gorski reševalci 593 krat, Gasilci skupaj 28.127 krat, kinologi 83 krat, potapljači 30 krat."/>
      </w:tblPr>
      <w:tblGrid>
        <w:gridCol w:w="3020"/>
        <w:gridCol w:w="3021"/>
        <w:gridCol w:w="3021"/>
      </w:tblGrid>
      <w:tr w:rsidR="00363C19" w:rsidRPr="00162189" w:rsidTr="00E8771E">
        <w:trPr>
          <w:tblHeader/>
        </w:trPr>
        <w:tc>
          <w:tcPr>
            <w:tcW w:w="3020" w:type="dxa"/>
          </w:tcPr>
          <w:p w:rsidR="00363C19" w:rsidRPr="00162189" w:rsidRDefault="00363C19" w:rsidP="00624BA8">
            <w:pPr>
              <w:rPr>
                <w:rFonts w:ascii="Arial" w:hAnsi="Arial" w:cs="Arial"/>
                <w:sz w:val="24"/>
                <w:szCs w:val="24"/>
              </w:rPr>
            </w:pPr>
            <w:r w:rsidRPr="00162189">
              <w:rPr>
                <w:rFonts w:ascii="Arial" w:hAnsi="Arial" w:cs="Arial"/>
                <w:sz w:val="24"/>
                <w:szCs w:val="24"/>
              </w:rPr>
              <w:t>Vrsta enote</w:t>
            </w:r>
          </w:p>
        </w:tc>
        <w:tc>
          <w:tcPr>
            <w:tcW w:w="3021" w:type="dxa"/>
          </w:tcPr>
          <w:p w:rsidR="00363C19" w:rsidRPr="00162189" w:rsidRDefault="00363C19" w:rsidP="00624BA8">
            <w:pPr>
              <w:rPr>
                <w:rFonts w:ascii="Arial" w:hAnsi="Arial" w:cs="Arial"/>
                <w:sz w:val="24"/>
                <w:szCs w:val="24"/>
              </w:rPr>
            </w:pPr>
            <w:r w:rsidRPr="00162189">
              <w:rPr>
                <w:rFonts w:ascii="Arial" w:hAnsi="Arial" w:cs="Arial"/>
                <w:sz w:val="24"/>
                <w:szCs w:val="24"/>
              </w:rPr>
              <w:t>Število aktiviranj</w:t>
            </w:r>
          </w:p>
        </w:tc>
        <w:tc>
          <w:tcPr>
            <w:tcW w:w="3021" w:type="dxa"/>
          </w:tcPr>
          <w:p w:rsidR="00363C19" w:rsidRPr="00162189" w:rsidRDefault="00363C19" w:rsidP="00624BA8">
            <w:pPr>
              <w:rPr>
                <w:rFonts w:ascii="Arial" w:hAnsi="Arial" w:cs="Arial"/>
                <w:sz w:val="24"/>
                <w:szCs w:val="24"/>
              </w:rPr>
            </w:pPr>
            <w:r w:rsidRPr="00162189">
              <w:rPr>
                <w:rFonts w:ascii="Arial" w:hAnsi="Arial" w:cs="Arial"/>
                <w:sz w:val="24"/>
                <w:szCs w:val="24"/>
              </w:rPr>
              <w:t>Število sodelujočih</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Gorski reševalci</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820</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5.734</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Industrijske gasilske enote</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78</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288</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Jamarji</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15</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70</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Kinologi</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175</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946</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Prostovoljna teritorialna gasilska društva</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15.050</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108.635</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Poklicne gasilske enote</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8.447</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33.967</w:t>
            </w:r>
          </w:p>
        </w:tc>
      </w:tr>
      <w:tr w:rsidR="00363C19" w:rsidRPr="00162189" w:rsidTr="00363C19">
        <w:tc>
          <w:tcPr>
            <w:tcW w:w="3020" w:type="dxa"/>
          </w:tcPr>
          <w:p w:rsidR="00363C19" w:rsidRPr="00162189" w:rsidRDefault="00363C19" w:rsidP="00624BA8">
            <w:pPr>
              <w:rPr>
                <w:rFonts w:ascii="Arial" w:hAnsi="Arial" w:cs="Arial"/>
                <w:sz w:val="24"/>
                <w:szCs w:val="24"/>
              </w:rPr>
            </w:pPr>
            <w:r w:rsidRPr="00162189">
              <w:rPr>
                <w:rFonts w:ascii="Arial" w:eastAsia="Tahoma" w:hAnsi="Arial" w:cs="Arial"/>
                <w:color w:val="333333"/>
                <w:sz w:val="24"/>
                <w:szCs w:val="24"/>
              </w:rPr>
              <w:t>Potapljači</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33</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149</w:t>
            </w:r>
          </w:p>
        </w:tc>
      </w:tr>
      <w:tr w:rsidR="00363C19" w:rsidRPr="00162189" w:rsidTr="00363C19">
        <w:tc>
          <w:tcPr>
            <w:tcW w:w="3020" w:type="dxa"/>
          </w:tcPr>
          <w:p w:rsidR="00363C19" w:rsidRPr="00162189" w:rsidRDefault="00363C19" w:rsidP="00624BA8">
            <w:pPr>
              <w:rPr>
                <w:rFonts w:ascii="Arial" w:eastAsia="Tahoma" w:hAnsi="Arial" w:cs="Arial"/>
                <w:color w:val="333333"/>
                <w:sz w:val="24"/>
                <w:szCs w:val="24"/>
              </w:rPr>
            </w:pPr>
            <w:r w:rsidRPr="00162189">
              <w:rPr>
                <w:rFonts w:ascii="Arial" w:eastAsia="Tahoma" w:hAnsi="Arial" w:cs="Arial"/>
                <w:color w:val="333333"/>
                <w:sz w:val="24"/>
                <w:szCs w:val="24"/>
              </w:rPr>
              <w:lastRenderedPageBreak/>
              <w:t>Skupaj</w:t>
            </w:r>
          </w:p>
        </w:tc>
        <w:tc>
          <w:tcPr>
            <w:tcW w:w="3021" w:type="dxa"/>
          </w:tcPr>
          <w:p w:rsidR="00363C19" w:rsidRPr="00162189" w:rsidRDefault="008D6101" w:rsidP="00624BA8">
            <w:pPr>
              <w:rPr>
                <w:rFonts w:ascii="Arial" w:hAnsi="Arial" w:cs="Arial"/>
                <w:sz w:val="24"/>
                <w:szCs w:val="24"/>
              </w:rPr>
            </w:pPr>
            <w:r>
              <w:rPr>
                <w:rFonts w:ascii="Arial" w:hAnsi="Arial" w:cs="Arial"/>
                <w:sz w:val="24"/>
                <w:szCs w:val="24"/>
              </w:rPr>
              <w:t>24.636</w:t>
            </w:r>
          </w:p>
        </w:tc>
        <w:tc>
          <w:tcPr>
            <w:tcW w:w="3021" w:type="dxa"/>
          </w:tcPr>
          <w:p w:rsidR="00363C19" w:rsidRPr="00162189" w:rsidRDefault="008D6101" w:rsidP="00455622">
            <w:pPr>
              <w:keepNext/>
              <w:rPr>
                <w:rFonts w:ascii="Arial" w:hAnsi="Arial" w:cs="Arial"/>
                <w:sz w:val="24"/>
                <w:szCs w:val="24"/>
              </w:rPr>
            </w:pPr>
            <w:r>
              <w:rPr>
                <w:rFonts w:ascii="Arial" w:hAnsi="Arial" w:cs="Arial"/>
                <w:sz w:val="24"/>
                <w:szCs w:val="24"/>
              </w:rPr>
              <w:t>149.820</w:t>
            </w:r>
          </w:p>
        </w:tc>
      </w:tr>
    </w:tbl>
    <w:p w:rsidR="00363C19" w:rsidRDefault="00426311" w:rsidP="00455622">
      <w:pPr>
        <w:pStyle w:val="Napis"/>
      </w:pPr>
      <w:r>
        <w:t>Preglednica</w:t>
      </w:r>
      <w:r w:rsidR="00455622">
        <w:t xml:space="preserve"> </w:t>
      </w:r>
      <w:r w:rsidR="004B608E">
        <w:rPr>
          <w:noProof/>
        </w:rPr>
        <w:fldChar w:fldCharType="begin"/>
      </w:r>
      <w:r w:rsidR="004B608E">
        <w:rPr>
          <w:noProof/>
        </w:rPr>
        <w:instrText xml:space="preserve"> SEQ Slika \* ARABIC </w:instrText>
      </w:r>
      <w:r w:rsidR="004B608E">
        <w:rPr>
          <w:noProof/>
        </w:rPr>
        <w:fldChar w:fldCharType="separate"/>
      </w:r>
      <w:r w:rsidR="00F0217F">
        <w:rPr>
          <w:noProof/>
        </w:rPr>
        <w:t>4</w:t>
      </w:r>
      <w:r w:rsidR="004B608E">
        <w:rPr>
          <w:noProof/>
        </w:rPr>
        <w:fldChar w:fldCharType="end"/>
      </w:r>
      <w:r w:rsidR="00455622">
        <w:t xml:space="preserve"> Število aktiviranj in</w:t>
      </w:r>
      <w:r w:rsidR="00D7734D">
        <w:t xml:space="preserve"> število sodelujočih v letu 2021 je obdelano na dan 14.1.2022</w:t>
      </w:r>
      <w:r w:rsidR="00455622">
        <w:t xml:space="preserve"> na podlagi </w:t>
      </w:r>
      <w:r w:rsidR="00017F35">
        <w:t>vnesenih</w:t>
      </w:r>
      <w:r w:rsidR="00455622">
        <w:t xml:space="preserve"> in potrjenih podatkov vodij intervencij v poročila v Sistemu za poročanje in intervencije (SPIN).</w:t>
      </w:r>
    </w:p>
    <w:p w:rsidR="00370D09" w:rsidRPr="00370D09" w:rsidRDefault="000E0000" w:rsidP="0013652F">
      <w:pPr>
        <w:pStyle w:val="Naslov1"/>
        <w:rPr>
          <w:rFonts w:eastAsia="Times New Roman"/>
          <w:lang w:eastAsia="sl-SI"/>
        </w:rPr>
      </w:pPr>
      <w:r>
        <w:rPr>
          <w:rFonts w:eastAsia="Times New Roman"/>
          <w:lang w:eastAsia="sl-SI"/>
        </w:rPr>
        <w:t>Dogodki leta 2021</w:t>
      </w:r>
    </w:p>
    <w:p w:rsidR="00370D09" w:rsidRDefault="000E0000" w:rsidP="00370D09">
      <w:pPr>
        <w:spacing w:before="100" w:beforeAutospacing="1" w:after="100" w:afterAutospacing="1"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Leta 2021</w:t>
      </w:r>
      <w:r w:rsidR="00370D09" w:rsidRPr="00370D09">
        <w:rPr>
          <w:rFonts w:ascii="Arial" w:eastAsia="Times New Roman" w:hAnsi="Arial" w:cs="Arial"/>
          <w:sz w:val="24"/>
          <w:szCs w:val="24"/>
          <w:lang w:eastAsia="sl-SI"/>
        </w:rPr>
        <w:t xml:space="preserve"> je bilo v RS</w:t>
      </w:r>
      <w:r>
        <w:rPr>
          <w:rFonts w:ascii="Arial" w:eastAsia="Times New Roman" w:hAnsi="Arial" w:cs="Arial"/>
          <w:sz w:val="24"/>
          <w:szCs w:val="24"/>
          <w:lang w:eastAsia="sl-SI"/>
        </w:rPr>
        <w:t xml:space="preserve"> 18.271</w:t>
      </w:r>
      <w:r w:rsidR="00370D09" w:rsidRPr="00370D09">
        <w:rPr>
          <w:rFonts w:ascii="Arial" w:eastAsia="Times New Roman" w:hAnsi="Arial" w:cs="Arial"/>
          <w:sz w:val="24"/>
          <w:szCs w:val="24"/>
          <w:lang w:eastAsia="sl-SI"/>
        </w:rPr>
        <w:t xml:space="preserve"> različnih dogodkov (naravne in druge nesreče, nesreče v prometu, požari in eksplozije, onesnaženja, nesreče z nevarnimi snovmi, jedrski in drugi dogodki, najdbe NUS, motnje oskrbe in poškodbe objektov, tehnična in druga pomoč, nepotrebne oz. lažne intervencije), v katerih so poleg drugih služb posredovale tudi sile ZRP.</w:t>
      </w:r>
      <w:r w:rsidR="001B66A6">
        <w:rPr>
          <w:rFonts w:ascii="Arial" w:eastAsia="Times New Roman" w:hAnsi="Arial" w:cs="Arial"/>
          <w:sz w:val="24"/>
          <w:szCs w:val="24"/>
          <w:lang w:eastAsia="sl-SI"/>
        </w:rPr>
        <w:t xml:space="preserve"> </w:t>
      </w:r>
      <w:r w:rsidR="001B66A6" w:rsidRPr="001B66A6">
        <w:rPr>
          <w:rFonts w:ascii="Arial" w:eastAsia="Times New Roman" w:hAnsi="Arial" w:cs="Arial"/>
          <w:sz w:val="24"/>
          <w:szCs w:val="24"/>
          <w:lang w:eastAsia="sl-SI"/>
        </w:rPr>
        <w:t>S pravočasnim in učinkovitim ukrepanjem ter nudenjem pomoči prizadetim so sile za ZRP nedvomno prispevale k zmanjšanju škode in drugih posledic, ki so jih povzročile omenjene nesreče.</w:t>
      </w:r>
    </w:p>
    <w:tbl>
      <w:tblPr>
        <w:tblStyle w:val="Tabelamrea"/>
        <w:tblW w:w="0" w:type="auto"/>
        <w:tblLook w:val="04A0" w:firstRow="1" w:lastRow="0" w:firstColumn="1" w:lastColumn="0" w:noHBand="0" w:noVBand="1"/>
        <w:tblCaption w:val="Dogodki leta 2020"/>
      </w:tblPr>
      <w:tblGrid>
        <w:gridCol w:w="4531"/>
        <w:gridCol w:w="4531"/>
      </w:tblGrid>
      <w:tr w:rsidR="00370D09" w:rsidRPr="00162189" w:rsidTr="008312E0">
        <w:trPr>
          <w:tblHeader/>
        </w:trPr>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Dogodek</w:t>
            </w:r>
          </w:p>
        </w:tc>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Število dogodkov</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Naravne nesreče</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852</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Druge nesreče</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2.027</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Nesreče v prometu</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2.264</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Požari in eksplozije</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4.369</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Onesnaženja, nesreče z nevarnimi snovmi</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849</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Najdbe NUS</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697</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Tehnična in druga pomoč</w:t>
            </w:r>
          </w:p>
        </w:tc>
        <w:tc>
          <w:tcPr>
            <w:tcW w:w="4531" w:type="dxa"/>
          </w:tcPr>
          <w:p w:rsidR="00370D09" w:rsidRPr="00162189" w:rsidRDefault="0069363B" w:rsidP="00370D09">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6.216</w:t>
            </w:r>
          </w:p>
        </w:tc>
      </w:tr>
      <w:tr w:rsidR="00370D09" w:rsidRPr="00162189" w:rsidTr="00370D09">
        <w:tc>
          <w:tcPr>
            <w:tcW w:w="4531" w:type="dxa"/>
          </w:tcPr>
          <w:p w:rsidR="00370D09" w:rsidRPr="00162189" w:rsidRDefault="00370D09" w:rsidP="00370D09">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Nepotrebne oz. lažne intervencije</w:t>
            </w:r>
          </w:p>
        </w:tc>
        <w:tc>
          <w:tcPr>
            <w:tcW w:w="4531" w:type="dxa"/>
          </w:tcPr>
          <w:p w:rsidR="00370D09" w:rsidRPr="00162189" w:rsidRDefault="0069363B" w:rsidP="00370D09">
            <w:pPr>
              <w:keepNext/>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977</w:t>
            </w:r>
          </w:p>
        </w:tc>
      </w:tr>
    </w:tbl>
    <w:p w:rsidR="00370D09" w:rsidRPr="00162189" w:rsidRDefault="00370D09" w:rsidP="00370D09">
      <w:pPr>
        <w:pStyle w:val="Napis"/>
        <w:rPr>
          <w:rFonts w:ascii="Arial" w:hAnsi="Arial" w:cs="Arial"/>
        </w:rPr>
      </w:pPr>
      <w:r w:rsidRPr="00162189">
        <w:rPr>
          <w:rFonts w:ascii="Arial" w:hAnsi="Arial" w:cs="Arial"/>
        </w:rPr>
        <w:t xml:space="preserve">Slika </w:t>
      </w:r>
      <w:r w:rsidRPr="00162189">
        <w:rPr>
          <w:rFonts w:ascii="Arial" w:hAnsi="Arial" w:cs="Arial"/>
        </w:rPr>
        <w:fldChar w:fldCharType="begin"/>
      </w:r>
      <w:r w:rsidRPr="00162189">
        <w:rPr>
          <w:rFonts w:ascii="Arial" w:hAnsi="Arial" w:cs="Arial"/>
        </w:rPr>
        <w:instrText xml:space="preserve"> SEQ Slika \* ARABIC </w:instrText>
      </w:r>
      <w:r w:rsidRPr="00162189">
        <w:rPr>
          <w:rFonts w:ascii="Arial" w:hAnsi="Arial" w:cs="Arial"/>
        </w:rPr>
        <w:fldChar w:fldCharType="separate"/>
      </w:r>
      <w:r w:rsidR="00F0217F">
        <w:rPr>
          <w:rFonts w:ascii="Arial" w:hAnsi="Arial" w:cs="Arial"/>
          <w:noProof/>
        </w:rPr>
        <w:t>5</w:t>
      </w:r>
      <w:r w:rsidRPr="00162189">
        <w:rPr>
          <w:rFonts w:ascii="Arial" w:hAnsi="Arial" w:cs="Arial"/>
        </w:rPr>
        <w:fldChar w:fldCharType="end"/>
      </w:r>
      <w:r w:rsidR="0069363B">
        <w:rPr>
          <w:rFonts w:ascii="Arial" w:hAnsi="Arial" w:cs="Arial"/>
        </w:rPr>
        <w:t xml:space="preserve"> Dogodki leta 2021</w:t>
      </w:r>
      <w:r w:rsidRPr="00162189">
        <w:rPr>
          <w:rFonts w:ascii="Arial" w:hAnsi="Arial" w:cs="Arial"/>
        </w:rPr>
        <w:t xml:space="preserve"> so obdelani na podlagi vpisanih in potrenjih podatkov vodij intervencij</w:t>
      </w:r>
      <w:r w:rsidR="00FF1DB0" w:rsidRPr="00162189">
        <w:rPr>
          <w:rFonts w:ascii="Arial" w:hAnsi="Arial" w:cs="Arial"/>
        </w:rPr>
        <w:t xml:space="preserve"> in sodelujočih enot </w:t>
      </w:r>
      <w:r w:rsidRPr="00162189">
        <w:rPr>
          <w:rFonts w:ascii="Arial" w:hAnsi="Arial" w:cs="Arial"/>
        </w:rPr>
        <w:t xml:space="preserve"> v sistemu SPIN. </w:t>
      </w:r>
      <w:r w:rsidR="0069363B">
        <w:rPr>
          <w:rFonts w:ascii="Arial" w:hAnsi="Arial" w:cs="Arial"/>
        </w:rPr>
        <w:t xml:space="preserve"> Zajem podatkov na dan 14.1.2022</w:t>
      </w:r>
      <w:r w:rsidRPr="00162189">
        <w:rPr>
          <w:rFonts w:ascii="Arial" w:hAnsi="Arial" w:cs="Arial"/>
        </w:rPr>
        <w:t xml:space="preserve">, spletna stran: </w:t>
      </w:r>
      <w:hyperlink r:id="rId10" w:history="1">
        <w:r w:rsidR="006C06A5" w:rsidRPr="00162189">
          <w:rPr>
            <w:rStyle w:val="Hiperpovezava"/>
            <w:rFonts w:ascii="Arial" w:hAnsi="Arial" w:cs="Arial"/>
          </w:rPr>
          <w:t>SPIN</w:t>
        </w:r>
      </w:hyperlink>
    </w:p>
    <w:p w:rsidR="008C6B77" w:rsidRPr="00162189" w:rsidRDefault="008C6B77" w:rsidP="008C6B77">
      <w:pPr>
        <w:rPr>
          <w:rFonts w:ascii="Arial" w:hAnsi="Arial" w:cs="Arial"/>
        </w:rPr>
      </w:pPr>
    </w:p>
    <w:tbl>
      <w:tblPr>
        <w:tblStyle w:val="Tabelamrea"/>
        <w:tblW w:w="0" w:type="auto"/>
        <w:tblLook w:val="04A0" w:firstRow="1" w:lastRow="0" w:firstColumn="1" w:lastColumn="0" w:noHBand="0" w:noVBand="1"/>
        <w:tblCaption w:val="Naravne nesreče leta 2020"/>
        <w:tblDescription w:val="Leta 2020 je bilo v RS 16.895 različnih dogodkov (naravne in druge nesreče, nesreče v prometu, požari in eksplozije, onesnaženja, nesreče z nevarnimi snovmi, jedrski in drugi dogodki, najdbe NUS, motnje oskrbe in poškodbe objektov, tehnična in druga pomoč, nepotrebne oz. lažne intervencije), v katerih so poleg drugih služb posredovale tudi sile ZRP. S pravočasnim in učinkovitim ukrepanjem ter nudenjem pomoči prizadetim so sile za ZRP nedvomno prispevale k zmanjšanju škode in drugih posledic, ki so jih povzročile omenjene nesreče."/>
      </w:tblPr>
      <w:tblGrid>
        <w:gridCol w:w="4531"/>
        <w:gridCol w:w="4531"/>
      </w:tblGrid>
      <w:tr w:rsidR="008C6B77" w:rsidRPr="00162189" w:rsidTr="00AB1068">
        <w:trPr>
          <w:tblHeader/>
        </w:trPr>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Dogodek Naravne nesreče</w:t>
            </w:r>
          </w:p>
        </w:tc>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Število dogodkov</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hAnsi="Arial" w:cs="Arial"/>
                <w:color w:val="333333"/>
                <w:sz w:val="24"/>
                <w:szCs w:val="24"/>
              </w:rPr>
              <w:t>Visoko plimovanje morja</w:t>
            </w:r>
          </w:p>
        </w:tc>
        <w:tc>
          <w:tcPr>
            <w:tcW w:w="4531" w:type="dxa"/>
          </w:tcPr>
          <w:p w:rsidR="008C6B77" w:rsidRPr="00162189" w:rsidRDefault="00E00B1A" w:rsidP="00AB1068">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12</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Poplave</w:t>
            </w:r>
          </w:p>
        </w:tc>
        <w:tc>
          <w:tcPr>
            <w:tcW w:w="4531" w:type="dxa"/>
          </w:tcPr>
          <w:p w:rsidR="008C6B77" w:rsidRPr="00162189" w:rsidRDefault="00E00B1A" w:rsidP="00AB1068">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126</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Plazovi</w:t>
            </w:r>
          </w:p>
        </w:tc>
        <w:tc>
          <w:tcPr>
            <w:tcW w:w="4531" w:type="dxa"/>
          </w:tcPr>
          <w:p w:rsidR="008C6B77" w:rsidRPr="00162189" w:rsidRDefault="00E00B1A" w:rsidP="00AB1068">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59</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Visok sneg</w:t>
            </w:r>
          </w:p>
        </w:tc>
        <w:tc>
          <w:tcPr>
            <w:tcW w:w="4531" w:type="dxa"/>
          </w:tcPr>
          <w:p w:rsidR="008C6B77" w:rsidRPr="00162189" w:rsidRDefault="00E00B1A" w:rsidP="00AB1068">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84</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Močan veter</w:t>
            </w:r>
          </w:p>
        </w:tc>
        <w:tc>
          <w:tcPr>
            <w:tcW w:w="4531" w:type="dxa"/>
          </w:tcPr>
          <w:p w:rsidR="008C6B77" w:rsidRPr="00162189" w:rsidRDefault="00E00B1A" w:rsidP="00AB1068">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163</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Udari strel</w:t>
            </w:r>
          </w:p>
        </w:tc>
        <w:tc>
          <w:tcPr>
            <w:tcW w:w="4531" w:type="dxa"/>
          </w:tcPr>
          <w:p w:rsidR="008C6B77" w:rsidRPr="00162189" w:rsidRDefault="00E00B1A" w:rsidP="00AB1068">
            <w:pPr>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6</w:t>
            </w:r>
          </w:p>
        </w:tc>
      </w:tr>
      <w:tr w:rsidR="008C6B77" w:rsidRPr="00162189" w:rsidTr="00AB1068">
        <w:tc>
          <w:tcPr>
            <w:tcW w:w="4531" w:type="dxa"/>
          </w:tcPr>
          <w:p w:rsidR="008C6B77" w:rsidRPr="00162189" w:rsidRDefault="008C6B77" w:rsidP="00AB1068">
            <w:pPr>
              <w:spacing w:before="100" w:beforeAutospacing="1" w:after="100" w:afterAutospacing="1"/>
              <w:jc w:val="both"/>
              <w:rPr>
                <w:rFonts w:ascii="Arial" w:eastAsia="Times New Roman" w:hAnsi="Arial" w:cs="Arial"/>
                <w:sz w:val="24"/>
                <w:szCs w:val="24"/>
                <w:lang w:eastAsia="sl-SI"/>
              </w:rPr>
            </w:pPr>
            <w:r w:rsidRPr="00162189">
              <w:rPr>
                <w:rFonts w:ascii="Arial" w:eastAsia="Times New Roman" w:hAnsi="Arial" w:cs="Arial"/>
                <w:sz w:val="24"/>
                <w:szCs w:val="24"/>
                <w:lang w:eastAsia="sl-SI"/>
              </w:rPr>
              <w:t>Prekinitev prometa zaradi naravnih pojavov</w:t>
            </w:r>
          </w:p>
        </w:tc>
        <w:tc>
          <w:tcPr>
            <w:tcW w:w="4531" w:type="dxa"/>
          </w:tcPr>
          <w:p w:rsidR="008C6B77" w:rsidRPr="00162189" w:rsidRDefault="00E00B1A" w:rsidP="00063D4D">
            <w:pPr>
              <w:keepNext/>
              <w:spacing w:before="100" w:beforeAutospacing="1" w:after="100" w:afterAutospacing="1"/>
              <w:jc w:val="both"/>
              <w:rPr>
                <w:rFonts w:ascii="Arial" w:eastAsia="Times New Roman" w:hAnsi="Arial" w:cs="Arial"/>
                <w:sz w:val="24"/>
                <w:szCs w:val="24"/>
                <w:lang w:eastAsia="sl-SI"/>
              </w:rPr>
            </w:pPr>
            <w:r>
              <w:rPr>
                <w:rFonts w:ascii="Arial" w:eastAsia="Times New Roman" w:hAnsi="Arial" w:cs="Arial"/>
                <w:sz w:val="24"/>
                <w:szCs w:val="24"/>
                <w:lang w:eastAsia="sl-SI"/>
              </w:rPr>
              <w:t>50</w:t>
            </w:r>
          </w:p>
        </w:tc>
      </w:tr>
    </w:tbl>
    <w:p w:rsidR="004926AD" w:rsidRDefault="00063D4D" w:rsidP="00404CB3">
      <w:pPr>
        <w:pStyle w:val="Napis"/>
        <w:rPr>
          <w:rStyle w:val="Hiperpovezava"/>
        </w:rPr>
      </w:pPr>
      <w:r>
        <w:t xml:space="preserve">Slika </w:t>
      </w:r>
      <w:r w:rsidR="004B608E">
        <w:rPr>
          <w:noProof/>
        </w:rPr>
        <w:fldChar w:fldCharType="begin"/>
      </w:r>
      <w:r w:rsidR="004B608E">
        <w:rPr>
          <w:noProof/>
        </w:rPr>
        <w:instrText xml:space="preserve"> SEQ Slika \* ARABIC </w:instrText>
      </w:r>
      <w:r w:rsidR="004B608E">
        <w:rPr>
          <w:noProof/>
        </w:rPr>
        <w:fldChar w:fldCharType="separate"/>
      </w:r>
      <w:r w:rsidR="00F0217F">
        <w:rPr>
          <w:noProof/>
        </w:rPr>
        <w:t>6</w:t>
      </w:r>
      <w:r w:rsidR="004B608E">
        <w:rPr>
          <w:noProof/>
        </w:rPr>
        <w:fldChar w:fldCharType="end"/>
      </w:r>
      <w:r>
        <w:t xml:space="preserve"> Podatki za dog</w:t>
      </w:r>
      <w:r w:rsidR="00E00B1A">
        <w:t>odke Naravne nesreče v letu 2021</w:t>
      </w:r>
      <w:r>
        <w:t xml:space="preserve"> so obdelani na podlagi vpisanih in potrenjih podatkov vodij intervencij in sodelujočih enot  v sistemu SPIN. </w:t>
      </w:r>
      <w:r w:rsidR="00E00B1A">
        <w:t xml:space="preserve"> Zajem podatkov na dan 14.1.2022</w:t>
      </w:r>
      <w:r>
        <w:t>, spletna stran:</w:t>
      </w:r>
      <w:r w:rsidRPr="00370D09">
        <w:t xml:space="preserve"> </w:t>
      </w:r>
      <w:hyperlink r:id="rId11" w:history="1">
        <w:r>
          <w:rPr>
            <w:rStyle w:val="Hiperpovezava"/>
          </w:rPr>
          <w:t>SPIN</w:t>
        </w:r>
      </w:hyperlink>
    </w:p>
    <w:p w:rsidR="00F0217F" w:rsidRDefault="00F0217F" w:rsidP="00F0217F"/>
    <w:p w:rsidR="00F0217F" w:rsidRDefault="00F0217F" w:rsidP="00F0217F">
      <w:pPr>
        <w:pStyle w:val="Naslov1"/>
      </w:pPr>
      <w:bookmarkStart w:id="0" w:name="_GoBack"/>
      <w:bookmarkEnd w:id="0"/>
      <w:r w:rsidRPr="00F0217F">
        <w:t>Statistika</w:t>
      </w:r>
      <w:r w:rsidR="006864ED">
        <w:t xml:space="preserve"> javnega alarmiranja v letu 2021</w:t>
      </w:r>
    </w:p>
    <w:p w:rsidR="009D05B6" w:rsidRPr="009D05B6" w:rsidRDefault="009D05B6" w:rsidP="009D05B6"/>
    <w:p w:rsidR="00F0217F" w:rsidRDefault="009D05B6" w:rsidP="009D05B6">
      <w:r w:rsidRPr="009D05B6">
        <w:rPr>
          <w:noProof/>
          <w:lang w:eastAsia="sl-SI"/>
        </w:rPr>
        <w:lastRenderedPageBreak/>
        <w:drawing>
          <wp:inline distT="0" distB="0" distL="0" distR="0">
            <wp:extent cx="5760720" cy="2087226"/>
            <wp:effectExtent l="0" t="0" r="0" b="8890"/>
            <wp:docPr id="9" name="Slika 9" descr="Tabela z grafom: Januar: 28 proženj, februar 35 proženj, marec 51 proženj, april 35 proženj, maj 59 proženj, junij 33 proženj, julij 35 proženj, avgust 48 proženj, september 39 proženj, oktober 98 proženj, november 76 proženj in december 35 proženj.&#10;" title="Statistika proženj javnega alarmiranja v letu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87226"/>
                    </a:xfrm>
                    <a:prstGeom prst="rect">
                      <a:avLst/>
                    </a:prstGeom>
                    <a:noFill/>
                    <a:ln>
                      <a:noFill/>
                    </a:ln>
                  </pic:spPr>
                </pic:pic>
              </a:graphicData>
            </a:graphic>
          </wp:inline>
        </w:drawing>
      </w:r>
    </w:p>
    <w:p w:rsidR="00F0217F" w:rsidRDefault="00F0217F" w:rsidP="00F0217F">
      <w:pPr>
        <w:pStyle w:val="Napis"/>
      </w:pPr>
      <w:r>
        <w:t xml:space="preserve">Slika </w:t>
      </w:r>
      <w:r w:rsidR="00D71CB9">
        <w:rPr>
          <w:noProof/>
        </w:rPr>
        <w:fldChar w:fldCharType="begin"/>
      </w:r>
      <w:r w:rsidR="00D71CB9">
        <w:rPr>
          <w:noProof/>
        </w:rPr>
        <w:instrText xml:space="preserve"> SEQ Slika \* ARABIC </w:instrText>
      </w:r>
      <w:r w:rsidR="00D71CB9">
        <w:rPr>
          <w:noProof/>
        </w:rPr>
        <w:fldChar w:fldCharType="separate"/>
      </w:r>
      <w:r>
        <w:rPr>
          <w:noProof/>
        </w:rPr>
        <w:t>7</w:t>
      </w:r>
      <w:r w:rsidR="00D71CB9">
        <w:rPr>
          <w:noProof/>
        </w:rPr>
        <w:fldChar w:fldCharType="end"/>
      </w:r>
      <w:r>
        <w:t xml:space="preserve"> Število proženj siren javnega ala</w:t>
      </w:r>
      <w:r w:rsidR="009D05B6">
        <w:t>rmiranja po mesecih za leto 2021</w:t>
      </w:r>
      <w:r>
        <w:t>. Vir: URSZR, Služba za informatiko in komunikacije.</w:t>
      </w:r>
    </w:p>
    <w:p w:rsidR="00F0217F" w:rsidRDefault="00F0217F" w:rsidP="00F0217F"/>
    <w:p w:rsidR="00F0217F" w:rsidRDefault="009D05B6" w:rsidP="00F0217F">
      <w:pPr>
        <w:keepNext/>
      </w:pPr>
      <w:r w:rsidRPr="009D05B6">
        <w:rPr>
          <w:noProof/>
          <w:lang w:eastAsia="sl-SI"/>
        </w:rPr>
        <w:drawing>
          <wp:inline distT="0" distB="0" distL="0" distR="0">
            <wp:extent cx="5760720" cy="2158769"/>
            <wp:effectExtent l="0" t="0" r="0" b="0"/>
            <wp:docPr id="10" name="Slika 10" descr="Grafikon po regijskih centrih za obveščanje za proženje siren od največ proženj v letu do najman: Maribor, Celje, Brežice, Novo mesto, Ptuj, Murska Sobota, Koper, Nova Gorica, Ljubljana, Slovenj gradec, Kranj, Postojna in Trbovlje.," title="Število proženj siren javnega alarmiranja po regijskih centrih za obvešč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158769"/>
                    </a:xfrm>
                    <a:prstGeom prst="rect">
                      <a:avLst/>
                    </a:prstGeom>
                    <a:noFill/>
                    <a:ln>
                      <a:noFill/>
                    </a:ln>
                  </pic:spPr>
                </pic:pic>
              </a:graphicData>
            </a:graphic>
          </wp:inline>
        </w:drawing>
      </w:r>
    </w:p>
    <w:p w:rsidR="00F0217F" w:rsidRPr="00F0217F" w:rsidRDefault="00F0217F" w:rsidP="00F0217F">
      <w:pPr>
        <w:pStyle w:val="Napis"/>
      </w:pPr>
      <w:r>
        <w:t xml:space="preserve">Slika </w:t>
      </w:r>
      <w:r w:rsidR="00D71CB9">
        <w:rPr>
          <w:noProof/>
        </w:rPr>
        <w:fldChar w:fldCharType="begin"/>
      </w:r>
      <w:r w:rsidR="00D71CB9">
        <w:rPr>
          <w:noProof/>
        </w:rPr>
        <w:instrText xml:space="preserve"> SEQ Slika \* ARABIC </w:instrText>
      </w:r>
      <w:r w:rsidR="00D71CB9">
        <w:rPr>
          <w:noProof/>
        </w:rPr>
        <w:fldChar w:fldCharType="separate"/>
      </w:r>
      <w:r>
        <w:rPr>
          <w:noProof/>
        </w:rPr>
        <w:t>8</w:t>
      </w:r>
      <w:r w:rsidR="00D71CB9">
        <w:rPr>
          <w:noProof/>
        </w:rPr>
        <w:fldChar w:fldCharType="end"/>
      </w:r>
      <w:r>
        <w:t xml:space="preserve"> Število proženj siren javnega alarmiranja po regijskih centrih za obveščanje</w:t>
      </w:r>
      <w:r w:rsidR="009D05B6">
        <w:t xml:space="preserve"> za leto 2021. Vir: URSZR, Služba za informatiko in komunikacije</w:t>
      </w:r>
    </w:p>
    <w:p w:rsidR="00724CE9" w:rsidRDefault="00724CE9" w:rsidP="00724CE9"/>
    <w:p w:rsidR="00F0217F" w:rsidRPr="00724CE9" w:rsidRDefault="00F0217F" w:rsidP="00724CE9"/>
    <w:sectPr w:rsidR="00F0217F" w:rsidRPr="00724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A8"/>
    <w:rsid w:val="00017F35"/>
    <w:rsid w:val="00032CF4"/>
    <w:rsid w:val="000615C4"/>
    <w:rsid w:val="00063D4D"/>
    <w:rsid w:val="000C1389"/>
    <w:rsid w:val="000E0000"/>
    <w:rsid w:val="000E078A"/>
    <w:rsid w:val="00106226"/>
    <w:rsid w:val="00116BC9"/>
    <w:rsid w:val="00117F11"/>
    <w:rsid w:val="0013652F"/>
    <w:rsid w:val="00162189"/>
    <w:rsid w:val="00170D69"/>
    <w:rsid w:val="00177878"/>
    <w:rsid w:val="00181F8A"/>
    <w:rsid w:val="00182853"/>
    <w:rsid w:val="0019545A"/>
    <w:rsid w:val="001B66A6"/>
    <w:rsid w:val="001C3084"/>
    <w:rsid w:val="001F02CB"/>
    <w:rsid w:val="00225B65"/>
    <w:rsid w:val="00244927"/>
    <w:rsid w:val="00251033"/>
    <w:rsid w:val="002513FC"/>
    <w:rsid w:val="00275B2A"/>
    <w:rsid w:val="002873F4"/>
    <w:rsid w:val="00296CB9"/>
    <w:rsid w:val="002D06F5"/>
    <w:rsid w:val="002E2B60"/>
    <w:rsid w:val="00316777"/>
    <w:rsid w:val="003201BE"/>
    <w:rsid w:val="0032590F"/>
    <w:rsid w:val="00333037"/>
    <w:rsid w:val="003462F0"/>
    <w:rsid w:val="00363C19"/>
    <w:rsid w:val="00370D09"/>
    <w:rsid w:val="00395335"/>
    <w:rsid w:val="003F4185"/>
    <w:rsid w:val="00404CB3"/>
    <w:rsid w:val="00426311"/>
    <w:rsid w:val="00426C62"/>
    <w:rsid w:val="004456BF"/>
    <w:rsid w:val="004521EE"/>
    <w:rsid w:val="00455622"/>
    <w:rsid w:val="00480225"/>
    <w:rsid w:val="00481E28"/>
    <w:rsid w:val="0049221D"/>
    <w:rsid w:val="004926AD"/>
    <w:rsid w:val="00493FBB"/>
    <w:rsid w:val="004B608E"/>
    <w:rsid w:val="004C65A0"/>
    <w:rsid w:val="005046E5"/>
    <w:rsid w:val="00540CD9"/>
    <w:rsid w:val="005717B5"/>
    <w:rsid w:val="00595728"/>
    <w:rsid w:val="00624BA8"/>
    <w:rsid w:val="00662538"/>
    <w:rsid w:val="00667FD3"/>
    <w:rsid w:val="006706B1"/>
    <w:rsid w:val="006864ED"/>
    <w:rsid w:val="006933F7"/>
    <w:rsid w:val="0069363B"/>
    <w:rsid w:val="006C06A5"/>
    <w:rsid w:val="006C5228"/>
    <w:rsid w:val="006D631B"/>
    <w:rsid w:val="006D7D01"/>
    <w:rsid w:val="006F479F"/>
    <w:rsid w:val="007106DC"/>
    <w:rsid w:val="00724CE9"/>
    <w:rsid w:val="00761293"/>
    <w:rsid w:val="007939C3"/>
    <w:rsid w:val="007C2184"/>
    <w:rsid w:val="007D147C"/>
    <w:rsid w:val="0080492C"/>
    <w:rsid w:val="00812222"/>
    <w:rsid w:val="008312E0"/>
    <w:rsid w:val="00876329"/>
    <w:rsid w:val="00882FEE"/>
    <w:rsid w:val="008C6056"/>
    <w:rsid w:val="008C6B77"/>
    <w:rsid w:val="008D6101"/>
    <w:rsid w:val="008E23BE"/>
    <w:rsid w:val="008E2D5A"/>
    <w:rsid w:val="009112F0"/>
    <w:rsid w:val="009276F0"/>
    <w:rsid w:val="00931432"/>
    <w:rsid w:val="00935D95"/>
    <w:rsid w:val="00946467"/>
    <w:rsid w:val="00953C08"/>
    <w:rsid w:val="0095734A"/>
    <w:rsid w:val="00961FCA"/>
    <w:rsid w:val="00970D26"/>
    <w:rsid w:val="00971A06"/>
    <w:rsid w:val="009720E3"/>
    <w:rsid w:val="009738BA"/>
    <w:rsid w:val="009B02E6"/>
    <w:rsid w:val="009B74FB"/>
    <w:rsid w:val="009C7A66"/>
    <w:rsid w:val="009D05B6"/>
    <w:rsid w:val="009D6171"/>
    <w:rsid w:val="009F2445"/>
    <w:rsid w:val="00A132C2"/>
    <w:rsid w:val="00A14D0A"/>
    <w:rsid w:val="00A22E48"/>
    <w:rsid w:val="00A53B70"/>
    <w:rsid w:val="00A573EB"/>
    <w:rsid w:val="00A671E2"/>
    <w:rsid w:val="00A709C4"/>
    <w:rsid w:val="00AA7E92"/>
    <w:rsid w:val="00AB3F20"/>
    <w:rsid w:val="00AB5B12"/>
    <w:rsid w:val="00AD63A0"/>
    <w:rsid w:val="00AD775F"/>
    <w:rsid w:val="00AE76EA"/>
    <w:rsid w:val="00AF2BB6"/>
    <w:rsid w:val="00B10FEB"/>
    <w:rsid w:val="00B224CB"/>
    <w:rsid w:val="00B30E8D"/>
    <w:rsid w:val="00B525D7"/>
    <w:rsid w:val="00B6503B"/>
    <w:rsid w:val="00B9654C"/>
    <w:rsid w:val="00BA1C0C"/>
    <w:rsid w:val="00BA7962"/>
    <w:rsid w:val="00BF4DA2"/>
    <w:rsid w:val="00BF689E"/>
    <w:rsid w:val="00C0213C"/>
    <w:rsid w:val="00C028ED"/>
    <w:rsid w:val="00C03E9E"/>
    <w:rsid w:val="00C242E8"/>
    <w:rsid w:val="00C333C1"/>
    <w:rsid w:val="00C41E21"/>
    <w:rsid w:val="00C75AA3"/>
    <w:rsid w:val="00C817CA"/>
    <w:rsid w:val="00CA5D9E"/>
    <w:rsid w:val="00CA7612"/>
    <w:rsid w:val="00CD4014"/>
    <w:rsid w:val="00D01853"/>
    <w:rsid w:val="00D3115F"/>
    <w:rsid w:val="00D31CE8"/>
    <w:rsid w:val="00D3430E"/>
    <w:rsid w:val="00D4680E"/>
    <w:rsid w:val="00D71CB9"/>
    <w:rsid w:val="00D7734D"/>
    <w:rsid w:val="00D936FE"/>
    <w:rsid w:val="00DC0C14"/>
    <w:rsid w:val="00DC5E53"/>
    <w:rsid w:val="00DD2ECB"/>
    <w:rsid w:val="00DE70CF"/>
    <w:rsid w:val="00E00B1A"/>
    <w:rsid w:val="00E059AD"/>
    <w:rsid w:val="00E1543C"/>
    <w:rsid w:val="00E209F6"/>
    <w:rsid w:val="00E304D1"/>
    <w:rsid w:val="00E568A6"/>
    <w:rsid w:val="00E8771E"/>
    <w:rsid w:val="00ED4A09"/>
    <w:rsid w:val="00ED5273"/>
    <w:rsid w:val="00EE0B7C"/>
    <w:rsid w:val="00F0217F"/>
    <w:rsid w:val="00F03266"/>
    <w:rsid w:val="00F17B12"/>
    <w:rsid w:val="00F42B46"/>
    <w:rsid w:val="00F92036"/>
    <w:rsid w:val="00F931CD"/>
    <w:rsid w:val="00FD698B"/>
    <w:rsid w:val="00FE18B2"/>
    <w:rsid w:val="00FF1D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1B935-0D57-4DAF-B5C8-7DE0FF0C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24BA8"/>
  </w:style>
  <w:style w:type="paragraph" w:styleId="Naslov1">
    <w:name w:val="heading 1"/>
    <w:basedOn w:val="Navaden"/>
    <w:next w:val="Navaden"/>
    <w:link w:val="Naslov1Znak"/>
    <w:uiPriority w:val="9"/>
    <w:qFormat/>
    <w:rsid w:val="00624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24BA8"/>
    <w:rPr>
      <w:rFonts w:asciiTheme="majorHAnsi" w:eastAsiaTheme="majorEastAsia" w:hAnsiTheme="majorHAnsi" w:cstheme="majorBidi"/>
      <w:color w:val="2E74B5" w:themeColor="accent1" w:themeShade="BF"/>
      <w:sz w:val="32"/>
      <w:szCs w:val="32"/>
    </w:rPr>
  </w:style>
  <w:style w:type="paragraph" w:styleId="Napis">
    <w:name w:val="caption"/>
    <w:basedOn w:val="Navaden"/>
    <w:next w:val="Navaden"/>
    <w:uiPriority w:val="35"/>
    <w:unhideWhenUsed/>
    <w:qFormat/>
    <w:rsid w:val="00D936FE"/>
    <w:pPr>
      <w:spacing w:after="200" w:line="240" w:lineRule="auto"/>
    </w:pPr>
    <w:rPr>
      <w:i/>
      <w:iCs/>
      <w:color w:val="44546A" w:themeColor="text2"/>
      <w:sz w:val="18"/>
      <w:szCs w:val="18"/>
    </w:rPr>
  </w:style>
  <w:style w:type="paragraph" w:styleId="Besedilooblaka">
    <w:name w:val="Balloon Text"/>
    <w:basedOn w:val="Navaden"/>
    <w:link w:val="BesedilooblakaZnak"/>
    <w:uiPriority w:val="99"/>
    <w:semiHidden/>
    <w:unhideWhenUsed/>
    <w:rsid w:val="009B02E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02E6"/>
    <w:rPr>
      <w:rFonts w:ascii="Segoe UI" w:hAnsi="Segoe UI" w:cs="Segoe UI"/>
      <w:sz w:val="18"/>
      <w:szCs w:val="18"/>
    </w:rPr>
  </w:style>
  <w:style w:type="character" w:styleId="Hiperpovezava">
    <w:name w:val="Hyperlink"/>
    <w:basedOn w:val="Privzetapisavaodstavka"/>
    <w:uiPriority w:val="99"/>
    <w:unhideWhenUsed/>
    <w:rsid w:val="00D3115F"/>
    <w:rPr>
      <w:color w:val="0563C1" w:themeColor="hyperlink"/>
      <w:u w:val="single"/>
    </w:rPr>
  </w:style>
  <w:style w:type="paragraph" w:customStyle="1" w:styleId="EmptyCellLayoutStyle">
    <w:name w:val="EmptyCellLayoutStyle"/>
    <w:rsid w:val="00333037"/>
    <w:rPr>
      <w:rFonts w:ascii="Times New Roman" w:eastAsia="Times New Roman" w:hAnsi="Times New Roman" w:cs="Times New Roman"/>
      <w:sz w:val="2"/>
      <w:szCs w:val="20"/>
      <w:lang w:eastAsia="sl-SI"/>
    </w:rPr>
  </w:style>
  <w:style w:type="character" w:styleId="Pripombasklic">
    <w:name w:val="annotation reference"/>
    <w:basedOn w:val="Privzetapisavaodstavka"/>
    <w:uiPriority w:val="99"/>
    <w:semiHidden/>
    <w:unhideWhenUsed/>
    <w:rsid w:val="00333037"/>
    <w:rPr>
      <w:sz w:val="16"/>
      <w:szCs w:val="16"/>
    </w:rPr>
  </w:style>
  <w:style w:type="paragraph" w:styleId="Pripombabesedilo">
    <w:name w:val="annotation text"/>
    <w:basedOn w:val="Navaden"/>
    <w:link w:val="PripombabesediloZnak"/>
    <w:uiPriority w:val="99"/>
    <w:semiHidden/>
    <w:unhideWhenUsed/>
    <w:rsid w:val="0033303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33037"/>
    <w:rPr>
      <w:sz w:val="20"/>
      <w:szCs w:val="20"/>
    </w:rPr>
  </w:style>
  <w:style w:type="paragraph" w:styleId="Zadevapripombe">
    <w:name w:val="annotation subject"/>
    <w:basedOn w:val="Pripombabesedilo"/>
    <w:next w:val="Pripombabesedilo"/>
    <w:link w:val="ZadevapripombeZnak"/>
    <w:uiPriority w:val="99"/>
    <w:semiHidden/>
    <w:unhideWhenUsed/>
    <w:rsid w:val="00333037"/>
    <w:rPr>
      <w:b/>
      <w:bCs/>
    </w:rPr>
  </w:style>
  <w:style w:type="character" w:customStyle="1" w:styleId="ZadevapripombeZnak">
    <w:name w:val="Zadeva pripombe Znak"/>
    <w:basedOn w:val="PripombabesediloZnak"/>
    <w:link w:val="Zadevapripombe"/>
    <w:uiPriority w:val="99"/>
    <w:semiHidden/>
    <w:rsid w:val="00333037"/>
    <w:rPr>
      <w:b/>
      <w:bCs/>
      <w:sz w:val="20"/>
      <w:szCs w:val="20"/>
    </w:rPr>
  </w:style>
  <w:style w:type="table" w:styleId="Tabelamrea">
    <w:name w:val="Table Grid"/>
    <w:basedOn w:val="Navadnatabela"/>
    <w:uiPriority w:val="39"/>
    <w:rsid w:val="00A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AB3F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AB3F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2">
    <w:name w:val="Plain Table 2"/>
    <w:basedOn w:val="Navadnatabela"/>
    <w:uiPriority w:val="42"/>
    <w:rsid w:val="00AB3F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3">
    <w:name w:val="Plain Table 3"/>
    <w:basedOn w:val="Navadnatabela"/>
    <w:uiPriority w:val="43"/>
    <w:rsid w:val="00AB3F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Navadnatabela4">
    <w:name w:val="Plain Table 4"/>
    <w:basedOn w:val="Navadnatabela"/>
    <w:uiPriority w:val="44"/>
    <w:rsid w:val="00AB3F2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5">
    <w:name w:val="Plain Table 5"/>
    <w:basedOn w:val="Navadnatabela"/>
    <w:uiPriority w:val="45"/>
    <w:rsid w:val="00AB3F2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1">
    <w:name w:val="Grid Table 1 Light"/>
    <w:basedOn w:val="Navadnatabela"/>
    <w:uiPriority w:val="46"/>
    <w:rsid w:val="00D343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D3430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vetlamrea1poudarek2">
    <w:name w:val="Grid Table 1 Light Accent 2"/>
    <w:basedOn w:val="Navadnatabela"/>
    <w:uiPriority w:val="46"/>
    <w:rsid w:val="00D3430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vetlamrea1poudarek3">
    <w:name w:val="Grid Table 1 Light Accent 3"/>
    <w:basedOn w:val="Navadnatabela"/>
    <w:uiPriority w:val="46"/>
    <w:rsid w:val="00D3430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vetlamrea1poudarek4">
    <w:name w:val="Grid Table 1 Light Accent 4"/>
    <w:basedOn w:val="Navadnatabela"/>
    <w:uiPriority w:val="46"/>
    <w:rsid w:val="00D3430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svetlamrea1poudarek5">
    <w:name w:val="Grid Table 1 Light Accent 5"/>
    <w:basedOn w:val="Navadnatabela"/>
    <w:uiPriority w:val="46"/>
    <w:rsid w:val="00D34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aslov">
    <w:name w:val="Title"/>
    <w:basedOn w:val="Naslov1"/>
    <w:next w:val="Navaden"/>
    <w:link w:val="NaslovZnak"/>
    <w:uiPriority w:val="10"/>
    <w:qFormat/>
    <w:rsid w:val="00426311"/>
    <w:pPr>
      <w:jc w:val="center"/>
    </w:pPr>
    <w:rPr>
      <w:rFonts w:eastAsia="Times New Roman"/>
      <w:lang w:eastAsia="sl-SI"/>
    </w:rPr>
  </w:style>
  <w:style w:type="character" w:customStyle="1" w:styleId="NaslovZnak">
    <w:name w:val="Naslov Znak"/>
    <w:basedOn w:val="Privzetapisavaodstavka"/>
    <w:link w:val="Naslov"/>
    <w:uiPriority w:val="10"/>
    <w:rsid w:val="00426311"/>
    <w:rPr>
      <w:rFonts w:asciiTheme="majorHAnsi" w:eastAsia="Times New Roman" w:hAnsiTheme="majorHAnsi" w:cstheme="majorBidi"/>
      <w:color w:val="2E74B5" w:themeColor="accent1" w:themeShade="BF"/>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pin3.sos112.si/javno/porocilo" TargetMode="External"/><Relationship Id="rId11" Type="http://schemas.openxmlformats.org/officeDocument/2006/relationships/hyperlink" Target="https://spin3.sos112.si/javno/porocilo" TargetMode="External"/><Relationship Id="rId5" Type="http://schemas.openxmlformats.org/officeDocument/2006/relationships/hyperlink" Target="https://statklic.sos112.si/" TargetMode="External"/><Relationship Id="rId15" Type="http://schemas.openxmlformats.org/officeDocument/2006/relationships/theme" Target="theme/theme1.xml"/><Relationship Id="rId10" Type="http://schemas.openxmlformats.org/officeDocument/2006/relationships/hyperlink" Target="https://spin3.sos112.si/javno/porocil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E34DD6-A744-435B-AFFA-155D0EEB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1304</Words>
  <Characters>7435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URSZR</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Predovnik</dc:creator>
  <cp:keywords/>
  <dc:description/>
  <cp:lastModifiedBy>Tanja</cp:lastModifiedBy>
  <cp:revision>3</cp:revision>
  <cp:lastPrinted>2021-01-12T13:42:00Z</cp:lastPrinted>
  <dcterms:created xsi:type="dcterms:W3CDTF">2022-01-18T08:36:00Z</dcterms:created>
  <dcterms:modified xsi:type="dcterms:W3CDTF">2022-01-18T09:46:00Z</dcterms:modified>
</cp:coreProperties>
</file>