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B3" w:rsidRPr="00404CB3" w:rsidRDefault="00624BA8" w:rsidP="00404CB3">
      <w:pPr>
        <w:pStyle w:val="Naslov1"/>
        <w:jc w:val="center"/>
        <w:rPr>
          <w:rFonts w:eastAsia="Times New Roman"/>
          <w:lang w:eastAsia="sl-SI"/>
        </w:rPr>
      </w:pPr>
      <w:r>
        <w:rPr>
          <w:rFonts w:eastAsia="Times New Roman"/>
          <w:lang w:eastAsia="sl-SI"/>
        </w:rPr>
        <w:t>V</w:t>
      </w:r>
      <w:r w:rsidR="00667FD3">
        <w:rPr>
          <w:rFonts w:eastAsia="Times New Roman"/>
          <w:lang w:eastAsia="sl-SI"/>
        </w:rPr>
        <w:t xml:space="preserve"> letu 2020 smo prejeli 514.653</w:t>
      </w:r>
      <w:r>
        <w:rPr>
          <w:rFonts w:eastAsia="Times New Roman"/>
          <w:lang w:eastAsia="sl-SI"/>
        </w:rPr>
        <w:t xml:space="preserve"> klicev na številko 112</w:t>
      </w:r>
    </w:p>
    <w:p w:rsidR="00624BA8" w:rsidRDefault="00624BA8" w:rsidP="006C5228">
      <w:pPr>
        <w:spacing w:before="100" w:beforeAutospacing="1" w:after="100" w:afterAutospacing="1" w:line="240" w:lineRule="auto"/>
        <w:jc w:val="both"/>
        <w:rPr>
          <w:rFonts w:ascii="Arial" w:eastAsia="Times New Roman" w:hAnsi="Arial" w:cs="Arial"/>
          <w:sz w:val="24"/>
          <w:szCs w:val="24"/>
          <w:lang w:eastAsia="sl-SI"/>
        </w:rPr>
      </w:pPr>
      <w:r w:rsidRPr="00E22AAC">
        <w:rPr>
          <w:rFonts w:ascii="Arial" w:eastAsia="Times New Roman" w:hAnsi="Arial" w:cs="Arial"/>
          <w:sz w:val="24"/>
          <w:szCs w:val="24"/>
          <w:lang w:eastAsia="sl-SI"/>
        </w:rPr>
        <w:t>Operativno-komunikacijske naloge opazovanja, obveščanje in alarmiranja opravljajo 24 ur na dan, neprekinjeno 365 dni v letu Center</w:t>
      </w:r>
      <w:r>
        <w:rPr>
          <w:rFonts w:ascii="Arial" w:eastAsia="Times New Roman" w:hAnsi="Arial" w:cs="Arial"/>
          <w:sz w:val="24"/>
          <w:szCs w:val="24"/>
          <w:lang w:eastAsia="sl-SI"/>
        </w:rPr>
        <w:t xml:space="preserve"> za obveščanje RS (CORS) in 13 R</w:t>
      </w:r>
      <w:r w:rsidRPr="00E22AAC">
        <w:rPr>
          <w:rFonts w:ascii="Arial" w:eastAsia="Times New Roman" w:hAnsi="Arial" w:cs="Arial"/>
          <w:sz w:val="24"/>
          <w:szCs w:val="24"/>
          <w:lang w:eastAsia="sl-SI"/>
        </w:rPr>
        <w:t xml:space="preserve">egijskih centrov za obveščanje (ReCO), ki se odzivajo na klic v sili 112. Z delovanjem ReCO so vsem državljanom zagotovljeni dostopnost nujne medicinske pomoči, hitro aktiviranje reševalcev, predvsem gasilcev, ter ustrezno odzivanje različnih reševalnih služb ob naravnih in drugih nesrečah. </w:t>
      </w:r>
    </w:p>
    <w:p w:rsidR="00D3115F" w:rsidRPr="00E22AAC" w:rsidRDefault="00D3115F"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analizi so bili uporabljeni podatki, ki so javno dostopni in sicer na spletnih naslovih </w:t>
      </w:r>
      <w:hyperlink r:id="rId5" w:history="1">
        <w:proofErr w:type="spellStart"/>
        <w:r w:rsidRPr="00F42B46">
          <w:rPr>
            <w:rStyle w:val="Hiperpovezava"/>
            <w:rFonts w:ascii="Arial" w:eastAsia="Times New Roman" w:hAnsi="Arial" w:cs="Arial"/>
            <w:sz w:val="24"/>
            <w:szCs w:val="24"/>
            <w:lang w:eastAsia="sl-SI"/>
          </w:rPr>
          <w:t>Statklic</w:t>
        </w:r>
        <w:proofErr w:type="spellEnd"/>
      </w:hyperlink>
      <w:r>
        <w:rPr>
          <w:rFonts w:ascii="Arial" w:eastAsia="Times New Roman" w:hAnsi="Arial" w:cs="Arial"/>
          <w:sz w:val="24"/>
          <w:szCs w:val="24"/>
          <w:lang w:eastAsia="sl-SI"/>
        </w:rPr>
        <w:t xml:space="preserve">  in </w:t>
      </w:r>
      <w:hyperlink r:id="rId6" w:tooltip="https://spin3.sos112.si/javno/porocilo" w:history="1">
        <w:r w:rsidRPr="00F42B46">
          <w:rPr>
            <w:rStyle w:val="Hiperpovezava"/>
            <w:rFonts w:ascii="Arial" w:eastAsia="Times New Roman" w:hAnsi="Arial" w:cs="Arial"/>
            <w:sz w:val="24"/>
            <w:szCs w:val="24"/>
            <w:lang w:eastAsia="sl-SI"/>
          </w:rPr>
          <w:t>SPIN</w:t>
        </w:r>
      </w:hyperlink>
      <w:r w:rsidR="00F42B46">
        <w:rPr>
          <w:rFonts w:ascii="Arial" w:eastAsia="Times New Roman" w:hAnsi="Arial" w:cs="Arial"/>
          <w:sz w:val="24"/>
          <w:szCs w:val="24"/>
          <w:lang w:eastAsia="sl-SI"/>
        </w:rPr>
        <w:t xml:space="preserve"> </w:t>
      </w:r>
      <w:r>
        <w:rPr>
          <w:rFonts w:ascii="Arial" w:eastAsia="Times New Roman" w:hAnsi="Arial" w:cs="Arial"/>
          <w:sz w:val="24"/>
          <w:szCs w:val="24"/>
          <w:lang w:eastAsia="sl-SI"/>
        </w:rPr>
        <w:t>.</w:t>
      </w:r>
    </w:p>
    <w:p w:rsidR="00961FCA" w:rsidRDefault="00624BA8" w:rsidP="00961FCA">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 13 ReCO smo leta 2020</w:t>
      </w:r>
      <w:r w:rsidRPr="00E22AAC">
        <w:rPr>
          <w:rFonts w:ascii="Arial" w:eastAsia="Times New Roman" w:hAnsi="Arial" w:cs="Arial"/>
          <w:sz w:val="24"/>
          <w:szCs w:val="24"/>
          <w:lang w:eastAsia="sl-SI"/>
        </w:rPr>
        <w:t xml:space="preserve"> po zadnjih nerevidiranih podatkih</w:t>
      </w:r>
      <w:r w:rsidR="00946467">
        <w:rPr>
          <w:rFonts w:ascii="Arial" w:eastAsia="Times New Roman" w:hAnsi="Arial" w:cs="Arial"/>
          <w:sz w:val="24"/>
          <w:szCs w:val="24"/>
          <w:lang w:eastAsia="sl-SI"/>
        </w:rPr>
        <w:t xml:space="preserve"> prejeli 514.653</w:t>
      </w:r>
      <w:r w:rsidR="00C75AA3">
        <w:rPr>
          <w:rFonts w:ascii="Arial" w:eastAsia="Times New Roman" w:hAnsi="Arial" w:cs="Arial"/>
          <w:sz w:val="24"/>
          <w:szCs w:val="24"/>
          <w:lang w:eastAsia="sl-SI"/>
        </w:rPr>
        <w:t xml:space="preserve"> </w:t>
      </w:r>
      <w:r w:rsidRPr="00E22AAC">
        <w:rPr>
          <w:rFonts w:ascii="Arial" w:eastAsia="Times New Roman" w:hAnsi="Arial" w:cs="Arial"/>
          <w:sz w:val="24"/>
          <w:szCs w:val="24"/>
          <w:lang w:eastAsia="sl-SI"/>
        </w:rPr>
        <w:t>telefonskih klicev na pomoč</w:t>
      </w:r>
      <w:r>
        <w:rPr>
          <w:rFonts w:ascii="Arial" w:eastAsia="Times New Roman" w:hAnsi="Arial" w:cs="Arial"/>
          <w:sz w:val="24"/>
          <w:szCs w:val="24"/>
          <w:lang w:eastAsia="sl-SI"/>
        </w:rPr>
        <w:t xml:space="preserve"> (klicev na številko 112)</w:t>
      </w:r>
      <w:r w:rsidRPr="00E22AAC">
        <w:rPr>
          <w:rFonts w:ascii="Arial" w:eastAsia="Times New Roman" w:hAnsi="Arial" w:cs="Arial"/>
          <w:sz w:val="24"/>
          <w:szCs w:val="24"/>
          <w:lang w:eastAsia="sl-SI"/>
        </w:rPr>
        <w:t>,</w:t>
      </w:r>
      <w:r w:rsidR="00A709C4">
        <w:rPr>
          <w:rFonts w:ascii="Arial" w:eastAsia="Times New Roman" w:hAnsi="Arial" w:cs="Arial"/>
          <w:sz w:val="24"/>
          <w:szCs w:val="24"/>
          <w:lang w:eastAsia="sl-SI"/>
        </w:rPr>
        <w:t xml:space="preserve"> </w:t>
      </w:r>
      <w:r w:rsidRPr="00E22AAC">
        <w:rPr>
          <w:rFonts w:ascii="Arial" w:eastAsia="Times New Roman" w:hAnsi="Arial" w:cs="Arial"/>
          <w:sz w:val="24"/>
          <w:szCs w:val="24"/>
          <w:lang w:eastAsia="sl-SI"/>
        </w:rPr>
        <w:t>kar je povprečno</w:t>
      </w:r>
      <w:r w:rsidR="00C75AA3">
        <w:rPr>
          <w:rFonts w:ascii="Arial" w:eastAsia="Times New Roman" w:hAnsi="Arial" w:cs="Arial"/>
          <w:sz w:val="24"/>
          <w:szCs w:val="24"/>
          <w:lang w:eastAsia="sl-SI"/>
        </w:rPr>
        <w:t xml:space="preserve"> preko 1.410</w:t>
      </w:r>
      <w:r w:rsidRPr="00E22AAC">
        <w:rPr>
          <w:rFonts w:ascii="Arial" w:eastAsia="Times New Roman" w:hAnsi="Arial" w:cs="Arial"/>
          <w:sz w:val="24"/>
          <w:szCs w:val="24"/>
          <w:lang w:eastAsia="sl-SI"/>
        </w:rPr>
        <w:t xml:space="preserve"> klicev na dan.</w:t>
      </w:r>
      <w:r w:rsidR="00C75AA3">
        <w:rPr>
          <w:rFonts w:ascii="Arial" w:eastAsia="Times New Roman" w:hAnsi="Arial" w:cs="Arial"/>
          <w:sz w:val="24"/>
          <w:szCs w:val="24"/>
          <w:lang w:eastAsia="sl-SI"/>
        </w:rPr>
        <w:t xml:space="preserve"> Glede na let</w:t>
      </w:r>
      <w:r w:rsidR="00946467">
        <w:rPr>
          <w:rFonts w:ascii="Arial" w:eastAsia="Times New Roman" w:hAnsi="Arial" w:cs="Arial"/>
          <w:sz w:val="24"/>
          <w:szCs w:val="24"/>
          <w:lang w:eastAsia="sl-SI"/>
        </w:rPr>
        <w:t>o 2019 je bilo klicev več za 3,24</w:t>
      </w:r>
      <w:r w:rsidR="00C75AA3">
        <w:rPr>
          <w:rFonts w:ascii="Arial" w:eastAsia="Times New Roman" w:hAnsi="Arial" w:cs="Arial"/>
          <w:sz w:val="24"/>
          <w:szCs w:val="24"/>
          <w:lang w:eastAsia="sl-SI"/>
        </w:rPr>
        <w:t>%.</w:t>
      </w:r>
      <w:r w:rsidR="008C6056">
        <w:rPr>
          <w:rFonts w:ascii="Arial" w:eastAsia="Times New Roman" w:hAnsi="Arial" w:cs="Arial"/>
          <w:sz w:val="24"/>
          <w:szCs w:val="24"/>
          <w:lang w:eastAsia="sl-SI"/>
        </w:rPr>
        <w:t xml:space="preserve"> </w:t>
      </w:r>
    </w:p>
    <w:p w:rsidR="00181F8A" w:rsidRDefault="00961FCA"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Število klicev na številko 112 po Regijskih centrih za obveščanje in po vrstnem redu: Ljubljana (129.579),</w:t>
      </w:r>
      <w:r w:rsidRPr="006C5228">
        <w:rPr>
          <w:rFonts w:ascii="Arial" w:eastAsia="Times New Roman" w:hAnsi="Arial" w:cs="Arial"/>
          <w:sz w:val="24"/>
          <w:szCs w:val="24"/>
          <w:lang w:eastAsia="sl-SI"/>
        </w:rPr>
        <w:t xml:space="preserve"> </w:t>
      </w:r>
      <w:r w:rsidR="0080492C">
        <w:rPr>
          <w:rFonts w:ascii="Arial" w:eastAsia="Times New Roman" w:hAnsi="Arial" w:cs="Arial"/>
          <w:sz w:val="24"/>
          <w:szCs w:val="24"/>
          <w:lang w:eastAsia="sl-SI"/>
        </w:rPr>
        <w:t>Maribor (61.833</w:t>
      </w:r>
      <w:r>
        <w:rPr>
          <w:rFonts w:ascii="Arial" w:eastAsia="Times New Roman" w:hAnsi="Arial" w:cs="Arial"/>
          <w:sz w:val="24"/>
          <w:szCs w:val="24"/>
          <w:lang w:eastAsia="sl-SI"/>
        </w:rPr>
        <w:t>),</w:t>
      </w:r>
      <w:r w:rsidRPr="006C5228">
        <w:rPr>
          <w:rFonts w:ascii="Arial" w:eastAsia="Times New Roman" w:hAnsi="Arial" w:cs="Arial"/>
          <w:sz w:val="24"/>
          <w:szCs w:val="24"/>
          <w:lang w:eastAsia="sl-SI"/>
        </w:rPr>
        <w:t xml:space="preserve"> </w:t>
      </w:r>
      <w:r w:rsidR="00D936FE">
        <w:rPr>
          <w:rFonts w:ascii="Arial" w:eastAsia="Times New Roman" w:hAnsi="Arial" w:cs="Arial"/>
          <w:sz w:val="24"/>
          <w:szCs w:val="24"/>
          <w:lang w:eastAsia="sl-SI"/>
        </w:rPr>
        <w:t>Celje (62.142), Kranj (46.847</w:t>
      </w:r>
      <w:r>
        <w:rPr>
          <w:rFonts w:ascii="Arial" w:eastAsia="Times New Roman" w:hAnsi="Arial" w:cs="Arial"/>
          <w:sz w:val="24"/>
          <w:szCs w:val="24"/>
          <w:lang w:eastAsia="sl-SI"/>
        </w:rPr>
        <w:t>), Koper (38.257), Postojna (26.013),</w:t>
      </w:r>
      <w:r w:rsidRPr="006C5228">
        <w:rPr>
          <w:rFonts w:ascii="Arial" w:eastAsia="Times New Roman" w:hAnsi="Arial" w:cs="Arial"/>
          <w:sz w:val="24"/>
          <w:szCs w:val="24"/>
          <w:lang w:eastAsia="sl-SI"/>
        </w:rPr>
        <w:t xml:space="preserve"> </w:t>
      </w:r>
      <w:r>
        <w:rPr>
          <w:rFonts w:ascii="Arial" w:eastAsia="Times New Roman" w:hAnsi="Arial" w:cs="Arial"/>
          <w:sz w:val="24"/>
          <w:szCs w:val="24"/>
          <w:lang w:eastAsia="sl-SI"/>
        </w:rPr>
        <w:t>Novo mesto (25.809),</w:t>
      </w:r>
      <w:r w:rsidRPr="006C5228">
        <w:rPr>
          <w:rFonts w:ascii="Arial" w:eastAsia="Times New Roman" w:hAnsi="Arial" w:cs="Arial"/>
          <w:sz w:val="24"/>
          <w:szCs w:val="24"/>
          <w:lang w:eastAsia="sl-SI"/>
        </w:rPr>
        <w:t xml:space="preserve"> </w:t>
      </w:r>
      <w:r>
        <w:rPr>
          <w:rFonts w:ascii="Arial" w:eastAsia="Times New Roman" w:hAnsi="Arial" w:cs="Arial"/>
          <w:sz w:val="24"/>
          <w:szCs w:val="24"/>
          <w:lang w:eastAsia="sl-SI"/>
        </w:rPr>
        <w:t>Nova Gorica (25.269),</w:t>
      </w:r>
      <w:r w:rsidRPr="006C5228">
        <w:rPr>
          <w:rFonts w:ascii="Arial" w:eastAsia="Times New Roman" w:hAnsi="Arial" w:cs="Arial"/>
          <w:sz w:val="24"/>
          <w:szCs w:val="24"/>
          <w:lang w:eastAsia="sl-SI"/>
        </w:rPr>
        <w:t xml:space="preserve"> </w:t>
      </w:r>
      <w:r>
        <w:rPr>
          <w:rFonts w:ascii="Arial" w:eastAsia="Times New Roman" w:hAnsi="Arial" w:cs="Arial"/>
          <w:sz w:val="24"/>
          <w:szCs w:val="24"/>
          <w:lang w:eastAsia="sl-SI"/>
        </w:rPr>
        <w:t>Brežice (23.055), Murska Sobota (22.587),</w:t>
      </w:r>
      <w:r w:rsidRPr="006C5228">
        <w:rPr>
          <w:rFonts w:ascii="Arial" w:eastAsia="Times New Roman" w:hAnsi="Arial" w:cs="Arial"/>
          <w:sz w:val="24"/>
          <w:szCs w:val="24"/>
          <w:lang w:eastAsia="sl-SI"/>
        </w:rPr>
        <w:t xml:space="preserve"> </w:t>
      </w:r>
      <w:r>
        <w:rPr>
          <w:rFonts w:ascii="Arial" w:eastAsia="Times New Roman" w:hAnsi="Arial" w:cs="Arial"/>
          <w:sz w:val="24"/>
          <w:szCs w:val="24"/>
          <w:lang w:eastAsia="sl-SI"/>
        </w:rPr>
        <w:t>Trbovlje (19.872).</w:t>
      </w:r>
      <w:r w:rsidRPr="006C5228">
        <w:rPr>
          <w:rFonts w:ascii="Arial" w:eastAsia="Times New Roman" w:hAnsi="Arial" w:cs="Arial"/>
          <w:sz w:val="24"/>
          <w:szCs w:val="24"/>
          <w:lang w:eastAsia="sl-SI"/>
        </w:rPr>
        <w:t xml:space="preserve"> </w:t>
      </w:r>
      <w:r>
        <w:rPr>
          <w:rFonts w:ascii="Arial" w:eastAsia="Times New Roman" w:hAnsi="Arial" w:cs="Arial"/>
          <w:sz w:val="24"/>
          <w:szCs w:val="24"/>
          <w:lang w:eastAsia="sl-SI"/>
        </w:rPr>
        <w:t>Ptuj (19.692),</w:t>
      </w:r>
      <w:r w:rsidRPr="006C5228">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Slovenj Gradec (13.698). </w:t>
      </w:r>
    </w:p>
    <w:p w:rsidR="00D936FE" w:rsidRDefault="009B02E6" w:rsidP="00D936FE">
      <w:pPr>
        <w:keepNext/>
        <w:spacing w:before="100" w:beforeAutospacing="1" w:after="100" w:afterAutospacing="1" w:line="240" w:lineRule="auto"/>
        <w:jc w:val="both"/>
      </w:pPr>
      <w:r>
        <w:rPr>
          <w:noProof/>
          <w:lang w:eastAsia="sl-SI"/>
        </w:rPr>
        <w:drawing>
          <wp:inline distT="0" distB="0" distL="0" distR="0" wp14:anchorId="546B774F" wp14:editId="5806FED1">
            <wp:extent cx="5760720" cy="2114550"/>
            <wp:effectExtent l="0" t="0" r="0" b="0"/>
            <wp:docPr id="1" name="Slika 1" descr="Število klicev na številko 112 po Regijskih centrih za obveščanje in po vrstnem redu: Ljubljana (129.579), Maribor (61.833), Celje (62.142), Kranj (46.847), Koper (38.257), Postojna (26.013), Novo mesto (25.809), Nova Gorica (25.269), Brežice (23.055), Murska Sobota (22.587), Trbovlje (19.872). Ptuj (19.692), Slovenj Gradec (13.698). &#10;" title="Grafični prikaz števila klicev na številko 112 po Regijskih centrih za obveščanje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114550"/>
                    </a:xfrm>
                    <a:prstGeom prst="rect">
                      <a:avLst/>
                    </a:prstGeom>
                  </pic:spPr>
                </pic:pic>
              </a:graphicData>
            </a:graphic>
          </wp:inline>
        </w:drawing>
      </w:r>
    </w:p>
    <w:p w:rsidR="009720E3" w:rsidRDefault="00D936FE" w:rsidP="009720E3">
      <w:pPr>
        <w:pStyle w:val="Napis"/>
        <w:jc w:val="both"/>
        <w:rPr>
          <w:rFonts w:ascii="Arial" w:eastAsia="Times New Roman" w:hAnsi="Arial" w:cs="Arial"/>
          <w:sz w:val="24"/>
          <w:szCs w:val="24"/>
          <w:lang w:eastAsia="sl-SI"/>
        </w:rPr>
      </w:pPr>
      <w:r>
        <w:t xml:space="preserve">Slika </w:t>
      </w:r>
      <w:r w:rsidR="00162189">
        <w:rPr>
          <w:noProof/>
        </w:rPr>
        <w:fldChar w:fldCharType="begin"/>
      </w:r>
      <w:r w:rsidR="00162189">
        <w:rPr>
          <w:noProof/>
        </w:rPr>
        <w:instrText xml:space="preserve"> SEQ Slika \* ARABIC </w:instrText>
      </w:r>
      <w:r w:rsidR="00162189">
        <w:rPr>
          <w:noProof/>
        </w:rPr>
        <w:fldChar w:fldCharType="separate"/>
      </w:r>
      <w:r w:rsidR="00F0217F">
        <w:rPr>
          <w:noProof/>
        </w:rPr>
        <w:t>1</w:t>
      </w:r>
      <w:r w:rsidR="00162189">
        <w:rPr>
          <w:noProof/>
        </w:rPr>
        <w:fldChar w:fldCharType="end"/>
      </w:r>
      <w:r>
        <w:t xml:space="preserve"> Število klicev na številko 112 po Regijskih centrih za obveščanje za leto 2020</w:t>
      </w:r>
    </w:p>
    <w:p w:rsidR="009B02E6" w:rsidRDefault="00BF689E" w:rsidP="009B02E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Največje število klicev na številko 112 v eni uri na območju celotne Slovenije (vsi Regijski centri za obveščanje v Sloveniji) je bilo 733 klicev in sicer 30.8.2020 od 16h do 17h. Skupno je bilo tega dne</w:t>
      </w:r>
      <w:r w:rsidR="00251033">
        <w:rPr>
          <w:rFonts w:ascii="Arial" w:eastAsia="Times New Roman" w:hAnsi="Arial" w:cs="Arial"/>
          <w:sz w:val="24"/>
          <w:szCs w:val="24"/>
          <w:lang w:eastAsia="sl-SI"/>
        </w:rPr>
        <w:t xml:space="preserve"> (30.8.2020) </w:t>
      </w:r>
      <w:r>
        <w:rPr>
          <w:rFonts w:ascii="Arial" w:eastAsia="Times New Roman" w:hAnsi="Arial" w:cs="Arial"/>
          <w:sz w:val="24"/>
          <w:szCs w:val="24"/>
          <w:lang w:eastAsia="sl-SI"/>
        </w:rPr>
        <w:t xml:space="preserve"> na območju celotne Slovenije maksimalno števi</w:t>
      </w:r>
      <w:r w:rsidR="00251033">
        <w:rPr>
          <w:rFonts w:ascii="Arial" w:eastAsia="Times New Roman" w:hAnsi="Arial" w:cs="Arial"/>
          <w:sz w:val="24"/>
          <w:szCs w:val="24"/>
          <w:lang w:eastAsia="sl-SI"/>
        </w:rPr>
        <w:t xml:space="preserve">lo klicev 3.450 na številko 112 in sicer Celje (724), Ptuj (706), Ljubljana (414), Nova Gorica (352), Brežice (246), Kranj (242), Maribor (189), Postojna (151), Novo Mesto (117), Murska Sobota (100), Koper (97), Slovenj Gradec (64) in Trbovlje (48). Datum 30.8.2020 sovpada z dogodkom večjega obsega neurje z močnim vetrom in točo, ki je zajelo dobršen del države in povzročilo večjo gmotno škodo. </w:t>
      </w:r>
      <w:r w:rsidR="002873F4">
        <w:rPr>
          <w:rFonts w:ascii="Arial" w:eastAsia="Times New Roman" w:hAnsi="Arial" w:cs="Arial"/>
          <w:sz w:val="24"/>
          <w:szCs w:val="24"/>
          <w:lang w:eastAsia="sl-SI"/>
        </w:rPr>
        <w:t xml:space="preserve">Po zabeleženih podatkih </w:t>
      </w:r>
      <w:r w:rsidR="00ED4A09">
        <w:rPr>
          <w:rFonts w:ascii="Arial" w:eastAsia="Times New Roman" w:hAnsi="Arial" w:cs="Arial"/>
          <w:sz w:val="24"/>
          <w:szCs w:val="24"/>
          <w:lang w:eastAsia="sl-SI"/>
        </w:rPr>
        <w:t>iz Sistema</w:t>
      </w:r>
      <w:r w:rsidR="002873F4">
        <w:rPr>
          <w:rFonts w:ascii="Arial" w:eastAsia="Times New Roman" w:hAnsi="Arial" w:cs="Arial"/>
          <w:sz w:val="24"/>
          <w:szCs w:val="24"/>
          <w:lang w:eastAsia="sl-SI"/>
        </w:rPr>
        <w:t xml:space="preserve"> za poročanje in intervencije (SPIN) </w:t>
      </w:r>
      <w:r w:rsidR="00251033">
        <w:rPr>
          <w:rFonts w:ascii="Arial" w:eastAsia="Times New Roman" w:hAnsi="Arial" w:cs="Arial"/>
          <w:sz w:val="24"/>
          <w:szCs w:val="24"/>
          <w:lang w:eastAsia="sl-SI"/>
        </w:rPr>
        <w:t>je bilo 351 dogodkov</w:t>
      </w:r>
      <w:r w:rsidR="002873F4">
        <w:rPr>
          <w:rFonts w:ascii="Arial" w:eastAsia="Times New Roman" w:hAnsi="Arial" w:cs="Arial"/>
          <w:sz w:val="24"/>
          <w:szCs w:val="24"/>
          <w:lang w:eastAsia="sl-SI"/>
        </w:rPr>
        <w:t xml:space="preserve"> vezanih na večji obseg neurje</w:t>
      </w:r>
      <w:r w:rsidR="00251033">
        <w:rPr>
          <w:rFonts w:ascii="Arial" w:eastAsia="Times New Roman" w:hAnsi="Arial" w:cs="Arial"/>
          <w:sz w:val="24"/>
          <w:szCs w:val="24"/>
          <w:lang w:eastAsia="sl-SI"/>
        </w:rPr>
        <w:t xml:space="preserve">, v intervencijah </w:t>
      </w:r>
      <w:r w:rsidR="002873F4">
        <w:rPr>
          <w:rFonts w:ascii="Arial" w:eastAsia="Times New Roman" w:hAnsi="Arial" w:cs="Arial"/>
          <w:sz w:val="24"/>
          <w:szCs w:val="24"/>
          <w:lang w:eastAsia="sl-SI"/>
        </w:rPr>
        <w:t xml:space="preserve">pa </w:t>
      </w:r>
      <w:r w:rsidR="00251033">
        <w:rPr>
          <w:rFonts w:ascii="Arial" w:eastAsia="Times New Roman" w:hAnsi="Arial" w:cs="Arial"/>
          <w:sz w:val="24"/>
          <w:szCs w:val="24"/>
          <w:lang w:eastAsia="sl-SI"/>
        </w:rPr>
        <w:t>je bilo aktiviranih 191 gasilskih enot, ki so posredovale na 714 lokacijah.</w:t>
      </w:r>
    </w:p>
    <w:p w:rsidR="00DE70CF" w:rsidRDefault="00BF689E" w:rsidP="00DE70CF">
      <w:pPr>
        <w:keepNext/>
        <w:spacing w:before="100" w:beforeAutospacing="1" w:after="100" w:afterAutospacing="1" w:line="240" w:lineRule="auto"/>
        <w:jc w:val="both"/>
      </w:pPr>
      <w:r>
        <w:rPr>
          <w:rFonts w:ascii="Arial" w:eastAsia="Times New Roman" w:hAnsi="Arial" w:cs="Arial"/>
          <w:sz w:val="24"/>
          <w:szCs w:val="24"/>
          <w:lang w:eastAsia="sl-SI"/>
        </w:rPr>
        <w:lastRenderedPageBreak/>
        <w:t xml:space="preserve"> </w:t>
      </w:r>
      <w:r w:rsidR="00DE70CF">
        <w:rPr>
          <w:noProof/>
          <w:lang w:eastAsia="sl-SI"/>
        </w:rPr>
        <w:drawing>
          <wp:inline distT="0" distB="0" distL="0" distR="0" wp14:anchorId="07DBB7A2" wp14:editId="4FA00E1E">
            <wp:extent cx="5760720" cy="1607820"/>
            <wp:effectExtent l="0" t="0" r="0" b="0"/>
            <wp:docPr id="3" name="Slika 3" descr="Največje število klicev na številko 112 v eni uri na območju celotne Slovenije (vsi Regijski centri za obveščanje v Sloveniji) je bilo 733 klicev in sicer 30.8.2020 od 16h do 17h. Skupno je bilo tega dne na območju celotne Slovenije maksimalno število klicev 3.450 na številko 112.&#10;" title="Letni prikaz števila klicev po urah za vse Regijske centre za obveščanje po Sloven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07820"/>
                    </a:xfrm>
                    <a:prstGeom prst="rect">
                      <a:avLst/>
                    </a:prstGeom>
                  </pic:spPr>
                </pic:pic>
              </a:graphicData>
            </a:graphic>
          </wp:inline>
        </w:drawing>
      </w:r>
    </w:p>
    <w:p w:rsidR="00E1543C" w:rsidRPr="00E1543C" w:rsidRDefault="00DE70CF" w:rsidP="00E1543C">
      <w:pPr>
        <w:pStyle w:val="Napis"/>
        <w:jc w:val="both"/>
      </w:pPr>
      <w:r>
        <w:t xml:space="preserve">Slika </w:t>
      </w:r>
      <w:r w:rsidR="00162189">
        <w:rPr>
          <w:noProof/>
        </w:rPr>
        <w:fldChar w:fldCharType="begin"/>
      </w:r>
      <w:r w:rsidR="00162189">
        <w:rPr>
          <w:noProof/>
        </w:rPr>
        <w:instrText xml:space="preserve"> SEQ Slika \* ARABIC </w:instrText>
      </w:r>
      <w:r w:rsidR="00162189">
        <w:rPr>
          <w:noProof/>
        </w:rPr>
        <w:fldChar w:fldCharType="separate"/>
      </w:r>
      <w:r w:rsidR="00F0217F">
        <w:rPr>
          <w:noProof/>
        </w:rPr>
        <w:t>2</w:t>
      </w:r>
      <w:r w:rsidR="00162189">
        <w:rPr>
          <w:noProof/>
        </w:rPr>
        <w:fldChar w:fldCharType="end"/>
      </w:r>
      <w:r>
        <w:t xml:space="preserve"> </w:t>
      </w:r>
      <w:r w:rsidR="003F4185">
        <w:t>Letni p</w:t>
      </w:r>
      <w:r>
        <w:t>rikaz števila klicev po urah za vse Regijske centre za obveščanje po Sloveniji</w:t>
      </w:r>
    </w:p>
    <w:p w:rsidR="00CD4014" w:rsidRDefault="008C6056" w:rsidP="006C5228">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Največje število klicev na številko 112 v eni uri je bilo </w:t>
      </w:r>
      <w:r w:rsidR="00C03E9E">
        <w:rPr>
          <w:rFonts w:ascii="Arial" w:eastAsia="Times New Roman" w:hAnsi="Arial" w:cs="Arial"/>
          <w:sz w:val="24"/>
          <w:szCs w:val="24"/>
          <w:lang w:eastAsia="sl-SI"/>
        </w:rPr>
        <w:t>v R</w:t>
      </w:r>
      <w:r w:rsidR="004521EE">
        <w:rPr>
          <w:rFonts w:ascii="Arial" w:eastAsia="Times New Roman" w:hAnsi="Arial" w:cs="Arial"/>
          <w:sz w:val="24"/>
          <w:szCs w:val="24"/>
          <w:lang w:eastAsia="sl-SI"/>
        </w:rPr>
        <w:t>egijskem centru za obveščanje Ljubljana (444 klicev</w:t>
      </w:r>
      <w:r w:rsidR="00225B65">
        <w:rPr>
          <w:rFonts w:ascii="Arial" w:eastAsia="Times New Roman" w:hAnsi="Arial" w:cs="Arial"/>
          <w:sz w:val="24"/>
          <w:szCs w:val="24"/>
          <w:lang w:eastAsia="sl-SI"/>
        </w:rPr>
        <w:t xml:space="preserve"> </w:t>
      </w:r>
      <w:r w:rsidR="00595728">
        <w:rPr>
          <w:rFonts w:ascii="Arial" w:eastAsia="Times New Roman" w:hAnsi="Arial" w:cs="Arial"/>
          <w:sz w:val="24"/>
          <w:szCs w:val="24"/>
          <w:lang w:eastAsia="sl-SI"/>
        </w:rPr>
        <w:t xml:space="preserve">dne </w:t>
      </w:r>
      <w:r w:rsidR="00B10FEB">
        <w:rPr>
          <w:rFonts w:ascii="Arial" w:eastAsia="Times New Roman" w:hAnsi="Arial" w:cs="Arial"/>
          <w:sz w:val="24"/>
          <w:szCs w:val="24"/>
          <w:lang w:eastAsia="sl-SI"/>
        </w:rPr>
        <w:t>29.7.2020 od 22h do 23h</w:t>
      </w:r>
      <w:r w:rsidR="00CD4014">
        <w:rPr>
          <w:rFonts w:ascii="Arial" w:eastAsia="Times New Roman" w:hAnsi="Arial" w:cs="Arial"/>
          <w:sz w:val="24"/>
          <w:szCs w:val="24"/>
          <w:lang w:eastAsia="sl-SI"/>
        </w:rPr>
        <w:t xml:space="preserve"> povezano z dogodkom večjega obsega neurje</w:t>
      </w:r>
      <w:r w:rsidR="004521EE">
        <w:rPr>
          <w:rFonts w:ascii="Arial" w:eastAsia="Times New Roman" w:hAnsi="Arial" w:cs="Arial"/>
          <w:sz w:val="24"/>
          <w:szCs w:val="24"/>
          <w:lang w:eastAsia="sl-SI"/>
        </w:rPr>
        <w:t>), Ptuju (364</w:t>
      </w:r>
      <w:r w:rsidR="00595728">
        <w:rPr>
          <w:rFonts w:ascii="Arial" w:eastAsia="Times New Roman" w:hAnsi="Arial" w:cs="Arial"/>
          <w:sz w:val="24"/>
          <w:szCs w:val="24"/>
          <w:lang w:eastAsia="sl-SI"/>
        </w:rPr>
        <w:t xml:space="preserve"> klicev dne 30.8.2020 od 17h do 18h</w:t>
      </w:r>
      <w:r w:rsidR="004456BF">
        <w:rPr>
          <w:rFonts w:ascii="Arial" w:eastAsia="Times New Roman" w:hAnsi="Arial" w:cs="Arial"/>
          <w:sz w:val="24"/>
          <w:szCs w:val="24"/>
          <w:lang w:eastAsia="sl-SI"/>
        </w:rPr>
        <w:t xml:space="preserve"> povezano z dogodkom večjega obsega neurje</w:t>
      </w:r>
      <w:r w:rsidR="004521EE">
        <w:rPr>
          <w:rFonts w:ascii="Arial" w:eastAsia="Times New Roman" w:hAnsi="Arial" w:cs="Arial"/>
          <w:sz w:val="24"/>
          <w:szCs w:val="24"/>
          <w:lang w:eastAsia="sl-SI"/>
        </w:rPr>
        <w:t>), Celju (340</w:t>
      </w:r>
      <w:r w:rsidR="00225B65">
        <w:rPr>
          <w:rFonts w:ascii="Arial" w:eastAsia="Times New Roman" w:hAnsi="Arial" w:cs="Arial"/>
          <w:sz w:val="24"/>
          <w:szCs w:val="24"/>
          <w:lang w:eastAsia="sl-SI"/>
        </w:rPr>
        <w:t xml:space="preserve"> klicev</w:t>
      </w:r>
      <w:r w:rsidR="00C03E9E">
        <w:rPr>
          <w:rFonts w:ascii="Arial" w:eastAsia="Times New Roman" w:hAnsi="Arial" w:cs="Arial"/>
          <w:sz w:val="24"/>
          <w:szCs w:val="24"/>
          <w:lang w:eastAsia="sl-SI"/>
        </w:rPr>
        <w:t xml:space="preserve"> dne 30.8.2020 od 16h do 17h</w:t>
      </w:r>
      <w:r w:rsidR="004456BF">
        <w:rPr>
          <w:rFonts w:ascii="Arial" w:eastAsia="Times New Roman" w:hAnsi="Arial" w:cs="Arial"/>
          <w:sz w:val="24"/>
          <w:szCs w:val="24"/>
          <w:lang w:eastAsia="sl-SI"/>
        </w:rPr>
        <w:t xml:space="preserve"> povezano z dogodkom večjega obsega neurje</w:t>
      </w:r>
      <w:r w:rsidR="00225B65">
        <w:rPr>
          <w:rFonts w:ascii="Arial" w:eastAsia="Times New Roman" w:hAnsi="Arial" w:cs="Arial"/>
          <w:sz w:val="24"/>
          <w:szCs w:val="24"/>
          <w:lang w:eastAsia="sl-SI"/>
        </w:rPr>
        <w:t xml:space="preserve">). </w:t>
      </w:r>
    </w:p>
    <w:p w:rsidR="00251033" w:rsidRDefault="00251033" w:rsidP="00251033">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Največje število dohodnih klicev po mesecih in vrstnem redu je bilo marca, avgusta in julija. </w:t>
      </w:r>
    </w:p>
    <w:p w:rsidR="00A709C4" w:rsidRDefault="00A709C4" w:rsidP="006C5228">
      <w:pPr>
        <w:spacing w:before="100" w:beforeAutospacing="1" w:after="100" w:afterAutospacing="1" w:line="240" w:lineRule="auto"/>
        <w:jc w:val="both"/>
        <w:rPr>
          <w:rFonts w:ascii="Arial" w:eastAsia="Times New Roman" w:hAnsi="Arial" w:cs="Arial"/>
          <w:sz w:val="24"/>
          <w:szCs w:val="24"/>
          <w:lang w:eastAsia="sl-SI"/>
        </w:rPr>
      </w:pPr>
    </w:p>
    <w:p w:rsidR="00316777" w:rsidRDefault="00316777" w:rsidP="00316777">
      <w:pPr>
        <w:keepNext/>
        <w:spacing w:before="100" w:beforeAutospacing="1" w:after="100" w:afterAutospacing="1" w:line="240" w:lineRule="auto"/>
        <w:jc w:val="both"/>
      </w:pPr>
      <w:r w:rsidRPr="00316777">
        <w:rPr>
          <w:rFonts w:ascii="Arial" w:eastAsia="Times New Roman" w:hAnsi="Arial" w:cs="Arial"/>
          <w:noProof/>
          <w:sz w:val="24"/>
          <w:szCs w:val="24"/>
          <w:lang w:eastAsia="sl-SI"/>
        </w:rPr>
        <w:drawing>
          <wp:inline distT="0" distB="0" distL="0" distR="0">
            <wp:extent cx="5760720" cy="3840480"/>
            <wp:effectExtent l="0" t="0" r="0" b="7620"/>
            <wp:docPr id="2" name="Slika 2" descr="Največje število klicev v enem dnevu je bilo dne 30.8.2020 od 9. do 18. ure in sicer Celje (724), Ptuj (706), Ljubljana (414), Nova Gorica (352), Brežice (246) od skupno 3.450 klicev.&#10;" title="Dohodni klici 2020 po dnevih po Regijskih centrih za obveščan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naP\Downloads\dohodni-klici-po-dnevi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316777" w:rsidRDefault="00316777" w:rsidP="00316777">
      <w:pPr>
        <w:pStyle w:val="Napis"/>
        <w:jc w:val="both"/>
      </w:pPr>
      <w:r>
        <w:t xml:space="preserve">Slika </w:t>
      </w:r>
      <w:r w:rsidR="00162189">
        <w:rPr>
          <w:noProof/>
        </w:rPr>
        <w:fldChar w:fldCharType="begin"/>
      </w:r>
      <w:r w:rsidR="00162189">
        <w:rPr>
          <w:noProof/>
        </w:rPr>
        <w:instrText xml:space="preserve"> SEQ Slika \* ARABIC </w:instrText>
      </w:r>
      <w:r w:rsidR="00162189">
        <w:rPr>
          <w:noProof/>
        </w:rPr>
        <w:fldChar w:fldCharType="separate"/>
      </w:r>
      <w:r w:rsidR="00F0217F">
        <w:rPr>
          <w:noProof/>
        </w:rPr>
        <w:t>3</w:t>
      </w:r>
      <w:r w:rsidR="00162189">
        <w:rPr>
          <w:noProof/>
        </w:rPr>
        <w:fldChar w:fldCharType="end"/>
      </w:r>
      <w:r>
        <w:t xml:space="preserve"> Dohodni klici 2020 po dnevih po Regijskih centrih za obveščanje</w:t>
      </w:r>
    </w:p>
    <w:p w:rsidR="00E1543C" w:rsidRPr="00E1543C" w:rsidRDefault="00E1543C" w:rsidP="00E1543C"/>
    <w:p w:rsidR="00724CE9" w:rsidRDefault="005717B5" w:rsidP="00931432">
      <w:pPr>
        <w:spacing w:before="100" w:beforeAutospacing="1" w:after="100" w:afterAutospacing="1" w:line="240" w:lineRule="auto"/>
        <w:jc w:val="both"/>
        <w:rPr>
          <w:rFonts w:ascii="Arial" w:eastAsia="Times New Roman" w:hAnsi="Arial" w:cs="Arial"/>
          <w:sz w:val="24"/>
          <w:szCs w:val="24"/>
          <w:lang w:eastAsia="sl-SI"/>
        </w:rPr>
      </w:pPr>
      <w:r w:rsidRPr="00E22AAC">
        <w:rPr>
          <w:rFonts w:ascii="Arial" w:eastAsia="Times New Roman" w:hAnsi="Arial" w:cs="Arial"/>
          <w:sz w:val="24"/>
          <w:szCs w:val="24"/>
          <w:lang w:eastAsia="sl-SI"/>
        </w:rPr>
        <w:lastRenderedPageBreak/>
        <w:t>V</w:t>
      </w:r>
      <w:r>
        <w:rPr>
          <w:rFonts w:ascii="Arial" w:eastAsia="Times New Roman" w:hAnsi="Arial" w:cs="Arial"/>
          <w:sz w:val="24"/>
          <w:szCs w:val="24"/>
          <w:lang w:eastAsia="sl-SI"/>
        </w:rPr>
        <w:t xml:space="preserve"> letu 2020</w:t>
      </w:r>
      <w:r w:rsidRPr="00E22AAC">
        <w:rPr>
          <w:rFonts w:ascii="Arial" w:eastAsia="Times New Roman" w:hAnsi="Arial" w:cs="Arial"/>
          <w:sz w:val="24"/>
          <w:szCs w:val="24"/>
          <w:lang w:eastAsia="sl-SI"/>
        </w:rPr>
        <w:t xml:space="preserve"> </w:t>
      </w:r>
      <w:r>
        <w:rPr>
          <w:rFonts w:ascii="Arial" w:eastAsia="Times New Roman" w:hAnsi="Arial" w:cs="Arial"/>
          <w:sz w:val="24"/>
          <w:szCs w:val="24"/>
          <w:lang w:eastAsia="sl-SI"/>
        </w:rPr>
        <w:t>so operaterji opravili tudi 262.682 povratnih (odhodnih) klicev in 51.389 prevezav.</w:t>
      </w:r>
    </w:p>
    <w:p w:rsidR="00724CE9" w:rsidRDefault="00170D69" w:rsidP="00931432">
      <w:pPr>
        <w:spacing w:before="100" w:beforeAutospacing="1" w:after="100" w:afterAutospacing="1" w:line="240" w:lineRule="auto"/>
        <w:jc w:val="both"/>
        <w:rPr>
          <w:rFonts w:ascii="Arial" w:eastAsia="Times New Roman" w:hAnsi="Arial" w:cs="Arial"/>
          <w:sz w:val="24"/>
          <w:szCs w:val="24"/>
          <w:lang w:eastAsia="sl-SI"/>
        </w:rPr>
      </w:pPr>
      <w:r w:rsidRPr="00170D69">
        <w:rPr>
          <w:rFonts w:ascii="Arial" w:eastAsia="Times New Roman" w:hAnsi="Arial" w:cs="Arial"/>
          <w:sz w:val="24"/>
          <w:szCs w:val="24"/>
          <w:lang w:eastAsia="sl-SI"/>
        </w:rPr>
        <w:t>Večina klicev na 112 pomeni aktiviranje predvidenih reševalnih enot</w:t>
      </w:r>
      <w:r>
        <w:rPr>
          <w:rFonts w:ascii="Arial" w:eastAsia="Times New Roman" w:hAnsi="Arial" w:cs="Arial"/>
          <w:sz w:val="24"/>
          <w:szCs w:val="24"/>
          <w:lang w:eastAsia="sl-SI"/>
        </w:rPr>
        <w:t xml:space="preserve"> in intervencijo. Tudi leta 2020</w:t>
      </w:r>
      <w:r w:rsidRPr="00170D69">
        <w:rPr>
          <w:rFonts w:ascii="Arial" w:eastAsia="Times New Roman" w:hAnsi="Arial" w:cs="Arial"/>
          <w:sz w:val="24"/>
          <w:szCs w:val="24"/>
          <w:lang w:eastAsia="sl-SI"/>
        </w:rPr>
        <w:t xml:space="preserve"> s</w:t>
      </w:r>
      <w:r>
        <w:rPr>
          <w:rFonts w:ascii="Arial" w:eastAsia="Times New Roman" w:hAnsi="Arial" w:cs="Arial"/>
          <w:sz w:val="24"/>
          <w:szCs w:val="24"/>
          <w:lang w:eastAsia="sl-SI"/>
        </w:rPr>
        <w:t xml:space="preserve">o ljudje največkrat, več kot 142.522-krat </w:t>
      </w:r>
      <w:r w:rsidRPr="00170D69">
        <w:rPr>
          <w:rFonts w:ascii="Arial" w:eastAsia="Times New Roman" w:hAnsi="Arial" w:cs="Arial"/>
          <w:sz w:val="24"/>
          <w:szCs w:val="24"/>
          <w:lang w:eastAsia="sl-SI"/>
        </w:rPr>
        <w:t xml:space="preserve">klicali, ker so potrebovali nujno medicinsko pomoč. V takšnih primerih operater v regijskem centru za obveščanje preveže klic v najbližji center za nujno medicinsko pomoč. Podatke, koliko klicem za nujno medicinsko pomoč je sledila intervencija, imajo centri za nujno medicinsko pomoč, ki tudi odločajo o nujnosti in vrsti intervencije. </w:t>
      </w:r>
      <w:r>
        <w:rPr>
          <w:rFonts w:ascii="Arial" w:eastAsia="Times New Roman" w:hAnsi="Arial" w:cs="Arial"/>
          <w:sz w:val="24"/>
          <w:szCs w:val="24"/>
          <w:lang w:eastAsia="sl-SI"/>
        </w:rPr>
        <w:t>Poleg tega so operaterji opravili tudi 12.815 klicev na policijo, 19.096 na gasilce in 88.249 na druge službe zaščite in reševanja.</w:t>
      </w:r>
    </w:p>
    <w:p w:rsidR="005717B5" w:rsidRPr="00AB610D" w:rsidRDefault="005717B5" w:rsidP="00931432">
      <w:pPr>
        <w:spacing w:before="100" w:beforeAutospacing="1" w:after="100" w:afterAutospacing="1" w:line="240" w:lineRule="auto"/>
        <w:jc w:val="both"/>
        <w:rPr>
          <w:rFonts w:ascii="Arial" w:eastAsia="Times New Roman" w:hAnsi="Arial" w:cs="Arial"/>
          <w:sz w:val="24"/>
          <w:szCs w:val="24"/>
          <w:lang w:eastAsia="sl-SI"/>
        </w:rPr>
      </w:pPr>
      <w:r w:rsidRPr="00AB610D">
        <w:rPr>
          <w:rFonts w:ascii="Arial" w:eastAsia="Times New Roman" w:hAnsi="Arial" w:cs="Arial"/>
          <w:sz w:val="24"/>
          <w:szCs w:val="24"/>
          <w:lang w:eastAsia="sl-SI"/>
        </w:rPr>
        <w:t>Operaterji so se na 90</w:t>
      </w:r>
      <w:r>
        <w:rPr>
          <w:rFonts w:ascii="Arial" w:eastAsia="Times New Roman" w:hAnsi="Arial" w:cs="Arial"/>
          <w:sz w:val="24"/>
          <w:szCs w:val="24"/>
          <w:lang w:eastAsia="sl-SI"/>
        </w:rPr>
        <w:t xml:space="preserve"> odstotkov klicev odzvali v 5,53</w:t>
      </w:r>
      <w:r w:rsidRPr="00AB610D">
        <w:rPr>
          <w:rFonts w:ascii="Arial" w:eastAsia="Times New Roman" w:hAnsi="Arial" w:cs="Arial"/>
          <w:sz w:val="24"/>
          <w:szCs w:val="24"/>
          <w:lang w:eastAsia="sl-SI"/>
        </w:rPr>
        <w:t xml:space="preserve"> sekunde. V 90 odstotkih vseh klic</w:t>
      </w:r>
      <w:r>
        <w:rPr>
          <w:rFonts w:ascii="Arial" w:eastAsia="Times New Roman" w:hAnsi="Arial" w:cs="Arial"/>
          <w:sz w:val="24"/>
          <w:szCs w:val="24"/>
          <w:lang w:eastAsia="sl-SI"/>
        </w:rPr>
        <w:t>ev je pogovor trajal manj kot 81,13</w:t>
      </w:r>
      <w:r w:rsidRPr="00AB610D">
        <w:rPr>
          <w:rFonts w:ascii="Arial" w:eastAsia="Times New Roman" w:hAnsi="Arial" w:cs="Arial"/>
          <w:sz w:val="24"/>
          <w:szCs w:val="24"/>
          <w:lang w:eastAsia="sl-SI"/>
        </w:rPr>
        <w:t xml:space="preserve"> sekunde, največ </w:t>
      </w:r>
      <w:r>
        <w:rPr>
          <w:rFonts w:ascii="Arial" w:eastAsia="Times New Roman" w:hAnsi="Arial" w:cs="Arial"/>
          <w:sz w:val="24"/>
          <w:szCs w:val="24"/>
          <w:lang w:eastAsia="sl-SI"/>
        </w:rPr>
        <w:t>pa je trajal pogovor okoli 125</w:t>
      </w:r>
      <w:r w:rsidRPr="00AB610D">
        <w:rPr>
          <w:rFonts w:ascii="Arial" w:eastAsia="Times New Roman" w:hAnsi="Arial" w:cs="Arial"/>
          <w:sz w:val="24"/>
          <w:szCs w:val="24"/>
          <w:lang w:eastAsia="sl-SI"/>
        </w:rPr>
        <w:t xml:space="preserve"> sekund. </w:t>
      </w:r>
    </w:p>
    <w:p w:rsidR="006933F7" w:rsidRPr="0032590F" w:rsidRDefault="005717B5" w:rsidP="00A22E48">
      <w:pPr>
        <w:spacing w:before="100" w:beforeAutospacing="1" w:after="100" w:afterAutospacing="1" w:line="240" w:lineRule="auto"/>
        <w:rPr>
          <w:rFonts w:ascii="Arial" w:eastAsia="Times New Roman" w:hAnsi="Arial" w:cs="Arial"/>
          <w:sz w:val="24"/>
          <w:szCs w:val="24"/>
          <w:lang w:eastAsia="sl-SI"/>
        </w:rPr>
      </w:pPr>
      <w:r w:rsidRPr="0032590F">
        <w:rPr>
          <w:rFonts w:ascii="Arial" w:eastAsia="Times New Roman" w:hAnsi="Arial" w:cs="Arial"/>
          <w:sz w:val="24"/>
          <w:szCs w:val="24"/>
          <w:lang w:eastAsia="sl-SI"/>
        </w:rPr>
        <w:t xml:space="preserve">V 13. Regijskih centrih za obveščanje smo v </w:t>
      </w:r>
      <w:r w:rsidR="0032590F" w:rsidRPr="0032590F">
        <w:rPr>
          <w:rFonts w:ascii="Arial" w:eastAsia="Times New Roman" w:hAnsi="Arial" w:cs="Arial"/>
          <w:sz w:val="24"/>
          <w:szCs w:val="24"/>
          <w:lang w:eastAsia="sl-SI"/>
        </w:rPr>
        <w:t>letu 2020 skupno prejeli tudi 12.833</w:t>
      </w:r>
      <w:r w:rsidRPr="0032590F">
        <w:rPr>
          <w:rFonts w:ascii="Arial" w:eastAsia="Times New Roman" w:hAnsi="Arial" w:cs="Arial"/>
          <w:sz w:val="24"/>
          <w:szCs w:val="24"/>
          <w:lang w:eastAsia="sl-SI"/>
        </w:rPr>
        <w:t xml:space="preserve"> SMS sporočil na številko v sili 112. </w:t>
      </w:r>
    </w:p>
    <w:p w:rsidR="00CA5D9E" w:rsidRPr="001B66A6" w:rsidRDefault="00CA5D9E" w:rsidP="00CA5D9E">
      <w:pPr>
        <w:spacing w:before="100" w:beforeAutospacing="1" w:after="100" w:afterAutospacing="1" w:line="240" w:lineRule="auto"/>
        <w:jc w:val="both"/>
        <w:rPr>
          <w:rFonts w:ascii="Arial" w:eastAsia="Times New Roman" w:hAnsi="Arial" w:cs="Arial"/>
          <w:sz w:val="24"/>
          <w:szCs w:val="24"/>
          <w:lang w:eastAsia="sl-SI"/>
        </w:rPr>
      </w:pPr>
      <w:r w:rsidRPr="00CA5D9E">
        <w:rPr>
          <w:rFonts w:ascii="Arial" w:eastAsia="Times New Roman" w:hAnsi="Arial" w:cs="Arial"/>
          <w:sz w:val="24"/>
          <w:szCs w:val="24"/>
          <w:lang w:eastAsia="sl-SI"/>
        </w:rPr>
        <w:t>URSZR hrani podatke o intervencijah vseh drugih reševalnih služb. Ob podrobnejšem pregledu dogodkov</w:t>
      </w:r>
      <w:r w:rsidR="009276F0">
        <w:rPr>
          <w:rFonts w:ascii="Arial" w:eastAsia="Times New Roman" w:hAnsi="Arial" w:cs="Arial"/>
          <w:sz w:val="24"/>
          <w:szCs w:val="24"/>
          <w:lang w:eastAsia="sl-SI"/>
        </w:rPr>
        <w:t xml:space="preserve"> (vpogled na dan 14.1.2021 na podlagi zaključenih in potrjenih poročil vodij intervencij v sistemu SPIN) je bilo zaradi nesreč 22.182</w:t>
      </w:r>
      <w:r w:rsidRPr="00CA5D9E">
        <w:rPr>
          <w:rFonts w:ascii="Arial" w:eastAsia="Times New Roman" w:hAnsi="Arial" w:cs="Arial"/>
          <w:sz w:val="24"/>
          <w:szCs w:val="24"/>
          <w:lang w:eastAsia="sl-SI"/>
        </w:rPr>
        <w:t xml:space="preserve"> intervencij, </w:t>
      </w:r>
      <w:r w:rsidR="009276F0">
        <w:rPr>
          <w:rFonts w:ascii="Arial" w:eastAsia="Times New Roman" w:hAnsi="Arial" w:cs="Arial"/>
          <w:sz w:val="24"/>
          <w:szCs w:val="24"/>
          <w:lang w:eastAsia="sl-SI"/>
        </w:rPr>
        <w:t>na katerih je sodelovalo 174.221</w:t>
      </w:r>
      <w:r w:rsidRPr="00CA5D9E">
        <w:rPr>
          <w:rFonts w:ascii="Arial" w:eastAsia="Times New Roman" w:hAnsi="Arial" w:cs="Arial"/>
          <w:sz w:val="24"/>
          <w:szCs w:val="24"/>
          <w:lang w:eastAsia="sl-SI"/>
        </w:rPr>
        <w:t xml:space="preserve"> pripadnikov različnih sil za ZRP. Na</w:t>
      </w:r>
      <w:r w:rsidR="009276F0">
        <w:rPr>
          <w:rFonts w:ascii="Arial" w:eastAsia="Times New Roman" w:hAnsi="Arial" w:cs="Arial"/>
          <w:sz w:val="24"/>
          <w:szCs w:val="24"/>
          <w:lang w:eastAsia="sl-SI"/>
        </w:rPr>
        <w:t>jveč intervencij je bilo februarja (3.003), sledijo avgust (2.951</w:t>
      </w:r>
      <w:r w:rsidRPr="00CA5D9E">
        <w:rPr>
          <w:rFonts w:ascii="Arial" w:eastAsia="Times New Roman" w:hAnsi="Arial" w:cs="Arial"/>
          <w:sz w:val="24"/>
          <w:szCs w:val="24"/>
          <w:lang w:eastAsia="sl-SI"/>
        </w:rPr>
        <w:t xml:space="preserve">), in </w:t>
      </w:r>
      <w:r w:rsidR="009276F0">
        <w:rPr>
          <w:rFonts w:ascii="Arial" w:eastAsia="Times New Roman" w:hAnsi="Arial" w:cs="Arial"/>
          <w:sz w:val="24"/>
          <w:szCs w:val="24"/>
          <w:lang w:eastAsia="sl-SI"/>
        </w:rPr>
        <w:t>julij (2.627</w:t>
      </w:r>
      <w:r w:rsidRPr="00CA5D9E">
        <w:rPr>
          <w:rFonts w:ascii="Arial" w:eastAsia="Times New Roman" w:hAnsi="Arial" w:cs="Arial"/>
          <w:sz w:val="24"/>
          <w:szCs w:val="24"/>
          <w:lang w:eastAsia="sl-SI"/>
        </w:rPr>
        <w:t>). Največ posredovanj so opravila prostovoljna t</w:t>
      </w:r>
      <w:r w:rsidR="00DC5E53">
        <w:rPr>
          <w:rFonts w:ascii="Arial" w:eastAsia="Times New Roman" w:hAnsi="Arial" w:cs="Arial"/>
          <w:sz w:val="24"/>
          <w:szCs w:val="24"/>
          <w:lang w:eastAsia="sl-SI"/>
        </w:rPr>
        <w:t>eritorialna gasilska društva (18.647), poklicne gasilske enote (9.288</w:t>
      </w:r>
      <w:r w:rsidRPr="00CA5D9E">
        <w:rPr>
          <w:rFonts w:ascii="Arial" w:eastAsia="Times New Roman" w:hAnsi="Arial" w:cs="Arial"/>
          <w:sz w:val="24"/>
          <w:szCs w:val="24"/>
          <w:lang w:eastAsia="sl-SI"/>
        </w:rPr>
        <w:t>), Gorsk</w:t>
      </w:r>
      <w:r w:rsidR="00DC5E53">
        <w:rPr>
          <w:rFonts w:ascii="Arial" w:eastAsia="Times New Roman" w:hAnsi="Arial" w:cs="Arial"/>
          <w:sz w:val="24"/>
          <w:szCs w:val="24"/>
          <w:lang w:eastAsia="sl-SI"/>
        </w:rPr>
        <w:t>a reševalna zveza Slovenije (599 – opomba: v to število je zajetih tudi 6 posredovanj vodnikov reševalnih psov GRZS</w:t>
      </w:r>
      <w:r w:rsidRPr="00CA5D9E">
        <w:rPr>
          <w:rFonts w:ascii="Arial" w:eastAsia="Times New Roman" w:hAnsi="Arial" w:cs="Arial"/>
          <w:sz w:val="24"/>
          <w:szCs w:val="24"/>
          <w:lang w:eastAsia="sl-SI"/>
        </w:rPr>
        <w:t>) in Državn</w:t>
      </w:r>
      <w:r w:rsidR="00DC5E53">
        <w:rPr>
          <w:rFonts w:ascii="Arial" w:eastAsia="Times New Roman" w:hAnsi="Arial" w:cs="Arial"/>
          <w:sz w:val="24"/>
          <w:szCs w:val="24"/>
          <w:lang w:eastAsia="sl-SI"/>
        </w:rPr>
        <w:t>a enota za varstvo pred NUS (521</w:t>
      </w:r>
      <w:r w:rsidRPr="00CA5D9E">
        <w:rPr>
          <w:rFonts w:ascii="Arial" w:eastAsia="Times New Roman" w:hAnsi="Arial" w:cs="Arial"/>
          <w:sz w:val="24"/>
          <w:szCs w:val="24"/>
          <w:lang w:eastAsia="sl-SI"/>
        </w:rPr>
        <w:t>).</w:t>
      </w:r>
      <w:r w:rsidR="001B66A6" w:rsidRPr="001B66A6">
        <w:rPr>
          <w:rFonts w:ascii="Times New Roman" w:eastAsia="Times New Roman" w:hAnsi="Times New Roman" w:cs="Times New Roman"/>
          <w:sz w:val="24"/>
          <w:szCs w:val="24"/>
          <w:lang w:eastAsia="sl-SI"/>
        </w:rPr>
        <w:t xml:space="preserve"> </w:t>
      </w:r>
    </w:p>
    <w:p w:rsidR="0019545A" w:rsidRDefault="00A22E48" w:rsidP="00CA5D9E">
      <w:pPr>
        <w:jc w:val="both"/>
        <w:rPr>
          <w:rFonts w:ascii="Arial" w:eastAsia="Times New Roman" w:hAnsi="Arial" w:cs="Arial"/>
          <w:sz w:val="24"/>
          <w:szCs w:val="24"/>
          <w:lang w:eastAsia="sl-SI"/>
        </w:rPr>
      </w:pPr>
      <w:r>
        <w:rPr>
          <w:rFonts w:ascii="Arial" w:eastAsia="Times New Roman" w:hAnsi="Arial" w:cs="Arial"/>
          <w:sz w:val="24"/>
          <w:szCs w:val="24"/>
          <w:lang w:eastAsia="sl-SI"/>
        </w:rPr>
        <w:t>V letu</w:t>
      </w:r>
      <w:r w:rsidR="00E8771E">
        <w:rPr>
          <w:rFonts w:ascii="Arial" w:eastAsia="Times New Roman" w:hAnsi="Arial" w:cs="Arial"/>
          <w:sz w:val="24"/>
          <w:szCs w:val="24"/>
          <w:lang w:eastAsia="sl-SI"/>
        </w:rPr>
        <w:t xml:space="preserve"> 2020 smo največkrat aktivirali gasilce, in sicer 28.127-krat, gorske reševalce 593-krat, 83</w:t>
      </w:r>
      <w:r w:rsidR="00624BA8" w:rsidRPr="00E22AAC">
        <w:rPr>
          <w:rFonts w:ascii="Arial" w:eastAsia="Times New Roman" w:hAnsi="Arial" w:cs="Arial"/>
          <w:sz w:val="24"/>
          <w:szCs w:val="24"/>
          <w:lang w:eastAsia="sl-SI"/>
        </w:rPr>
        <w:t>-krat pa enote z reševalnimi psi oziroma vse</w:t>
      </w:r>
      <w:r w:rsidR="00E8771E">
        <w:rPr>
          <w:rFonts w:ascii="Arial" w:eastAsia="Times New Roman" w:hAnsi="Arial" w:cs="Arial"/>
          <w:sz w:val="24"/>
          <w:szCs w:val="24"/>
          <w:lang w:eastAsia="sl-SI"/>
        </w:rPr>
        <w:t xml:space="preserve"> skupaj še z ostalimi enotami 28.845</w:t>
      </w:r>
      <w:r w:rsidR="00624BA8" w:rsidRPr="00E22AAC">
        <w:rPr>
          <w:rFonts w:ascii="Arial" w:eastAsia="Times New Roman" w:hAnsi="Arial" w:cs="Arial"/>
          <w:sz w:val="24"/>
          <w:szCs w:val="24"/>
          <w:lang w:eastAsia="sl-SI"/>
        </w:rPr>
        <w:t>-krat</w:t>
      </w:r>
      <w:r w:rsidR="00E8771E">
        <w:rPr>
          <w:rFonts w:ascii="Arial" w:eastAsia="Times New Roman" w:hAnsi="Arial" w:cs="Arial"/>
          <w:sz w:val="24"/>
          <w:szCs w:val="24"/>
          <w:lang w:eastAsia="sl-SI"/>
        </w:rPr>
        <w:t>.</w:t>
      </w:r>
    </w:p>
    <w:p w:rsidR="00363C19" w:rsidRDefault="00363C19" w:rsidP="00624BA8">
      <w:r>
        <w:t>Leto 2020</w:t>
      </w:r>
    </w:p>
    <w:tbl>
      <w:tblPr>
        <w:tblStyle w:val="Tabelamrea"/>
        <w:tblW w:w="0" w:type="auto"/>
        <w:tblLook w:val="04A0" w:firstRow="1" w:lastRow="0" w:firstColumn="1" w:lastColumn="0" w:noHBand="0" w:noVBand="1"/>
        <w:tblCaption w:val="Število aktiviranj in sodelujočih enot v letu 2020"/>
        <w:tblDescription w:val="Gorski reševalci 593 krat, Gasilci skupaj 28.127 krat, kinologi 83 krat, potapljači 30 krat."/>
      </w:tblPr>
      <w:tblGrid>
        <w:gridCol w:w="3020"/>
        <w:gridCol w:w="3021"/>
        <w:gridCol w:w="3021"/>
      </w:tblGrid>
      <w:tr w:rsidR="00363C19" w:rsidRPr="00162189" w:rsidTr="00E8771E">
        <w:trPr>
          <w:tblHeader/>
        </w:trPr>
        <w:tc>
          <w:tcPr>
            <w:tcW w:w="3020" w:type="dxa"/>
          </w:tcPr>
          <w:p w:rsidR="00363C19" w:rsidRPr="00162189" w:rsidRDefault="00363C19" w:rsidP="00624BA8">
            <w:pPr>
              <w:rPr>
                <w:rFonts w:ascii="Arial" w:hAnsi="Arial" w:cs="Arial"/>
                <w:sz w:val="24"/>
                <w:szCs w:val="24"/>
              </w:rPr>
            </w:pPr>
            <w:r w:rsidRPr="00162189">
              <w:rPr>
                <w:rFonts w:ascii="Arial" w:hAnsi="Arial" w:cs="Arial"/>
                <w:sz w:val="24"/>
                <w:szCs w:val="24"/>
              </w:rPr>
              <w:t>Vrsta enote</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Število aktiviranj</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Število sodelujočih</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Gorski reševalci</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593</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4.461</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Industrijske gasilske enote</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192</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543</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Jamarji</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12</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45</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Kinologi</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83</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422</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Prostovoljna teritorialna gasilska društva</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18.647</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130.064</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Poklicne gasilske enote</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9.288</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37.302</w:t>
            </w:r>
          </w:p>
        </w:tc>
      </w:tr>
      <w:tr w:rsidR="00363C19" w:rsidRPr="00162189" w:rsidTr="00363C19">
        <w:tc>
          <w:tcPr>
            <w:tcW w:w="3020" w:type="dxa"/>
          </w:tcPr>
          <w:p w:rsidR="00363C19" w:rsidRPr="00162189" w:rsidRDefault="00363C19" w:rsidP="00624BA8">
            <w:pPr>
              <w:rPr>
                <w:rFonts w:ascii="Arial" w:hAnsi="Arial" w:cs="Arial"/>
                <w:sz w:val="24"/>
                <w:szCs w:val="24"/>
              </w:rPr>
            </w:pPr>
            <w:r w:rsidRPr="00162189">
              <w:rPr>
                <w:rFonts w:ascii="Arial" w:eastAsia="Tahoma" w:hAnsi="Arial" w:cs="Arial"/>
                <w:color w:val="333333"/>
                <w:sz w:val="24"/>
                <w:szCs w:val="24"/>
              </w:rPr>
              <w:t>Potapljači</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30</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137</w:t>
            </w:r>
          </w:p>
        </w:tc>
      </w:tr>
      <w:tr w:rsidR="00363C19" w:rsidRPr="00162189" w:rsidTr="00363C19">
        <w:tc>
          <w:tcPr>
            <w:tcW w:w="3020" w:type="dxa"/>
          </w:tcPr>
          <w:p w:rsidR="00363C19" w:rsidRPr="00162189" w:rsidRDefault="00363C19" w:rsidP="00624BA8">
            <w:pPr>
              <w:rPr>
                <w:rFonts w:ascii="Arial" w:eastAsia="Tahoma" w:hAnsi="Arial" w:cs="Arial"/>
                <w:color w:val="333333"/>
                <w:sz w:val="24"/>
                <w:szCs w:val="24"/>
              </w:rPr>
            </w:pPr>
            <w:r w:rsidRPr="00162189">
              <w:rPr>
                <w:rFonts w:ascii="Arial" w:eastAsia="Tahoma" w:hAnsi="Arial" w:cs="Arial"/>
                <w:color w:val="333333"/>
                <w:sz w:val="24"/>
                <w:szCs w:val="24"/>
              </w:rPr>
              <w:t>Skupaj</w:t>
            </w:r>
          </w:p>
        </w:tc>
        <w:tc>
          <w:tcPr>
            <w:tcW w:w="3021" w:type="dxa"/>
          </w:tcPr>
          <w:p w:rsidR="00363C19" w:rsidRPr="00162189" w:rsidRDefault="00363C19" w:rsidP="00624BA8">
            <w:pPr>
              <w:rPr>
                <w:rFonts w:ascii="Arial" w:hAnsi="Arial" w:cs="Arial"/>
                <w:sz w:val="24"/>
                <w:szCs w:val="24"/>
              </w:rPr>
            </w:pPr>
            <w:r w:rsidRPr="00162189">
              <w:rPr>
                <w:rFonts w:ascii="Arial" w:hAnsi="Arial" w:cs="Arial"/>
                <w:sz w:val="24"/>
                <w:szCs w:val="24"/>
              </w:rPr>
              <w:t>28.845</w:t>
            </w:r>
          </w:p>
        </w:tc>
        <w:tc>
          <w:tcPr>
            <w:tcW w:w="3021" w:type="dxa"/>
          </w:tcPr>
          <w:p w:rsidR="00363C19" w:rsidRPr="00162189" w:rsidRDefault="00363C19" w:rsidP="00455622">
            <w:pPr>
              <w:keepNext/>
              <w:rPr>
                <w:rFonts w:ascii="Arial" w:hAnsi="Arial" w:cs="Arial"/>
                <w:sz w:val="24"/>
                <w:szCs w:val="24"/>
              </w:rPr>
            </w:pPr>
            <w:r w:rsidRPr="00162189">
              <w:rPr>
                <w:rFonts w:ascii="Arial" w:hAnsi="Arial" w:cs="Arial"/>
                <w:sz w:val="24"/>
                <w:szCs w:val="24"/>
              </w:rPr>
              <w:t>172.974</w:t>
            </w:r>
          </w:p>
        </w:tc>
      </w:tr>
    </w:tbl>
    <w:p w:rsidR="00363C19" w:rsidRDefault="00455622" w:rsidP="00455622">
      <w:pPr>
        <w:pStyle w:val="Napis"/>
      </w:pPr>
      <w:r>
        <w:t xml:space="preserve">Slika </w:t>
      </w:r>
      <w:r w:rsidR="004B608E">
        <w:rPr>
          <w:noProof/>
        </w:rPr>
        <w:fldChar w:fldCharType="begin"/>
      </w:r>
      <w:r w:rsidR="004B608E">
        <w:rPr>
          <w:noProof/>
        </w:rPr>
        <w:instrText xml:space="preserve"> SEQ Slika \* ARABIC </w:instrText>
      </w:r>
      <w:r w:rsidR="004B608E">
        <w:rPr>
          <w:noProof/>
        </w:rPr>
        <w:fldChar w:fldCharType="separate"/>
      </w:r>
      <w:r w:rsidR="00F0217F">
        <w:rPr>
          <w:noProof/>
        </w:rPr>
        <w:t>4</w:t>
      </w:r>
      <w:r w:rsidR="004B608E">
        <w:rPr>
          <w:noProof/>
        </w:rPr>
        <w:fldChar w:fldCharType="end"/>
      </w:r>
      <w:r>
        <w:t xml:space="preserve"> Število aktiviranj in število sodelujočih v letu 2020 je obdelano na dan 14.1.2021 na podlagi </w:t>
      </w:r>
      <w:proofErr w:type="spellStart"/>
      <w:r>
        <w:t>vnešenih</w:t>
      </w:r>
      <w:proofErr w:type="spellEnd"/>
      <w:r>
        <w:t xml:space="preserve"> in potrjenih podatkov vodij intervencij v poročila v Sistemu za poročanje in intervencije (SPIN).</w:t>
      </w:r>
    </w:p>
    <w:p w:rsidR="004926AD" w:rsidRDefault="004926AD" w:rsidP="004926AD"/>
    <w:p w:rsidR="00370D09" w:rsidRDefault="00370D09" w:rsidP="00370D09">
      <w:pPr>
        <w:spacing w:before="100" w:beforeAutospacing="1" w:after="100" w:afterAutospacing="1" w:line="240" w:lineRule="auto"/>
        <w:jc w:val="both"/>
        <w:rPr>
          <w:rFonts w:ascii="Arial" w:eastAsia="Times New Roman" w:hAnsi="Arial" w:cs="Arial"/>
          <w:b/>
          <w:bCs/>
          <w:sz w:val="24"/>
          <w:szCs w:val="24"/>
          <w:lang w:eastAsia="sl-SI"/>
        </w:rPr>
      </w:pPr>
    </w:p>
    <w:p w:rsidR="00370D09" w:rsidRPr="00370D09" w:rsidRDefault="00370D09" w:rsidP="0013652F">
      <w:pPr>
        <w:pStyle w:val="Naslov1"/>
        <w:rPr>
          <w:rFonts w:eastAsia="Times New Roman"/>
          <w:lang w:eastAsia="sl-SI"/>
        </w:rPr>
      </w:pPr>
      <w:r>
        <w:rPr>
          <w:rFonts w:eastAsia="Times New Roman"/>
          <w:lang w:eastAsia="sl-SI"/>
        </w:rPr>
        <w:t>Dogodki leta 2020</w:t>
      </w:r>
    </w:p>
    <w:p w:rsidR="00370D09" w:rsidRDefault="00370D09" w:rsidP="00370D09">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Leta 2020</w:t>
      </w:r>
      <w:r w:rsidRPr="00370D09">
        <w:rPr>
          <w:rFonts w:ascii="Arial" w:eastAsia="Times New Roman" w:hAnsi="Arial" w:cs="Arial"/>
          <w:sz w:val="24"/>
          <w:szCs w:val="24"/>
          <w:lang w:eastAsia="sl-SI"/>
        </w:rPr>
        <w:t xml:space="preserve"> je bilo v RS</w:t>
      </w:r>
      <w:r>
        <w:rPr>
          <w:rFonts w:ascii="Arial" w:eastAsia="Times New Roman" w:hAnsi="Arial" w:cs="Arial"/>
          <w:sz w:val="24"/>
          <w:szCs w:val="24"/>
          <w:lang w:eastAsia="sl-SI"/>
        </w:rPr>
        <w:t xml:space="preserve"> 16.895</w:t>
      </w:r>
      <w:r w:rsidRPr="00370D09">
        <w:rPr>
          <w:rFonts w:ascii="Arial" w:eastAsia="Times New Roman" w:hAnsi="Arial" w:cs="Arial"/>
          <w:sz w:val="24"/>
          <w:szCs w:val="24"/>
          <w:lang w:eastAsia="sl-SI"/>
        </w:rPr>
        <w:t xml:space="preserve"> različnih dogodkov (naravne in druge nesreče, nesreče v prometu, požari in eksplozije, onesnaženja, nesreče z nevarnimi snovmi, jedrski in drugi dogodki, najdbe NUS, motnje oskrbe in poškodbe objektov, tehnična in druga pomoč, nepotrebne oz. lažne intervencije), v katerih so poleg drugih služb posredovale tudi sile ZRP.</w:t>
      </w:r>
      <w:r w:rsidR="001B66A6">
        <w:rPr>
          <w:rFonts w:ascii="Arial" w:eastAsia="Times New Roman" w:hAnsi="Arial" w:cs="Arial"/>
          <w:sz w:val="24"/>
          <w:szCs w:val="24"/>
          <w:lang w:eastAsia="sl-SI"/>
        </w:rPr>
        <w:t xml:space="preserve"> </w:t>
      </w:r>
      <w:r w:rsidR="001B66A6" w:rsidRPr="001B66A6">
        <w:rPr>
          <w:rFonts w:ascii="Arial" w:eastAsia="Times New Roman" w:hAnsi="Arial" w:cs="Arial"/>
          <w:sz w:val="24"/>
          <w:szCs w:val="24"/>
          <w:lang w:eastAsia="sl-SI"/>
        </w:rPr>
        <w:t>S pravočasnim in učinkovitim ukrepanjem ter nudenjem pomoči prizadetim so sile za ZRP nedvomno prispevale k zmanjšanju škode in drugih posledic, ki so jih povzročile omenjene nesreče.</w:t>
      </w:r>
    </w:p>
    <w:tbl>
      <w:tblPr>
        <w:tblStyle w:val="Tabelamrea"/>
        <w:tblW w:w="0" w:type="auto"/>
        <w:tblLook w:val="04A0" w:firstRow="1" w:lastRow="0" w:firstColumn="1" w:lastColumn="0" w:noHBand="0" w:noVBand="1"/>
        <w:tblCaption w:val="Dogodki leta 2020"/>
      </w:tblPr>
      <w:tblGrid>
        <w:gridCol w:w="4531"/>
        <w:gridCol w:w="4531"/>
      </w:tblGrid>
      <w:tr w:rsidR="00370D09" w:rsidRPr="00162189" w:rsidTr="008312E0">
        <w:trPr>
          <w:tblHeader/>
        </w:trPr>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Dogodek</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Število dogodkov</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Naravne nesreče</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398</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Druge nesreče</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1.870</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Nesreče v prometu</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1.948</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Požari in eksplozije</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4.445</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Onesnaženja, nesreče z nevarnimi snovmi</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805</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Najdbe NUS</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437</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Tehnična in druga pomoč</w:t>
            </w:r>
          </w:p>
        </w:tc>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5.895</w:t>
            </w:r>
          </w:p>
        </w:tc>
      </w:tr>
      <w:tr w:rsidR="00370D09" w:rsidRPr="00162189" w:rsidTr="00370D09">
        <w:tc>
          <w:tcPr>
            <w:tcW w:w="4531" w:type="dxa"/>
          </w:tcPr>
          <w:p w:rsidR="00370D09" w:rsidRPr="00162189" w:rsidRDefault="00370D09" w:rsidP="00370D09">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Nepotrebne oz. lažne intervencije</w:t>
            </w:r>
          </w:p>
        </w:tc>
        <w:tc>
          <w:tcPr>
            <w:tcW w:w="4531" w:type="dxa"/>
          </w:tcPr>
          <w:p w:rsidR="00370D09" w:rsidRPr="00162189" w:rsidRDefault="00370D09" w:rsidP="00370D09">
            <w:pPr>
              <w:keepNext/>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941</w:t>
            </w:r>
          </w:p>
        </w:tc>
      </w:tr>
    </w:tbl>
    <w:p w:rsidR="00370D09" w:rsidRPr="00162189" w:rsidRDefault="00370D09" w:rsidP="00370D09">
      <w:pPr>
        <w:pStyle w:val="Napis"/>
        <w:rPr>
          <w:rFonts w:ascii="Arial" w:hAnsi="Arial" w:cs="Arial"/>
        </w:rPr>
      </w:pPr>
      <w:r w:rsidRPr="00162189">
        <w:rPr>
          <w:rFonts w:ascii="Arial" w:hAnsi="Arial" w:cs="Arial"/>
        </w:rPr>
        <w:t xml:space="preserve">Slika </w:t>
      </w:r>
      <w:r w:rsidRPr="00162189">
        <w:rPr>
          <w:rFonts w:ascii="Arial" w:hAnsi="Arial" w:cs="Arial"/>
        </w:rPr>
        <w:fldChar w:fldCharType="begin"/>
      </w:r>
      <w:r w:rsidRPr="00162189">
        <w:rPr>
          <w:rFonts w:ascii="Arial" w:hAnsi="Arial" w:cs="Arial"/>
        </w:rPr>
        <w:instrText xml:space="preserve"> SEQ Slika \* ARABIC </w:instrText>
      </w:r>
      <w:r w:rsidRPr="00162189">
        <w:rPr>
          <w:rFonts w:ascii="Arial" w:hAnsi="Arial" w:cs="Arial"/>
        </w:rPr>
        <w:fldChar w:fldCharType="separate"/>
      </w:r>
      <w:r w:rsidR="00F0217F">
        <w:rPr>
          <w:rFonts w:ascii="Arial" w:hAnsi="Arial" w:cs="Arial"/>
          <w:noProof/>
        </w:rPr>
        <w:t>5</w:t>
      </w:r>
      <w:r w:rsidRPr="00162189">
        <w:rPr>
          <w:rFonts w:ascii="Arial" w:hAnsi="Arial" w:cs="Arial"/>
        </w:rPr>
        <w:fldChar w:fldCharType="end"/>
      </w:r>
      <w:r w:rsidRPr="00162189">
        <w:rPr>
          <w:rFonts w:ascii="Arial" w:hAnsi="Arial" w:cs="Arial"/>
        </w:rPr>
        <w:t xml:space="preserve"> Dogodki leta 2020 so obdelani na podlagi vpisanih in potrenjih podatkov vodij intervencij</w:t>
      </w:r>
      <w:r w:rsidR="00FF1DB0" w:rsidRPr="00162189">
        <w:rPr>
          <w:rFonts w:ascii="Arial" w:hAnsi="Arial" w:cs="Arial"/>
        </w:rPr>
        <w:t xml:space="preserve"> in sodelujočih enot </w:t>
      </w:r>
      <w:r w:rsidRPr="00162189">
        <w:rPr>
          <w:rFonts w:ascii="Arial" w:hAnsi="Arial" w:cs="Arial"/>
        </w:rPr>
        <w:t xml:space="preserve"> v sistemu SPIN.  Zajem podatkov na dan 14.1.2021, spletna stran: </w:t>
      </w:r>
      <w:hyperlink r:id="rId10" w:history="1">
        <w:r w:rsidR="006C06A5" w:rsidRPr="00162189">
          <w:rPr>
            <w:rStyle w:val="Hiperpovezava"/>
            <w:rFonts w:ascii="Arial" w:hAnsi="Arial" w:cs="Arial"/>
          </w:rPr>
          <w:t>SPIN</w:t>
        </w:r>
      </w:hyperlink>
    </w:p>
    <w:p w:rsidR="008C6B77" w:rsidRPr="00162189" w:rsidRDefault="008C6B77" w:rsidP="008C6B77">
      <w:pPr>
        <w:rPr>
          <w:rFonts w:ascii="Arial" w:hAnsi="Arial" w:cs="Arial"/>
        </w:rPr>
      </w:pPr>
    </w:p>
    <w:tbl>
      <w:tblPr>
        <w:tblStyle w:val="Tabelamrea"/>
        <w:tblW w:w="0" w:type="auto"/>
        <w:tblLook w:val="04A0" w:firstRow="1" w:lastRow="0" w:firstColumn="1" w:lastColumn="0" w:noHBand="0" w:noVBand="1"/>
        <w:tblCaption w:val="Naravne nesreče leta 2020"/>
        <w:tblDescription w:val="Leta 2020 je bilo v RS 16.895 različnih dogodkov (naravne in druge nesreče, nesreče v prometu, požari in eksplozije, onesnaženja, nesreče z nevarnimi snovmi, jedrski in drugi dogodki, najdbe NUS, motnje oskrbe in poškodbe objektov, tehnična in druga pomoč, nepotrebne oz. lažne intervencije), v katerih so poleg drugih služb posredovale tudi sile ZRP. S pravočasnim in učinkovitim ukrepanjem ter nudenjem pomoči prizadetim so sile za ZRP nedvomno prispevale k zmanjšanju škode in drugih posledic, ki so jih povzročile omenjene nesreče."/>
      </w:tblPr>
      <w:tblGrid>
        <w:gridCol w:w="4531"/>
        <w:gridCol w:w="4531"/>
      </w:tblGrid>
      <w:tr w:rsidR="008C6B77" w:rsidRPr="00162189" w:rsidTr="00AB1068">
        <w:trPr>
          <w:tblHeader/>
        </w:trPr>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Dogodek Naravne nesreče</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Število dogodkov</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hAnsi="Arial" w:cs="Arial"/>
                <w:color w:val="333333"/>
                <w:sz w:val="24"/>
                <w:szCs w:val="24"/>
              </w:rPr>
              <w:t>Visoko plimovanje morja</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25</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Poplave</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113</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Plazovi</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53</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Visok sneg</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7</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Močan veter</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90</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Udari strel</w:t>
            </w:r>
          </w:p>
        </w:tc>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5</w:t>
            </w:r>
          </w:p>
        </w:tc>
      </w:tr>
      <w:tr w:rsidR="008C6B77" w:rsidRPr="00162189" w:rsidTr="00AB1068">
        <w:tc>
          <w:tcPr>
            <w:tcW w:w="4531" w:type="dxa"/>
          </w:tcPr>
          <w:p w:rsidR="008C6B77" w:rsidRPr="00162189" w:rsidRDefault="008C6B77" w:rsidP="00AB1068">
            <w:pPr>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Prekinitev prometa zaradi naravnih pojavov</w:t>
            </w:r>
          </w:p>
        </w:tc>
        <w:tc>
          <w:tcPr>
            <w:tcW w:w="4531" w:type="dxa"/>
          </w:tcPr>
          <w:p w:rsidR="008C6B77" w:rsidRPr="00162189" w:rsidRDefault="008C6B77" w:rsidP="00063D4D">
            <w:pPr>
              <w:keepNext/>
              <w:spacing w:before="100" w:beforeAutospacing="1" w:after="100" w:afterAutospacing="1"/>
              <w:jc w:val="both"/>
              <w:rPr>
                <w:rFonts w:ascii="Arial" w:eastAsia="Times New Roman" w:hAnsi="Arial" w:cs="Arial"/>
                <w:sz w:val="24"/>
                <w:szCs w:val="24"/>
                <w:lang w:eastAsia="sl-SI"/>
              </w:rPr>
            </w:pPr>
            <w:r w:rsidRPr="00162189">
              <w:rPr>
                <w:rFonts w:ascii="Arial" w:eastAsia="Times New Roman" w:hAnsi="Arial" w:cs="Arial"/>
                <w:sz w:val="24"/>
                <w:szCs w:val="24"/>
                <w:lang w:eastAsia="sl-SI"/>
              </w:rPr>
              <w:t>48</w:t>
            </w:r>
          </w:p>
        </w:tc>
      </w:tr>
    </w:tbl>
    <w:p w:rsidR="004926AD" w:rsidRDefault="00063D4D" w:rsidP="00404CB3">
      <w:pPr>
        <w:pStyle w:val="Napis"/>
        <w:rPr>
          <w:rStyle w:val="Hiperpovezava"/>
        </w:rPr>
      </w:pPr>
      <w:r>
        <w:t xml:space="preserve">Slika </w:t>
      </w:r>
      <w:r w:rsidR="004B608E">
        <w:rPr>
          <w:noProof/>
        </w:rPr>
        <w:fldChar w:fldCharType="begin"/>
      </w:r>
      <w:r w:rsidR="004B608E">
        <w:rPr>
          <w:noProof/>
        </w:rPr>
        <w:instrText xml:space="preserve"> SEQ Slika \* ARABIC </w:instrText>
      </w:r>
      <w:r w:rsidR="004B608E">
        <w:rPr>
          <w:noProof/>
        </w:rPr>
        <w:fldChar w:fldCharType="separate"/>
      </w:r>
      <w:r w:rsidR="00F0217F">
        <w:rPr>
          <w:noProof/>
        </w:rPr>
        <w:t>6</w:t>
      </w:r>
      <w:r w:rsidR="004B608E">
        <w:rPr>
          <w:noProof/>
        </w:rPr>
        <w:fldChar w:fldCharType="end"/>
      </w:r>
      <w:r>
        <w:t xml:space="preserve"> Podatki za dogodke Naravne nesreče v letu 2020 so obdelani na podlagi vpisanih in potrenjih podatkov vodij intervencij in sodelujočih enot  v sistemu SPIN.  Zajem podatkov na dan 14.1.2021, spletna stran:</w:t>
      </w:r>
      <w:r w:rsidRPr="00370D09">
        <w:t xml:space="preserve"> </w:t>
      </w:r>
      <w:hyperlink r:id="rId11" w:history="1">
        <w:r>
          <w:rPr>
            <w:rStyle w:val="Hiperpovezava"/>
          </w:rPr>
          <w:t>SPIN</w:t>
        </w:r>
      </w:hyperlink>
    </w:p>
    <w:p w:rsidR="00F0217F" w:rsidRDefault="00F0217F" w:rsidP="00F0217F"/>
    <w:p w:rsidR="00F0217F" w:rsidRDefault="00F0217F" w:rsidP="00F0217F">
      <w:pPr>
        <w:pStyle w:val="Naslov1"/>
      </w:pPr>
      <w:r w:rsidRPr="00F0217F">
        <w:t>Statistika javnega alarmiranja v letu 2020</w:t>
      </w:r>
    </w:p>
    <w:p w:rsidR="00F0217F" w:rsidRDefault="00F0217F" w:rsidP="00F0217F"/>
    <w:p w:rsidR="00F0217F" w:rsidRDefault="00F0217F" w:rsidP="00F0217F">
      <w:pPr>
        <w:keepNext/>
      </w:pPr>
      <w:r w:rsidRPr="00F0217F">
        <w:rPr>
          <w:noProof/>
          <w:lang w:eastAsia="sl-SI"/>
        </w:rPr>
        <w:lastRenderedPageBreak/>
        <w:drawing>
          <wp:inline distT="0" distB="0" distL="0" distR="0">
            <wp:extent cx="5760720" cy="2219679"/>
            <wp:effectExtent l="0" t="0" r="0" b="9525"/>
            <wp:docPr id="4" name="Slika 4" descr="Tabela z grafom: Januar: 25 proženj, februar 54 proženj, marec 42 proženj, april 41 proženj, maj 35 proženj, junij 14 proženj, julij 17 proženj, avgust 24 proženj, september 17 proženj, oktober 11 proženj, november 15 proženj in december 34 proženj.&#10;" title="Statistika proženj javnega alarmiranja v let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19679"/>
                    </a:xfrm>
                    <a:prstGeom prst="rect">
                      <a:avLst/>
                    </a:prstGeom>
                    <a:noFill/>
                    <a:ln>
                      <a:noFill/>
                    </a:ln>
                  </pic:spPr>
                </pic:pic>
              </a:graphicData>
            </a:graphic>
          </wp:inline>
        </w:drawing>
      </w:r>
    </w:p>
    <w:p w:rsidR="00F0217F" w:rsidRDefault="00F0217F" w:rsidP="00F0217F">
      <w:pPr>
        <w:pStyle w:val="Napis"/>
      </w:pPr>
      <w:r>
        <w:t xml:space="preserve">Slika </w:t>
      </w:r>
      <w:fldSimple w:instr=" SEQ Slika \* ARABIC ">
        <w:r>
          <w:rPr>
            <w:noProof/>
          </w:rPr>
          <w:t>7</w:t>
        </w:r>
      </w:fldSimple>
      <w:r>
        <w:t xml:space="preserve"> Število proženj siren javnega alarmiranja po mesecih za leto 2020. Vir: URSZR, Služba za informatiko in komunikacije.</w:t>
      </w:r>
    </w:p>
    <w:p w:rsidR="00F0217F" w:rsidRDefault="00F0217F" w:rsidP="00F0217F"/>
    <w:p w:rsidR="00F0217F" w:rsidRDefault="00F0217F" w:rsidP="00F0217F">
      <w:pPr>
        <w:keepNext/>
      </w:pPr>
      <w:bookmarkStart w:id="0" w:name="_GoBack"/>
      <w:r w:rsidRPr="00F0217F">
        <w:rPr>
          <w:noProof/>
          <w:lang w:eastAsia="sl-SI"/>
        </w:rPr>
        <w:drawing>
          <wp:inline distT="0" distB="0" distL="0" distR="0">
            <wp:extent cx="5760720" cy="2224163"/>
            <wp:effectExtent l="0" t="0" r="0" b="5080"/>
            <wp:docPr id="8" name="Slika 8" descr="Grafikon po regijskih centrih za obveščanje za proženje siren: Brežice 87krat, Celje 84 krat, Maribor 53 krat, Novo mesto 53 krat, Koper 22 krat, Ptuj 11 krat, Postojna 7 krat, Murska Sobota 6 krat, Ljubljana 4 krat in Slovenj Gradec 2 krat." title="Število proženj siren javnega alarmiranja po regijskih centrih za obveš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224163"/>
                    </a:xfrm>
                    <a:prstGeom prst="rect">
                      <a:avLst/>
                    </a:prstGeom>
                    <a:noFill/>
                    <a:ln>
                      <a:noFill/>
                    </a:ln>
                  </pic:spPr>
                </pic:pic>
              </a:graphicData>
            </a:graphic>
          </wp:inline>
        </w:drawing>
      </w:r>
      <w:bookmarkEnd w:id="0"/>
    </w:p>
    <w:p w:rsidR="00F0217F" w:rsidRPr="00F0217F" w:rsidRDefault="00F0217F" w:rsidP="00F0217F">
      <w:pPr>
        <w:pStyle w:val="Napis"/>
      </w:pPr>
      <w:r>
        <w:t xml:space="preserve">Slika </w:t>
      </w:r>
      <w:fldSimple w:instr=" SEQ Slika \* ARABIC ">
        <w:r>
          <w:rPr>
            <w:noProof/>
          </w:rPr>
          <w:t>8</w:t>
        </w:r>
      </w:fldSimple>
      <w:r>
        <w:t xml:space="preserve"> Število proženj siren javnega alarmiranja po regijskih centrih za obveščanje</w:t>
      </w:r>
    </w:p>
    <w:p w:rsidR="00724CE9" w:rsidRDefault="00724CE9" w:rsidP="00724CE9"/>
    <w:p w:rsidR="00F0217F" w:rsidRPr="00724CE9" w:rsidRDefault="00F0217F" w:rsidP="00724CE9"/>
    <w:sectPr w:rsidR="00F0217F" w:rsidRPr="00724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A8"/>
    <w:rsid w:val="000615C4"/>
    <w:rsid w:val="00063D4D"/>
    <w:rsid w:val="000C1389"/>
    <w:rsid w:val="00106226"/>
    <w:rsid w:val="00117F11"/>
    <w:rsid w:val="0013652F"/>
    <w:rsid w:val="00162189"/>
    <w:rsid w:val="00170D69"/>
    <w:rsid w:val="00177878"/>
    <w:rsid w:val="00181F8A"/>
    <w:rsid w:val="0019545A"/>
    <w:rsid w:val="001B66A6"/>
    <w:rsid w:val="001C3084"/>
    <w:rsid w:val="00225B65"/>
    <w:rsid w:val="00251033"/>
    <w:rsid w:val="00275B2A"/>
    <w:rsid w:val="002873F4"/>
    <w:rsid w:val="00316777"/>
    <w:rsid w:val="0032590F"/>
    <w:rsid w:val="00333037"/>
    <w:rsid w:val="00363C19"/>
    <w:rsid w:val="00370D09"/>
    <w:rsid w:val="003F4185"/>
    <w:rsid w:val="00404CB3"/>
    <w:rsid w:val="00426C62"/>
    <w:rsid w:val="004456BF"/>
    <w:rsid w:val="004521EE"/>
    <w:rsid w:val="00455622"/>
    <w:rsid w:val="00481E28"/>
    <w:rsid w:val="004926AD"/>
    <w:rsid w:val="004B608E"/>
    <w:rsid w:val="004C65A0"/>
    <w:rsid w:val="005717B5"/>
    <w:rsid w:val="00595728"/>
    <w:rsid w:val="00624BA8"/>
    <w:rsid w:val="00667FD3"/>
    <w:rsid w:val="006933F7"/>
    <w:rsid w:val="006C06A5"/>
    <w:rsid w:val="006C5228"/>
    <w:rsid w:val="006D631B"/>
    <w:rsid w:val="006F479F"/>
    <w:rsid w:val="007106DC"/>
    <w:rsid w:val="00724CE9"/>
    <w:rsid w:val="00761293"/>
    <w:rsid w:val="007939C3"/>
    <w:rsid w:val="007D147C"/>
    <w:rsid w:val="0080492C"/>
    <w:rsid w:val="00812222"/>
    <w:rsid w:val="008312E0"/>
    <w:rsid w:val="00882FEE"/>
    <w:rsid w:val="008C6056"/>
    <w:rsid w:val="008C6B77"/>
    <w:rsid w:val="008E2D5A"/>
    <w:rsid w:val="009276F0"/>
    <w:rsid w:val="00931432"/>
    <w:rsid w:val="00946467"/>
    <w:rsid w:val="0095734A"/>
    <w:rsid w:val="00961FCA"/>
    <w:rsid w:val="009720E3"/>
    <w:rsid w:val="009B02E6"/>
    <w:rsid w:val="009F2445"/>
    <w:rsid w:val="00A132C2"/>
    <w:rsid w:val="00A22E48"/>
    <w:rsid w:val="00A53B70"/>
    <w:rsid w:val="00A671E2"/>
    <w:rsid w:val="00A709C4"/>
    <w:rsid w:val="00AA7E92"/>
    <w:rsid w:val="00AB3F20"/>
    <w:rsid w:val="00AB5B12"/>
    <w:rsid w:val="00AD775F"/>
    <w:rsid w:val="00AF2BB6"/>
    <w:rsid w:val="00B10FEB"/>
    <w:rsid w:val="00B30E8D"/>
    <w:rsid w:val="00B525D7"/>
    <w:rsid w:val="00BA7962"/>
    <w:rsid w:val="00BF689E"/>
    <w:rsid w:val="00C03E9E"/>
    <w:rsid w:val="00C75AA3"/>
    <w:rsid w:val="00C817CA"/>
    <w:rsid w:val="00CA5D9E"/>
    <w:rsid w:val="00CD4014"/>
    <w:rsid w:val="00D3115F"/>
    <w:rsid w:val="00D31CE8"/>
    <w:rsid w:val="00D3430E"/>
    <w:rsid w:val="00D936FE"/>
    <w:rsid w:val="00DC5E53"/>
    <w:rsid w:val="00DD2ECB"/>
    <w:rsid w:val="00DE70CF"/>
    <w:rsid w:val="00E1543C"/>
    <w:rsid w:val="00E568A6"/>
    <w:rsid w:val="00E8771E"/>
    <w:rsid w:val="00ED4A09"/>
    <w:rsid w:val="00F0217F"/>
    <w:rsid w:val="00F03266"/>
    <w:rsid w:val="00F17B12"/>
    <w:rsid w:val="00F42B46"/>
    <w:rsid w:val="00F931CD"/>
    <w:rsid w:val="00FD698B"/>
    <w:rsid w:val="00FE18B2"/>
    <w:rsid w:val="00FF1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7C1B935-0D57-4DAF-B5C8-7DE0FF0C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4BA8"/>
  </w:style>
  <w:style w:type="paragraph" w:styleId="Naslov1">
    <w:name w:val="heading 1"/>
    <w:basedOn w:val="Navaden"/>
    <w:next w:val="Navaden"/>
    <w:link w:val="Naslov1Znak"/>
    <w:uiPriority w:val="9"/>
    <w:qFormat/>
    <w:rsid w:val="00624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24BA8"/>
    <w:rPr>
      <w:rFonts w:asciiTheme="majorHAnsi" w:eastAsiaTheme="majorEastAsia" w:hAnsiTheme="majorHAnsi" w:cstheme="majorBidi"/>
      <w:color w:val="2E74B5" w:themeColor="accent1" w:themeShade="BF"/>
      <w:sz w:val="32"/>
      <w:szCs w:val="32"/>
    </w:rPr>
  </w:style>
  <w:style w:type="paragraph" w:styleId="Napis">
    <w:name w:val="caption"/>
    <w:basedOn w:val="Navaden"/>
    <w:next w:val="Navaden"/>
    <w:uiPriority w:val="35"/>
    <w:unhideWhenUsed/>
    <w:qFormat/>
    <w:rsid w:val="00D936FE"/>
    <w:pPr>
      <w:spacing w:after="200" w:line="240" w:lineRule="auto"/>
    </w:pPr>
    <w:rPr>
      <w:i/>
      <w:iCs/>
      <w:color w:val="44546A" w:themeColor="text2"/>
      <w:sz w:val="18"/>
      <w:szCs w:val="18"/>
    </w:rPr>
  </w:style>
  <w:style w:type="paragraph" w:styleId="Besedilooblaka">
    <w:name w:val="Balloon Text"/>
    <w:basedOn w:val="Navaden"/>
    <w:link w:val="BesedilooblakaZnak"/>
    <w:uiPriority w:val="99"/>
    <w:semiHidden/>
    <w:unhideWhenUsed/>
    <w:rsid w:val="009B02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02E6"/>
    <w:rPr>
      <w:rFonts w:ascii="Segoe UI" w:hAnsi="Segoe UI" w:cs="Segoe UI"/>
      <w:sz w:val="18"/>
      <w:szCs w:val="18"/>
    </w:rPr>
  </w:style>
  <w:style w:type="character" w:styleId="Hiperpovezava">
    <w:name w:val="Hyperlink"/>
    <w:basedOn w:val="Privzetapisavaodstavka"/>
    <w:uiPriority w:val="99"/>
    <w:unhideWhenUsed/>
    <w:rsid w:val="00D3115F"/>
    <w:rPr>
      <w:color w:val="0563C1" w:themeColor="hyperlink"/>
      <w:u w:val="single"/>
    </w:rPr>
  </w:style>
  <w:style w:type="paragraph" w:customStyle="1" w:styleId="EmptyCellLayoutStyle">
    <w:name w:val="EmptyCellLayoutStyle"/>
    <w:rsid w:val="00333037"/>
    <w:rPr>
      <w:rFonts w:ascii="Times New Roman" w:eastAsia="Times New Roman" w:hAnsi="Times New Roman" w:cs="Times New Roman"/>
      <w:sz w:val="2"/>
      <w:szCs w:val="20"/>
      <w:lang w:eastAsia="sl-SI"/>
    </w:rPr>
  </w:style>
  <w:style w:type="character" w:styleId="Pripombasklic">
    <w:name w:val="annotation reference"/>
    <w:basedOn w:val="Privzetapisavaodstavka"/>
    <w:uiPriority w:val="99"/>
    <w:semiHidden/>
    <w:unhideWhenUsed/>
    <w:rsid w:val="00333037"/>
    <w:rPr>
      <w:sz w:val="16"/>
      <w:szCs w:val="16"/>
    </w:rPr>
  </w:style>
  <w:style w:type="paragraph" w:styleId="Pripombabesedilo">
    <w:name w:val="annotation text"/>
    <w:basedOn w:val="Navaden"/>
    <w:link w:val="PripombabesediloZnak"/>
    <w:uiPriority w:val="99"/>
    <w:semiHidden/>
    <w:unhideWhenUsed/>
    <w:rsid w:val="0033303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33037"/>
    <w:rPr>
      <w:sz w:val="20"/>
      <w:szCs w:val="20"/>
    </w:rPr>
  </w:style>
  <w:style w:type="paragraph" w:styleId="Zadevapripombe">
    <w:name w:val="annotation subject"/>
    <w:basedOn w:val="Pripombabesedilo"/>
    <w:next w:val="Pripombabesedilo"/>
    <w:link w:val="ZadevapripombeZnak"/>
    <w:uiPriority w:val="99"/>
    <w:semiHidden/>
    <w:unhideWhenUsed/>
    <w:rsid w:val="00333037"/>
    <w:rPr>
      <w:b/>
      <w:bCs/>
    </w:rPr>
  </w:style>
  <w:style w:type="character" w:customStyle="1" w:styleId="ZadevapripombeZnak">
    <w:name w:val="Zadeva pripombe Znak"/>
    <w:basedOn w:val="PripombabesediloZnak"/>
    <w:link w:val="Zadevapripombe"/>
    <w:uiPriority w:val="99"/>
    <w:semiHidden/>
    <w:rsid w:val="00333037"/>
    <w:rPr>
      <w:b/>
      <w:bCs/>
      <w:sz w:val="20"/>
      <w:szCs w:val="20"/>
    </w:rPr>
  </w:style>
  <w:style w:type="table" w:styleId="Tabelamrea">
    <w:name w:val="Table Grid"/>
    <w:basedOn w:val="Navadnatabela"/>
    <w:uiPriority w:val="39"/>
    <w:rsid w:val="00AB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AB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AB3F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AB3F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AB3F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AB3F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AB3F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D343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343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D3430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D3430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D3430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D34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in3.sos112.si/javno/porocilo" TargetMode="External"/><Relationship Id="rId11" Type="http://schemas.openxmlformats.org/officeDocument/2006/relationships/hyperlink" Target="https://spin3.sos112.si/javno/porocilo" TargetMode="External"/><Relationship Id="rId5" Type="http://schemas.openxmlformats.org/officeDocument/2006/relationships/hyperlink" Target="https://statklic.sos112.si/" TargetMode="External"/><Relationship Id="rId15" Type="http://schemas.openxmlformats.org/officeDocument/2006/relationships/theme" Target="theme/theme1.xml"/><Relationship Id="rId10" Type="http://schemas.openxmlformats.org/officeDocument/2006/relationships/hyperlink" Target="https://spin3.sos112.si/javno/porocil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8E3BB8-FBB3-440D-8448-A96859A8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5</Pages>
  <Words>1085</Words>
  <Characters>6189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Predovnik</dc:creator>
  <cp:keywords/>
  <dc:description/>
  <cp:lastModifiedBy>Vesna Predovnik</cp:lastModifiedBy>
  <cp:revision>111</cp:revision>
  <cp:lastPrinted>2021-01-12T13:42:00Z</cp:lastPrinted>
  <dcterms:created xsi:type="dcterms:W3CDTF">2021-01-07T08:52:00Z</dcterms:created>
  <dcterms:modified xsi:type="dcterms:W3CDTF">2021-01-19T10:36:00Z</dcterms:modified>
</cp:coreProperties>
</file>