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B8" w:rsidRPr="00AA14B8" w:rsidRDefault="00AA14B8" w:rsidP="00AA14B8">
      <w:pPr>
        <w:keepNext/>
        <w:keepLines/>
        <w:spacing w:before="240" w:line="259" w:lineRule="auto"/>
        <w:jc w:val="center"/>
        <w:outlineLvl w:val="0"/>
        <w:rPr>
          <w:rFonts w:asciiTheme="majorHAnsi" w:hAnsiTheme="majorHAnsi" w:cstheme="majorBidi"/>
          <w:b/>
          <w:sz w:val="32"/>
          <w:szCs w:val="32"/>
          <w:lang w:val="sl-SI" w:eastAsia="sl-SI"/>
        </w:rPr>
      </w:pPr>
      <w:r w:rsidRPr="00AA14B8">
        <w:rPr>
          <w:rFonts w:asciiTheme="majorHAnsi" w:hAnsiTheme="majorHAnsi" w:cstheme="majorBidi"/>
          <w:b/>
          <w:sz w:val="32"/>
          <w:szCs w:val="32"/>
          <w:lang w:val="sl-SI" w:eastAsia="sl-SI"/>
        </w:rPr>
        <w:t>V</w:t>
      </w:r>
      <w:r w:rsidRPr="00AA14B8">
        <w:rPr>
          <w:rFonts w:asciiTheme="majorHAnsi" w:hAnsiTheme="majorHAnsi" w:cstheme="majorBidi"/>
          <w:b/>
          <w:sz w:val="32"/>
          <w:szCs w:val="32"/>
          <w:lang w:val="sl-SI" w:eastAsia="sl-SI"/>
        </w:rPr>
        <w:t xml:space="preserve"> letu 2022 smo prejeli 517.842</w:t>
      </w:r>
      <w:r w:rsidRPr="00AA14B8">
        <w:rPr>
          <w:rFonts w:asciiTheme="majorHAnsi" w:hAnsiTheme="majorHAnsi" w:cstheme="majorBidi"/>
          <w:b/>
          <w:sz w:val="32"/>
          <w:szCs w:val="32"/>
          <w:lang w:val="sl-SI" w:eastAsia="sl-SI"/>
        </w:rPr>
        <w:t xml:space="preserve"> klicev v Regijske centre za obveščanje  </w:t>
      </w:r>
    </w:p>
    <w:p w:rsidR="00C90004" w:rsidRPr="00AA14B8" w:rsidRDefault="00C90004" w:rsidP="00C90004">
      <w:pPr>
        <w:spacing w:line="240" w:lineRule="auto"/>
        <w:jc w:val="both"/>
        <w:rPr>
          <w:bCs/>
          <w:szCs w:val="20"/>
          <w:lang w:val="sl-SI" w:eastAsia="sl-SI"/>
        </w:rPr>
      </w:pPr>
    </w:p>
    <w:p w:rsidR="00AA14B8" w:rsidRDefault="00AA14B8" w:rsidP="00C90004">
      <w:pPr>
        <w:spacing w:line="240" w:lineRule="auto"/>
        <w:jc w:val="both"/>
        <w:rPr>
          <w:bCs/>
          <w:szCs w:val="20"/>
          <w:lang w:val="sl-SI" w:eastAsia="sl-SI"/>
        </w:rPr>
      </w:pPr>
    </w:p>
    <w:p w:rsidR="00C90004" w:rsidRPr="003B6696" w:rsidRDefault="00C90004" w:rsidP="00C90004">
      <w:pPr>
        <w:spacing w:line="240" w:lineRule="auto"/>
        <w:jc w:val="both"/>
        <w:rPr>
          <w:bCs/>
          <w:szCs w:val="20"/>
          <w:lang w:val="sl-SI" w:eastAsia="sl-SI"/>
        </w:rPr>
      </w:pPr>
      <w:r w:rsidRPr="003B6696">
        <w:rPr>
          <w:bCs/>
          <w:szCs w:val="20"/>
          <w:lang w:val="sl-SI" w:eastAsia="sl-SI"/>
        </w:rPr>
        <w:t xml:space="preserve">Operativno-komunikacijske naloge opazovanja, obveščanje in alarmiranja opravljajo 24 ur na dan, neprekinjeno 365 dni v letu Center za obveščanje RS (CORS) in 13 Regijskih centrov za obveščanje (ReCO), </w:t>
      </w:r>
      <w:bookmarkStart w:id="0" w:name="_GoBack"/>
      <w:bookmarkEnd w:id="0"/>
      <w:r w:rsidRPr="003B6696">
        <w:rPr>
          <w:bCs/>
          <w:szCs w:val="20"/>
          <w:lang w:val="sl-SI" w:eastAsia="sl-SI"/>
        </w:rPr>
        <w:t>ki se odzivajo na klic v sili 112. Z delovanjem ReCO so vsem državljanom zagotovljeni dostopnost nujne medicinske pomoči, hitro aktiviranje reševalcev, predvsem gasilcev, ter ustrezno odzivanje različnih reševalnih služb ob naravnih in drugih nesrečah.</w:t>
      </w:r>
    </w:p>
    <w:p w:rsidR="00C90004" w:rsidRDefault="00C90004" w:rsidP="004644FA">
      <w:pPr>
        <w:spacing w:line="240" w:lineRule="auto"/>
        <w:jc w:val="both"/>
        <w:rPr>
          <w:bCs/>
          <w:szCs w:val="20"/>
          <w:lang w:val="sl-SI" w:eastAsia="sl-SI"/>
        </w:rPr>
      </w:pPr>
    </w:p>
    <w:p w:rsidR="00C90004" w:rsidRPr="00C90004" w:rsidRDefault="00C90004" w:rsidP="00C90004">
      <w:pPr>
        <w:autoSpaceDE w:val="0"/>
        <w:autoSpaceDN w:val="0"/>
        <w:adjustRightInd w:val="0"/>
        <w:spacing w:line="240" w:lineRule="auto"/>
        <w:rPr>
          <w:rFonts w:eastAsiaTheme="minorHAnsi"/>
          <w:szCs w:val="20"/>
          <w:lang w:val="sl-SI"/>
        </w:rPr>
      </w:pPr>
      <w:r w:rsidRPr="00C90004">
        <w:rPr>
          <w:rFonts w:eastAsiaTheme="minorHAnsi"/>
          <w:szCs w:val="20"/>
          <w:lang w:val="sl-SI"/>
        </w:rPr>
        <w:t>V vseh ReCO je bilo leta 2022 prejetih 517.842 telefonskih klicev, kar je povprečno 14</w:t>
      </w:r>
      <w:r>
        <w:rPr>
          <w:rFonts w:eastAsiaTheme="minorHAnsi"/>
          <w:szCs w:val="20"/>
          <w:lang w:val="sl-SI"/>
        </w:rPr>
        <w:t xml:space="preserve">19 klicev na dan. Večina klicev </w:t>
      </w:r>
      <w:r w:rsidRPr="00C90004">
        <w:rPr>
          <w:rFonts w:eastAsiaTheme="minorHAnsi"/>
          <w:szCs w:val="20"/>
          <w:lang w:val="sl-SI"/>
        </w:rPr>
        <w:t>na telefonsko številko 112 pomeni aktiviranje predvidenih reševalnih enot in intervencijo. Tudi leta 20</w:t>
      </w:r>
      <w:r>
        <w:rPr>
          <w:rFonts w:eastAsiaTheme="minorHAnsi"/>
          <w:szCs w:val="20"/>
          <w:lang w:val="sl-SI"/>
        </w:rPr>
        <w:t xml:space="preserve">22 so ljudje </w:t>
      </w:r>
      <w:r w:rsidRPr="00C90004">
        <w:rPr>
          <w:rFonts w:eastAsiaTheme="minorHAnsi"/>
          <w:szCs w:val="20"/>
          <w:lang w:val="sl-SI"/>
        </w:rPr>
        <w:t>največkrat klicali, ker so potrebovali nujno medicinsko pomoč.</w:t>
      </w:r>
    </w:p>
    <w:p w:rsidR="00C90004" w:rsidRPr="00C90004" w:rsidRDefault="00C90004" w:rsidP="004644FA">
      <w:pPr>
        <w:spacing w:line="240" w:lineRule="auto"/>
        <w:jc w:val="both"/>
        <w:rPr>
          <w:bCs/>
          <w:szCs w:val="20"/>
          <w:lang w:val="sl-SI" w:eastAsia="sl-SI"/>
        </w:rPr>
      </w:pPr>
    </w:p>
    <w:p w:rsidR="00C90004" w:rsidRDefault="00C90004" w:rsidP="004644FA">
      <w:pPr>
        <w:spacing w:line="240" w:lineRule="auto"/>
        <w:jc w:val="both"/>
        <w:rPr>
          <w:bCs/>
          <w:szCs w:val="20"/>
          <w:lang w:val="sl-SI" w:eastAsia="sl-SI"/>
        </w:rPr>
      </w:pPr>
    </w:p>
    <w:p w:rsidR="004644FA" w:rsidRPr="00C90004" w:rsidRDefault="0051453E" w:rsidP="004644FA">
      <w:pPr>
        <w:spacing w:line="240" w:lineRule="auto"/>
        <w:jc w:val="both"/>
        <w:rPr>
          <w:bCs/>
          <w:color w:val="000000" w:themeColor="text1"/>
          <w:szCs w:val="20"/>
          <w:lang w:val="sl-SI" w:eastAsia="sl-SI"/>
        </w:rPr>
      </w:pPr>
      <w:r w:rsidRPr="00C90004">
        <w:rPr>
          <w:bCs/>
          <w:color w:val="000000" w:themeColor="text1"/>
          <w:szCs w:val="20"/>
          <w:lang w:val="sl-SI" w:eastAsia="sl-SI"/>
        </w:rPr>
        <w:t>Leta 2022</w:t>
      </w:r>
      <w:r w:rsidR="004644FA" w:rsidRPr="00C90004">
        <w:rPr>
          <w:bCs/>
          <w:color w:val="000000" w:themeColor="text1"/>
          <w:szCs w:val="20"/>
          <w:lang w:val="sl-SI" w:eastAsia="sl-SI"/>
        </w:rPr>
        <w:t xml:space="preserve"> je bilo v Sloveniji </w:t>
      </w:r>
      <w:r w:rsidRPr="00C90004">
        <w:rPr>
          <w:bCs/>
          <w:color w:val="000000" w:themeColor="text1"/>
          <w:szCs w:val="20"/>
          <w:lang w:val="sl-SI" w:eastAsia="sl-SI"/>
        </w:rPr>
        <w:t>21.156</w:t>
      </w:r>
      <w:r w:rsidR="004644FA" w:rsidRPr="00C90004">
        <w:rPr>
          <w:bCs/>
          <w:color w:val="000000" w:themeColor="text1"/>
          <w:szCs w:val="20"/>
          <w:lang w:val="sl-SI" w:eastAsia="sl-SI"/>
        </w:rPr>
        <w:t xml:space="preserve"> različnih dogodkov (naravne in druge nesreče, nesreče v prometu, požari in eksplozije, onesnaženja, nesreče z nevarnimi snovmi, jedrski in drugi dogodki, najdbe NUS, motnje oskrbe in poškodbe objektov, tehnična in druga pomoč, nepotrebne oz. lažne intervencije), v katerih so poleg drugih služb posredovale tudi sile ZRP. S pravočasnim in učinkovitim ukrepanjem ter nudenjem pomoči prizadetim so sile za ZRP nedvomno prispevale k zmanjšanju škode in drugih posledic, ki so jih povzročile omenjene nesreče.</w:t>
      </w:r>
    </w:p>
    <w:p w:rsidR="004644FA" w:rsidRPr="00C90004" w:rsidRDefault="004644FA" w:rsidP="004644FA">
      <w:pPr>
        <w:spacing w:line="240" w:lineRule="auto"/>
        <w:jc w:val="both"/>
        <w:rPr>
          <w:bCs/>
          <w:color w:val="000000" w:themeColor="text1"/>
          <w:szCs w:val="20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ogodki leta 2020"/>
      </w:tblPr>
      <w:tblGrid>
        <w:gridCol w:w="4531"/>
        <w:gridCol w:w="4531"/>
      </w:tblGrid>
      <w:tr w:rsidR="00C90004" w:rsidRPr="00C90004" w:rsidTr="004F43C5">
        <w:trPr>
          <w:tblHeader/>
        </w:trPr>
        <w:tc>
          <w:tcPr>
            <w:tcW w:w="4531" w:type="dxa"/>
          </w:tcPr>
          <w:p w:rsidR="004644FA" w:rsidRPr="00C90004" w:rsidRDefault="004644FA" w:rsidP="004F43C5">
            <w:pPr>
              <w:spacing w:line="240" w:lineRule="auto"/>
              <w:jc w:val="both"/>
              <w:rPr>
                <w:b/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b/>
                <w:color w:val="000000" w:themeColor="text1"/>
                <w:szCs w:val="20"/>
                <w:lang w:val="sl-SI" w:eastAsia="sl-SI"/>
              </w:rPr>
              <w:t>Dogodek</w:t>
            </w:r>
          </w:p>
        </w:tc>
        <w:tc>
          <w:tcPr>
            <w:tcW w:w="4531" w:type="dxa"/>
          </w:tcPr>
          <w:p w:rsidR="004644FA" w:rsidRPr="00C90004" w:rsidRDefault="004644FA" w:rsidP="004F43C5">
            <w:pPr>
              <w:spacing w:line="240" w:lineRule="auto"/>
              <w:jc w:val="center"/>
              <w:rPr>
                <w:b/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b/>
                <w:color w:val="000000" w:themeColor="text1"/>
                <w:szCs w:val="20"/>
                <w:lang w:val="sl-SI" w:eastAsia="sl-SI"/>
              </w:rPr>
              <w:t>Število dogodkov</w:t>
            </w:r>
          </w:p>
        </w:tc>
      </w:tr>
      <w:tr w:rsidR="00C90004" w:rsidRPr="00C90004" w:rsidTr="004F43C5">
        <w:tc>
          <w:tcPr>
            <w:tcW w:w="4531" w:type="dxa"/>
          </w:tcPr>
          <w:p w:rsidR="004644FA" w:rsidRPr="00C90004" w:rsidRDefault="004644FA" w:rsidP="004F43C5">
            <w:pPr>
              <w:spacing w:line="240" w:lineRule="auto"/>
              <w:jc w:val="both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Naravne nesreče</w:t>
            </w:r>
          </w:p>
        </w:tc>
        <w:tc>
          <w:tcPr>
            <w:tcW w:w="4531" w:type="dxa"/>
          </w:tcPr>
          <w:p w:rsidR="004644FA" w:rsidRPr="00C90004" w:rsidRDefault="0051453E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960</w:t>
            </w:r>
          </w:p>
        </w:tc>
      </w:tr>
      <w:tr w:rsidR="00C90004" w:rsidRPr="00C90004" w:rsidTr="004F43C5">
        <w:tc>
          <w:tcPr>
            <w:tcW w:w="4531" w:type="dxa"/>
          </w:tcPr>
          <w:p w:rsidR="004644FA" w:rsidRPr="00C90004" w:rsidRDefault="004644FA" w:rsidP="004F43C5">
            <w:pPr>
              <w:spacing w:line="240" w:lineRule="auto"/>
              <w:jc w:val="both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Druge nesreče</w:t>
            </w:r>
          </w:p>
        </w:tc>
        <w:tc>
          <w:tcPr>
            <w:tcW w:w="4531" w:type="dxa"/>
          </w:tcPr>
          <w:p w:rsidR="004644FA" w:rsidRPr="00C90004" w:rsidRDefault="0051453E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2.552</w:t>
            </w:r>
          </w:p>
        </w:tc>
      </w:tr>
      <w:tr w:rsidR="00C90004" w:rsidRPr="00C90004" w:rsidTr="004F43C5">
        <w:tc>
          <w:tcPr>
            <w:tcW w:w="4531" w:type="dxa"/>
          </w:tcPr>
          <w:p w:rsidR="004644FA" w:rsidRPr="00C90004" w:rsidRDefault="004644FA" w:rsidP="004F43C5">
            <w:pPr>
              <w:spacing w:line="240" w:lineRule="auto"/>
              <w:jc w:val="both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Nesreče v prometu</w:t>
            </w:r>
          </w:p>
        </w:tc>
        <w:tc>
          <w:tcPr>
            <w:tcW w:w="4531" w:type="dxa"/>
          </w:tcPr>
          <w:p w:rsidR="004644FA" w:rsidRPr="00C90004" w:rsidRDefault="0051453E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2.685</w:t>
            </w:r>
          </w:p>
        </w:tc>
      </w:tr>
      <w:tr w:rsidR="00C90004" w:rsidRPr="00C90004" w:rsidTr="004F43C5">
        <w:tc>
          <w:tcPr>
            <w:tcW w:w="4531" w:type="dxa"/>
          </w:tcPr>
          <w:p w:rsidR="004644FA" w:rsidRPr="00C90004" w:rsidRDefault="004644FA" w:rsidP="004F43C5">
            <w:pPr>
              <w:spacing w:line="240" w:lineRule="auto"/>
              <w:jc w:val="both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Požari in eksplozije</w:t>
            </w:r>
          </w:p>
        </w:tc>
        <w:tc>
          <w:tcPr>
            <w:tcW w:w="4531" w:type="dxa"/>
          </w:tcPr>
          <w:p w:rsidR="004644FA" w:rsidRPr="00C90004" w:rsidRDefault="0051453E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5.127</w:t>
            </w:r>
          </w:p>
        </w:tc>
      </w:tr>
      <w:tr w:rsidR="00C90004" w:rsidRPr="00C90004" w:rsidTr="004F43C5">
        <w:tc>
          <w:tcPr>
            <w:tcW w:w="4531" w:type="dxa"/>
          </w:tcPr>
          <w:p w:rsidR="004644FA" w:rsidRPr="00C90004" w:rsidRDefault="004644FA" w:rsidP="004F43C5">
            <w:pPr>
              <w:spacing w:line="240" w:lineRule="auto"/>
              <w:jc w:val="both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Onesnaženja, nesreče z nevarnimi snovmi</w:t>
            </w:r>
          </w:p>
        </w:tc>
        <w:tc>
          <w:tcPr>
            <w:tcW w:w="4531" w:type="dxa"/>
          </w:tcPr>
          <w:p w:rsidR="004644FA" w:rsidRPr="00C90004" w:rsidRDefault="0051453E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819</w:t>
            </w:r>
          </w:p>
        </w:tc>
      </w:tr>
      <w:tr w:rsidR="00C90004" w:rsidRPr="00C90004" w:rsidTr="004F43C5">
        <w:tc>
          <w:tcPr>
            <w:tcW w:w="4531" w:type="dxa"/>
          </w:tcPr>
          <w:p w:rsidR="004644FA" w:rsidRPr="00C90004" w:rsidRDefault="004644FA" w:rsidP="004F43C5">
            <w:pPr>
              <w:spacing w:line="240" w:lineRule="auto"/>
              <w:jc w:val="both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Najdbe NUS</w:t>
            </w:r>
          </w:p>
        </w:tc>
        <w:tc>
          <w:tcPr>
            <w:tcW w:w="4531" w:type="dxa"/>
          </w:tcPr>
          <w:p w:rsidR="004644FA" w:rsidRPr="00C90004" w:rsidRDefault="0051453E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520</w:t>
            </w:r>
          </w:p>
        </w:tc>
      </w:tr>
      <w:tr w:rsidR="00C90004" w:rsidRPr="00C90004" w:rsidTr="004F43C5">
        <w:tc>
          <w:tcPr>
            <w:tcW w:w="4531" w:type="dxa"/>
          </w:tcPr>
          <w:p w:rsidR="004644FA" w:rsidRPr="00C90004" w:rsidRDefault="004644FA" w:rsidP="004F43C5">
            <w:pPr>
              <w:spacing w:line="240" w:lineRule="auto"/>
              <w:jc w:val="both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Tehnična in druga pomoč</w:t>
            </w:r>
          </w:p>
        </w:tc>
        <w:tc>
          <w:tcPr>
            <w:tcW w:w="4531" w:type="dxa"/>
          </w:tcPr>
          <w:p w:rsidR="004644FA" w:rsidRPr="00C90004" w:rsidRDefault="0051453E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7.119</w:t>
            </w:r>
          </w:p>
        </w:tc>
      </w:tr>
      <w:tr w:rsidR="00C90004" w:rsidRPr="00C90004" w:rsidTr="004F43C5">
        <w:tc>
          <w:tcPr>
            <w:tcW w:w="4531" w:type="dxa"/>
          </w:tcPr>
          <w:p w:rsidR="004644FA" w:rsidRPr="00C90004" w:rsidRDefault="004644FA" w:rsidP="004F43C5">
            <w:pPr>
              <w:spacing w:line="240" w:lineRule="auto"/>
              <w:jc w:val="both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Nepotrebne oz. lažne intervencije</w:t>
            </w:r>
          </w:p>
        </w:tc>
        <w:tc>
          <w:tcPr>
            <w:tcW w:w="4531" w:type="dxa"/>
          </w:tcPr>
          <w:p w:rsidR="004644FA" w:rsidRPr="00C90004" w:rsidRDefault="0051453E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1.207</w:t>
            </w:r>
          </w:p>
        </w:tc>
      </w:tr>
    </w:tbl>
    <w:p w:rsidR="004644FA" w:rsidRPr="005A4BCE" w:rsidRDefault="00727B23" w:rsidP="004644FA">
      <w:pPr>
        <w:pStyle w:val="Napis"/>
        <w:spacing w:after="0"/>
        <w:jc w:val="both"/>
        <w:rPr>
          <w:rFonts w:ascii="Arial" w:hAnsi="Arial" w:cs="Arial"/>
          <w:b/>
          <w:i w:val="0"/>
          <w:color w:val="C00000"/>
        </w:rPr>
      </w:pPr>
      <w:r>
        <w:rPr>
          <w:rFonts w:ascii="Arial" w:hAnsi="Arial" w:cs="Arial"/>
          <w:color w:val="auto"/>
        </w:rPr>
        <w:t xml:space="preserve">Dogodki leta </w:t>
      </w:r>
      <w:r w:rsidRPr="00C90004">
        <w:rPr>
          <w:rFonts w:ascii="Arial" w:hAnsi="Arial" w:cs="Arial"/>
          <w:color w:val="000000" w:themeColor="text1"/>
        </w:rPr>
        <w:t>2022</w:t>
      </w:r>
      <w:r w:rsidR="004644FA" w:rsidRPr="00C90004">
        <w:rPr>
          <w:rFonts w:ascii="Arial" w:hAnsi="Arial" w:cs="Arial"/>
          <w:color w:val="000000" w:themeColor="text1"/>
        </w:rPr>
        <w:t xml:space="preserve"> s</w:t>
      </w:r>
      <w:r w:rsidR="004644FA" w:rsidRPr="003B6696">
        <w:rPr>
          <w:rFonts w:ascii="Arial" w:hAnsi="Arial" w:cs="Arial"/>
          <w:color w:val="auto"/>
        </w:rPr>
        <w:t>o obdelani na podlagi vpisanih in potrenjih podatkov vodij intervencij in sodelujočih enot</w:t>
      </w:r>
      <w:r w:rsidR="004644FA">
        <w:rPr>
          <w:rFonts w:ascii="Arial" w:hAnsi="Arial" w:cs="Arial"/>
          <w:color w:val="auto"/>
        </w:rPr>
        <w:t xml:space="preserve"> </w:t>
      </w:r>
      <w:r w:rsidR="004644FA" w:rsidRPr="003B6696">
        <w:rPr>
          <w:rFonts w:ascii="Arial" w:hAnsi="Arial" w:cs="Arial"/>
          <w:color w:val="auto"/>
        </w:rPr>
        <w:t>v sistemu SPIN.</w:t>
      </w:r>
      <w:r w:rsidR="004644FA">
        <w:rPr>
          <w:rFonts w:ascii="Arial" w:hAnsi="Arial" w:cs="Arial"/>
          <w:color w:val="auto"/>
        </w:rPr>
        <w:t xml:space="preserve"> </w:t>
      </w:r>
    </w:p>
    <w:p w:rsidR="004644FA" w:rsidRPr="003B6696" w:rsidRDefault="004644FA" w:rsidP="004644FA">
      <w:pPr>
        <w:spacing w:line="240" w:lineRule="auto"/>
        <w:rPr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Naravne nesreče leta 2020"/>
        <w:tblDescription w:val="Leta 2020 je bilo v RS 16.895 različnih dogodkov (naravne in druge nesreče, nesreče v prometu, požari in eksplozije, onesnaženja, nesreče z nevarnimi snovmi, jedrski in drugi dogodki, najdbe NUS, motnje oskrbe in poškodbe objektov, tehnična in druga pomoč, nepotrebne oz. lažne intervencije), v katerih so poleg drugih služb posredovale tudi sile ZRP. S pravočasnim in učinkovitim ukrepanjem ter nudenjem pomoči prizadetim so sile za ZRP nedvomno prispevale k zmanjšanju škode in drugih posledic, ki so jih povzročile omenjene nesreče."/>
      </w:tblPr>
      <w:tblGrid>
        <w:gridCol w:w="4531"/>
        <w:gridCol w:w="4531"/>
      </w:tblGrid>
      <w:tr w:rsidR="004644FA" w:rsidRPr="00626828" w:rsidTr="004F43C5">
        <w:trPr>
          <w:tblHeader/>
        </w:trPr>
        <w:tc>
          <w:tcPr>
            <w:tcW w:w="4531" w:type="dxa"/>
          </w:tcPr>
          <w:p w:rsidR="004644FA" w:rsidRPr="005041CF" w:rsidRDefault="004644FA" w:rsidP="004F43C5">
            <w:pPr>
              <w:spacing w:line="240" w:lineRule="auto"/>
              <w:jc w:val="both"/>
              <w:rPr>
                <w:b/>
                <w:szCs w:val="20"/>
                <w:lang w:val="sl-SI" w:eastAsia="sl-SI"/>
              </w:rPr>
            </w:pPr>
            <w:r w:rsidRPr="005041CF">
              <w:rPr>
                <w:b/>
                <w:szCs w:val="20"/>
                <w:lang w:val="sl-SI" w:eastAsia="sl-SI"/>
              </w:rPr>
              <w:t>Naravne nesreče</w:t>
            </w:r>
          </w:p>
        </w:tc>
        <w:tc>
          <w:tcPr>
            <w:tcW w:w="4531" w:type="dxa"/>
          </w:tcPr>
          <w:p w:rsidR="004644FA" w:rsidRPr="005041CF" w:rsidRDefault="004644FA" w:rsidP="004F43C5">
            <w:pPr>
              <w:spacing w:line="240" w:lineRule="auto"/>
              <w:jc w:val="center"/>
              <w:rPr>
                <w:b/>
                <w:szCs w:val="20"/>
                <w:lang w:val="sl-SI" w:eastAsia="sl-SI"/>
              </w:rPr>
            </w:pPr>
            <w:r w:rsidRPr="005041CF">
              <w:rPr>
                <w:b/>
                <w:szCs w:val="20"/>
                <w:lang w:val="sl-SI" w:eastAsia="sl-SI"/>
              </w:rPr>
              <w:t>Število dogodkov</w:t>
            </w:r>
          </w:p>
        </w:tc>
      </w:tr>
      <w:tr w:rsidR="004644FA" w:rsidRPr="003B6696" w:rsidTr="004F43C5">
        <w:tc>
          <w:tcPr>
            <w:tcW w:w="4531" w:type="dxa"/>
          </w:tcPr>
          <w:p w:rsidR="004644FA" w:rsidRPr="003B6696" w:rsidRDefault="004644FA" w:rsidP="004F43C5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3B6696">
              <w:rPr>
                <w:szCs w:val="20"/>
                <w:lang w:val="sl-SI" w:eastAsia="sl-SI"/>
              </w:rPr>
              <w:t>Visoko plimovanje morja</w:t>
            </w:r>
          </w:p>
        </w:tc>
        <w:tc>
          <w:tcPr>
            <w:tcW w:w="4531" w:type="dxa"/>
          </w:tcPr>
          <w:p w:rsidR="004644FA" w:rsidRPr="00C90004" w:rsidRDefault="00727B23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14</w:t>
            </w:r>
          </w:p>
        </w:tc>
      </w:tr>
      <w:tr w:rsidR="004644FA" w:rsidRPr="003B6696" w:rsidTr="004F43C5">
        <w:tc>
          <w:tcPr>
            <w:tcW w:w="4531" w:type="dxa"/>
          </w:tcPr>
          <w:p w:rsidR="004644FA" w:rsidRPr="003B6696" w:rsidRDefault="004644FA" w:rsidP="004F43C5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3B6696">
              <w:rPr>
                <w:szCs w:val="20"/>
                <w:lang w:val="sl-SI" w:eastAsia="sl-SI"/>
              </w:rPr>
              <w:t>Poplave</w:t>
            </w:r>
          </w:p>
        </w:tc>
        <w:tc>
          <w:tcPr>
            <w:tcW w:w="4531" w:type="dxa"/>
          </w:tcPr>
          <w:p w:rsidR="004644FA" w:rsidRPr="00C90004" w:rsidRDefault="00727B23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243</w:t>
            </w:r>
          </w:p>
        </w:tc>
      </w:tr>
      <w:tr w:rsidR="004644FA" w:rsidRPr="003B6696" w:rsidTr="004F43C5">
        <w:tc>
          <w:tcPr>
            <w:tcW w:w="4531" w:type="dxa"/>
          </w:tcPr>
          <w:p w:rsidR="004644FA" w:rsidRPr="003B6696" w:rsidRDefault="004644FA" w:rsidP="004F43C5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3B6696">
              <w:rPr>
                <w:szCs w:val="20"/>
                <w:lang w:val="sl-SI" w:eastAsia="sl-SI"/>
              </w:rPr>
              <w:t>Plazovi</w:t>
            </w:r>
          </w:p>
        </w:tc>
        <w:tc>
          <w:tcPr>
            <w:tcW w:w="4531" w:type="dxa"/>
          </w:tcPr>
          <w:p w:rsidR="004644FA" w:rsidRPr="00C90004" w:rsidRDefault="00727B23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36</w:t>
            </w:r>
          </w:p>
        </w:tc>
      </w:tr>
      <w:tr w:rsidR="004644FA" w:rsidRPr="003B6696" w:rsidTr="004F43C5">
        <w:tc>
          <w:tcPr>
            <w:tcW w:w="4531" w:type="dxa"/>
          </w:tcPr>
          <w:p w:rsidR="004644FA" w:rsidRPr="003B6696" w:rsidRDefault="004644FA" w:rsidP="004F43C5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3B6696">
              <w:rPr>
                <w:szCs w:val="20"/>
                <w:lang w:val="sl-SI" w:eastAsia="sl-SI"/>
              </w:rPr>
              <w:t>Visok sneg</w:t>
            </w:r>
          </w:p>
        </w:tc>
        <w:tc>
          <w:tcPr>
            <w:tcW w:w="4531" w:type="dxa"/>
          </w:tcPr>
          <w:p w:rsidR="004644FA" w:rsidRPr="00C90004" w:rsidRDefault="00727B23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17</w:t>
            </w:r>
          </w:p>
        </w:tc>
      </w:tr>
      <w:tr w:rsidR="004644FA" w:rsidRPr="003B6696" w:rsidTr="004F43C5">
        <w:tc>
          <w:tcPr>
            <w:tcW w:w="4531" w:type="dxa"/>
          </w:tcPr>
          <w:p w:rsidR="004644FA" w:rsidRPr="003B6696" w:rsidRDefault="004644FA" w:rsidP="004F43C5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3B6696">
              <w:rPr>
                <w:szCs w:val="20"/>
                <w:lang w:val="sl-SI" w:eastAsia="sl-SI"/>
              </w:rPr>
              <w:t>Močan veter</w:t>
            </w:r>
          </w:p>
        </w:tc>
        <w:tc>
          <w:tcPr>
            <w:tcW w:w="4531" w:type="dxa"/>
          </w:tcPr>
          <w:p w:rsidR="004644FA" w:rsidRPr="00C90004" w:rsidRDefault="00727B23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200</w:t>
            </w:r>
          </w:p>
        </w:tc>
      </w:tr>
      <w:tr w:rsidR="004644FA" w:rsidRPr="003B6696" w:rsidTr="004F43C5">
        <w:tc>
          <w:tcPr>
            <w:tcW w:w="4531" w:type="dxa"/>
          </w:tcPr>
          <w:p w:rsidR="004644FA" w:rsidRPr="003B6696" w:rsidRDefault="004644FA" w:rsidP="004F43C5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3B6696">
              <w:rPr>
                <w:szCs w:val="20"/>
                <w:lang w:val="sl-SI" w:eastAsia="sl-SI"/>
              </w:rPr>
              <w:t>Udari strel</w:t>
            </w:r>
          </w:p>
        </w:tc>
        <w:tc>
          <w:tcPr>
            <w:tcW w:w="4531" w:type="dxa"/>
          </w:tcPr>
          <w:p w:rsidR="004644FA" w:rsidRPr="00C90004" w:rsidRDefault="00727B23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9</w:t>
            </w:r>
          </w:p>
        </w:tc>
      </w:tr>
      <w:tr w:rsidR="004644FA" w:rsidRPr="003B6696" w:rsidTr="004F43C5">
        <w:tc>
          <w:tcPr>
            <w:tcW w:w="4531" w:type="dxa"/>
          </w:tcPr>
          <w:p w:rsidR="004644FA" w:rsidRPr="003B6696" w:rsidRDefault="004644FA" w:rsidP="004F43C5">
            <w:pPr>
              <w:spacing w:line="240" w:lineRule="auto"/>
              <w:jc w:val="both"/>
              <w:rPr>
                <w:szCs w:val="20"/>
                <w:lang w:val="sl-SI" w:eastAsia="sl-SI"/>
              </w:rPr>
            </w:pPr>
            <w:r w:rsidRPr="003B6696">
              <w:rPr>
                <w:szCs w:val="20"/>
                <w:lang w:val="sl-SI" w:eastAsia="sl-SI"/>
              </w:rPr>
              <w:t>Prekinitev prometa zaradi naravnih pojavov</w:t>
            </w:r>
          </w:p>
        </w:tc>
        <w:tc>
          <w:tcPr>
            <w:tcW w:w="4531" w:type="dxa"/>
          </w:tcPr>
          <w:p w:rsidR="004644FA" w:rsidRPr="00C90004" w:rsidRDefault="00727B23" w:rsidP="004F43C5">
            <w:pPr>
              <w:spacing w:line="240" w:lineRule="auto"/>
              <w:jc w:val="center"/>
              <w:rPr>
                <w:color w:val="000000" w:themeColor="text1"/>
                <w:szCs w:val="20"/>
                <w:lang w:val="sl-SI" w:eastAsia="sl-SI"/>
              </w:rPr>
            </w:pPr>
            <w:r w:rsidRPr="00C90004">
              <w:rPr>
                <w:color w:val="000000" w:themeColor="text1"/>
                <w:szCs w:val="20"/>
                <w:lang w:val="sl-SI" w:eastAsia="sl-SI"/>
              </w:rPr>
              <w:t>10</w:t>
            </w:r>
          </w:p>
        </w:tc>
      </w:tr>
    </w:tbl>
    <w:p w:rsidR="004644FA" w:rsidRPr="00B969E0" w:rsidRDefault="004644FA" w:rsidP="004644FA">
      <w:pPr>
        <w:pStyle w:val="Napis"/>
        <w:spacing w:after="0"/>
        <w:jc w:val="both"/>
        <w:rPr>
          <w:rFonts w:ascii="Arial" w:hAnsi="Arial" w:cs="Arial"/>
          <w:i w:val="0"/>
          <w:color w:val="C00000"/>
        </w:rPr>
      </w:pPr>
      <w:r w:rsidRPr="003B6696">
        <w:rPr>
          <w:rFonts w:ascii="Arial" w:hAnsi="Arial" w:cs="Arial"/>
          <w:color w:val="auto"/>
        </w:rPr>
        <w:t>Podatki za dogo</w:t>
      </w:r>
      <w:r w:rsidR="00727B23">
        <w:rPr>
          <w:rFonts w:ascii="Arial" w:hAnsi="Arial" w:cs="Arial"/>
          <w:color w:val="auto"/>
        </w:rPr>
        <w:t xml:space="preserve">dke Naravne nesreče v letu </w:t>
      </w:r>
      <w:r w:rsidR="00727B23" w:rsidRPr="00C90004">
        <w:rPr>
          <w:rFonts w:ascii="Arial" w:hAnsi="Arial" w:cs="Arial"/>
          <w:color w:val="000000" w:themeColor="text1"/>
        </w:rPr>
        <w:t xml:space="preserve">2022 </w:t>
      </w:r>
      <w:r w:rsidRPr="00C90004">
        <w:rPr>
          <w:rFonts w:ascii="Arial" w:hAnsi="Arial" w:cs="Arial"/>
          <w:color w:val="000000" w:themeColor="text1"/>
        </w:rPr>
        <w:t xml:space="preserve">so obdelani </w:t>
      </w:r>
      <w:r w:rsidRPr="003B6696">
        <w:rPr>
          <w:rFonts w:ascii="Arial" w:hAnsi="Arial" w:cs="Arial"/>
          <w:color w:val="auto"/>
        </w:rPr>
        <w:t>na podlagi vpisanih in potrenjih podatkov vodij intervencij in sodelujočih enot</w:t>
      </w:r>
      <w:r>
        <w:rPr>
          <w:rFonts w:ascii="Arial" w:hAnsi="Arial" w:cs="Arial"/>
          <w:color w:val="auto"/>
        </w:rPr>
        <w:t xml:space="preserve"> </w:t>
      </w:r>
      <w:r w:rsidRPr="003B6696">
        <w:rPr>
          <w:rFonts w:ascii="Arial" w:hAnsi="Arial" w:cs="Arial"/>
          <w:color w:val="auto"/>
        </w:rPr>
        <w:t>v sistemu SPIN</w:t>
      </w:r>
    </w:p>
    <w:p w:rsidR="0002677C" w:rsidRDefault="0002677C"/>
    <w:p w:rsidR="00727B23" w:rsidRDefault="00727B23"/>
    <w:p w:rsidR="004644FA" w:rsidRDefault="004644FA" w:rsidP="004644FA">
      <w:pPr>
        <w:spacing w:line="240" w:lineRule="auto"/>
        <w:jc w:val="both"/>
        <w:rPr>
          <w:b/>
          <w:szCs w:val="20"/>
          <w:lang w:val="sl-SI" w:eastAsia="sl-SI"/>
        </w:rPr>
      </w:pPr>
      <w:r w:rsidRPr="003B6696">
        <w:rPr>
          <w:b/>
          <w:szCs w:val="20"/>
          <w:lang w:val="sl-SI" w:eastAsia="sl-SI"/>
        </w:rPr>
        <w:t>Sile za zaščito, reševanje in pomoč</w:t>
      </w:r>
      <w:r w:rsidR="00C90004">
        <w:rPr>
          <w:b/>
          <w:szCs w:val="20"/>
          <w:lang w:val="sl-SI" w:eastAsia="sl-SI"/>
        </w:rPr>
        <w:t xml:space="preserve"> (str.51)</w:t>
      </w:r>
    </w:p>
    <w:p w:rsidR="00C90004" w:rsidRPr="003B6696" w:rsidRDefault="00C90004" w:rsidP="004644FA">
      <w:pPr>
        <w:spacing w:line="240" w:lineRule="auto"/>
        <w:jc w:val="both"/>
        <w:rPr>
          <w:b/>
          <w:szCs w:val="20"/>
          <w:lang w:val="sl-SI" w:eastAsia="sl-SI"/>
        </w:rPr>
      </w:pPr>
    </w:p>
    <w:p w:rsidR="004644FA" w:rsidRPr="00C90004" w:rsidRDefault="00727B23" w:rsidP="004644FA">
      <w:pPr>
        <w:spacing w:line="240" w:lineRule="auto"/>
        <w:jc w:val="both"/>
        <w:rPr>
          <w:color w:val="000000" w:themeColor="text1"/>
          <w:szCs w:val="20"/>
          <w:lang w:val="sl-SI" w:eastAsia="sl-SI"/>
        </w:rPr>
      </w:pPr>
      <w:r w:rsidRPr="00C90004">
        <w:rPr>
          <w:color w:val="000000" w:themeColor="text1"/>
          <w:szCs w:val="20"/>
          <w:lang w:val="sl-SI" w:eastAsia="sl-SI"/>
        </w:rPr>
        <w:t>V letu 2022</w:t>
      </w:r>
      <w:r w:rsidR="004644FA" w:rsidRPr="00C90004">
        <w:rPr>
          <w:color w:val="000000" w:themeColor="text1"/>
          <w:szCs w:val="20"/>
          <w:lang w:val="sl-SI" w:eastAsia="sl-SI"/>
        </w:rPr>
        <w:t xml:space="preserve"> je bilo zaradi nesreč </w:t>
      </w:r>
      <w:r w:rsidR="001426D1" w:rsidRPr="00C90004">
        <w:rPr>
          <w:color w:val="000000" w:themeColor="text1"/>
          <w:szCs w:val="20"/>
          <w:lang w:val="sl-SI" w:eastAsia="sl-SI"/>
        </w:rPr>
        <w:t>33.968</w:t>
      </w:r>
      <w:r w:rsidR="004644FA" w:rsidRPr="00C90004">
        <w:rPr>
          <w:color w:val="000000" w:themeColor="text1"/>
          <w:szCs w:val="20"/>
          <w:lang w:val="sl-SI" w:eastAsia="sl-SI"/>
        </w:rPr>
        <w:t xml:space="preserve"> intervencij, na katerih je sodelovalo </w:t>
      </w:r>
      <w:r w:rsidR="001426D1" w:rsidRPr="00C90004">
        <w:rPr>
          <w:color w:val="000000" w:themeColor="text1"/>
          <w:szCs w:val="20"/>
          <w:lang w:val="sl-SI" w:eastAsia="sl-SI"/>
        </w:rPr>
        <w:t>197.546</w:t>
      </w:r>
      <w:r w:rsidR="004644FA" w:rsidRPr="00C90004">
        <w:rPr>
          <w:color w:val="000000" w:themeColor="text1"/>
          <w:szCs w:val="20"/>
          <w:lang w:val="sl-SI" w:eastAsia="sl-SI"/>
        </w:rPr>
        <w:t xml:space="preserve"> pripadnikov različnih sil za ZRP. Največ intervencij je bilo </w:t>
      </w:r>
      <w:r w:rsidR="001426D1" w:rsidRPr="00C90004">
        <w:rPr>
          <w:color w:val="000000" w:themeColor="text1"/>
          <w:szCs w:val="20"/>
          <w:lang w:val="sl-SI" w:eastAsia="sl-SI"/>
        </w:rPr>
        <w:t>julija (6.516)</w:t>
      </w:r>
      <w:r w:rsidR="004644FA" w:rsidRPr="00C90004">
        <w:rPr>
          <w:color w:val="000000" w:themeColor="text1"/>
          <w:szCs w:val="20"/>
          <w:lang w:val="sl-SI" w:eastAsia="sl-SI"/>
        </w:rPr>
        <w:t xml:space="preserve">, </w:t>
      </w:r>
      <w:r w:rsidR="001426D1" w:rsidRPr="00C90004">
        <w:rPr>
          <w:color w:val="000000" w:themeColor="text1"/>
          <w:szCs w:val="20"/>
          <w:lang w:val="sl-SI" w:eastAsia="sl-SI"/>
        </w:rPr>
        <w:t>sledijo avgust (4.022</w:t>
      </w:r>
      <w:r w:rsidR="004644FA" w:rsidRPr="00C90004">
        <w:rPr>
          <w:color w:val="000000" w:themeColor="text1"/>
          <w:szCs w:val="20"/>
          <w:lang w:val="sl-SI" w:eastAsia="sl-SI"/>
        </w:rPr>
        <w:t xml:space="preserve">), in </w:t>
      </w:r>
      <w:r w:rsidR="001426D1" w:rsidRPr="00C90004">
        <w:rPr>
          <w:color w:val="000000" w:themeColor="text1"/>
          <w:szCs w:val="20"/>
          <w:lang w:val="sl-SI" w:eastAsia="sl-SI"/>
        </w:rPr>
        <w:t>marec (3.966).</w:t>
      </w:r>
      <w:r w:rsidR="004644FA" w:rsidRPr="00C90004">
        <w:rPr>
          <w:color w:val="000000" w:themeColor="text1"/>
          <w:szCs w:val="20"/>
          <w:lang w:val="sl-SI" w:eastAsia="sl-SI"/>
        </w:rPr>
        <w:t xml:space="preserve"> Največ posredovanj so opravila prostovoljna teritorialna gasilska društva (</w:t>
      </w:r>
      <w:r w:rsidR="0080376C" w:rsidRPr="00C90004">
        <w:rPr>
          <w:color w:val="000000" w:themeColor="text1"/>
          <w:szCs w:val="20"/>
          <w:lang w:val="sl-SI" w:eastAsia="sl-SI"/>
        </w:rPr>
        <w:t>23.042</w:t>
      </w:r>
      <w:r w:rsidR="004644FA" w:rsidRPr="00C90004">
        <w:rPr>
          <w:color w:val="000000" w:themeColor="text1"/>
          <w:szCs w:val="20"/>
          <w:lang w:val="sl-SI" w:eastAsia="sl-SI"/>
        </w:rPr>
        <w:t>), poklicne gasilske enote (</w:t>
      </w:r>
      <w:r w:rsidR="0080376C" w:rsidRPr="00C90004">
        <w:rPr>
          <w:color w:val="000000" w:themeColor="text1"/>
          <w:szCs w:val="20"/>
          <w:lang w:val="sl-SI" w:eastAsia="sl-SI"/>
        </w:rPr>
        <w:t>9.705</w:t>
      </w:r>
      <w:r w:rsidR="004644FA" w:rsidRPr="00C90004">
        <w:rPr>
          <w:color w:val="000000" w:themeColor="text1"/>
          <w:szCs w:val="20"/>
          <w:lang w:val="sl-SI" w:eastAsia="sl-SI"/>
        </w:rPr>
        <w:t>), Gorsk</w:t>
      </w:r>
      <w:r w:rsidR="0080376C" w:rsidRPr="00C90004">
        <w:rPr>
          <w:color w:val="000000" w:themeColor="text1"/>
          <w:szCs w:val="20"/>
          <w:lang w:val="sl-SI" w:eastAsia="sl-SI"/>
        </w:rPr>
        <w:t>a reševalna zveza Slovenije (844</w:t>
      </w:r>
      <w:r w:rsidR="004644FA" w:rsidRPr="00C90004">
        <w:rPr>
          <w:color w:val="000000" w:themeColor="text1"/>
          <w:szCs w:val="20"/>
          <w:lang w:val="sl-SI" w:eastAsia="sl-SI"/>
        </w:rPr>
        <w:t xml:space="preserve"> – </w:t>
      </w:r>
      <w:r w:rsidR="0080376C" w:rsidRPr="00C90004">
        <w:rPr>
          <w:color w:val="000000" w:themeColor="text1"/>
          <w:szCs w:val="20"/>
          <w:lang w:val="sl-SI" w:eastAsia="sl-SI"/>
        </w:rPr>
        <w:t>v to število je zajetih tudi 14</w:t>
      </w:r>
      <w:r w:rsidR="004644FA" w:rsidRPr="00C90004">
        <w:rPr>
          <w:color w:val="000000" w:themeColor="text1"/>
          <w:szCs w:val="20"/>
          <w:lang w:val="sl-SI" w:eastAsia="sl-SI"/>
        </w:rPr>
        <w:t xml:space="preserve"> posredovanj vodnikov reševalnih psov GRZS) in Državna enota za varstvo pred NUS</w:t>
      </w:r>
      <w:r w:rsidR="004644FA" w:rsidRPr="00C90004">
        <w:rPr>
          <w:bCs/>
          <w:color w:val="000000" w:themeColor="text1"/>
          <w:szCs w:val="20"/>
          <w:lang w:val="sl-SI"/>
        </w:rPr>
        <w:t xml:space="preserve"> </w:t>
      </w:r>
      <w:r w:rsidR="0080376C" w:rsidRPr="00C90004">
        <w:rPr>
          <w:color w:val="000000" w:themeColor="text1"/>
          <w:szCs w:val="20"/>
          <w:lang w:val="sl-SI" w:eastAsia="sl-SI"/>
        </w:rPr>
        <w:t>(701</w:t>
      </w:r>
      <w:r w:rsidR="004644FA" w:rsidRPr="00C90004">
        <w:rPr>
          <w:color w:val="000000" w:themeColor="text1"/>
          <w:szCs w:val="20"/>
          <w:lang w:val="sl-SI" w:eastAsia="sl-SI"/>
        </w:rPr>
        <w:t xml:space="preserve">). </w:t>
      </w:r>
      <w:r w:rsidR="0080376C" w:rsidRPr="00C90004">
        <w:rPr>
          <w:color w:val="000000" w:themeColor="text1"/>
          <w:szCs w:val="20"/>
          <w:lang w:val="sl-SI" w:eastAsia="sl-SI"/>
        </w:rPr>
        <w:t>V letu 2022</w:t>
      </w:r>
      <w:r w:rsidR="004644FA" w:rsidRPr="00C90004">
        <w:rPr>
          <w:color w:val="000000" w:themeColor="text1"/>
          <w:szCs w:val="20"/>
          <w:lang w:val="sl-SI" w:eastAsia="sl-SI"/>
        </w:rPr>
        <w:t xml:space="preserve"> smo največkrat aktivirali gasilce, in sicer </w:t>
      </w:r>
      <w:r w:rsidR="00084F0A" w:rsidRPr="00C90004">
        <w:rPr>
          <w:color w:val="000000" w:themeColor="text1"/>
          <w:szCs w:val="20"/>
          <w:lang w:val="sl-SI" w:eastAsia="sl-SI"/>
        </w:rPr>
        <w:t>32.801</w:t>
      </w:r>
      <w:r w:rsidR="0080376C" w:rsidRPr="00C90004">
        <w:rPr>
          <w:color w:val="000000" w:themeColor="text1"/>
          <w:szCs w:val="20"/>
          <w:lang w:val="sl-SI" w:eastAsia="sl-SI"/>
        </w:rPr>
        <w:t>-krat, gorske reševalce 83</w:t>
      </w:r>
      <w:r w:rsidR="004644FA" w:rsidRPr="00C90004">
        <w:rPr>
          <w:color w:val="000000" w:themeColor="text1"/>
          <w:szCs w:val="20"/>
          <w:lang w:val="sl-SI" w:eastAsia="sl-SI"/>
        </w:rPr>
        <w:t>0</w:t>
      </w:r>
      <w:r w:rsidR="0080376C" w:rsidRPr="00C90004">
        <w:rPr>
          <w:color w:val="000000" w:themeColor="text1"/>
          <w:szCs w:val="20"/>
          <w:lang w:val="sl-SI" w:eastAsia="sl-SI"/>
        </w:rPr>
        <w:t>-krat, 155</w:t>
      </w:r>
      <w:r w:rsidR="004644FA" w:rsidRPr="00C90004">
        <w:rPr>
          <w:color w:val="000000" w:themeColor="text1"/>
          <w:szCs w:val="20"/>
          <w:lang w:val="sl-SI" w:eastAsia="sl-SI"/>
        </w:rPr>
        <w:t xml:space="preserve">-krat pa enote z reševalnimi psi oziroma vse skupaj še z ostalimi enotami </w:t>
      </w:r>
      <w:r w:rsidR="0080376C" w:rsidRPr="00C90004">
        <w:rPr>
          <w:color w:val="000000" w:themeColor="text1"/>
          <w:szCs w:val="20"/>
          <w:lang w:val="sl-SI" w:eastAsia="sl-SI"/>
        </w:rPr>
        <w:t xml:space="preserve">33.873 </w:t>
      </w:r>
      <w:r w:rsidR="004644FA" w:rsidRPr="00C90004">
        <w:rPr>
          <w:color w:val="000000" w:themeColor="text1"/>
          <w:szCs w:val="20"/>
          <w:lang w:val="sl-SI" w:eastAsia="sl-SI"/>
        </w:rPr>
        <w:t>krat.</w:t>
      </w:r>
    </w:p>
    <w:p w:rsidR="004644FA" w:rsidRDefault="004644FA" w:rsidP="004644FA">
      <w:pPr>
        <w:spacing w:line="240" w:lineRule="auto"/>
        <w:jc w:val="both"/>
        <w:rPr>
          <w:color w:val="000000" w:themeColor="text1"/>
          <w:szCs w:val="20"/>
          <w:lang w:val="sl-SI" w:eastAsia="sl-SI"/>
        </w:rPr>
      </w:pPr>
    </w:p>
    <w:p w:rsidR="00C90004" w:rsidRPr="00C90004" w:rsidRDefault="00C90004" w:rsidP="004644FA">
      <w:pPr>
        <w:spacing w:line="240" w:lineRule="auto"/>
        <w:jc w:val="both"/>
        <w:rPr>
          <w:color w:val="000000" w:themeColor="text1"/>
          <w:szCs w:val="20"/>
          <w:lang w:val="sl-SI" w:eastAsia="sl-SI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Število aktiviranj in sodelujočih enot v letu 2020"/>
        <w:tblDescription w:val="Gorski reševalci 593 krat, Gasilci skupaj 28.127 krat, kinologi 83 krat, potapljači 30 krat."/>
      </w:tblPr>
      <w:tblGrid>
        <w:gridCol w:w="3823"/>
        <w:gridCol w:w="2338"/>
        <w:gridCol w:w="2339"/>
      </w:tblGrid>
      <w:tr w:rsidR="00C90004" w:rsidRPr="00C90004" w:rsidTr="004F43C5">
        <w:trPr>
          <w:tblHeader/>
        </w:trPr>
        <w:tc>
          <w:tcPr>
            <w:tcW w:w="3823" w:type="dxa"/>
          </w:tcPr>
          <w:p w:rsidR="004644FA" w:rsidRPr="00C90004" w:rsidRDefault="004644FA" w:rsidP="004F43C5">
            <w:pPr>
              <w:spacing w:line="240" w:lineRule="auto"/>
              <w:jc w:val="both"/>
              <w:rPr>
                <w:b/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/>
                <w:bCs/>
                <w:color w:val="000000" w:themeColor="text1"/>
                <w:szCs w:val="20"/>
                <w:lang w:val="sl-SI"/>
              </w:rPr>
              <w:lastRenderedPageBreak/>
              <w:t>Vrsta enote</w:t>
            </w:r>
          </w:p>
        </w:tc>
        <w:tc>
          <w:tcPr>
            <w:tcW w:w="2338" w:type="dxa"/>
          </w:tcPr>
          <w:p w:rsidR="004644FA" w:rsidRPr="00C90004" w:rsidRDefault="004644FA" w:rsidP="004F43C5">
            <w:pPr>
              <w:spacing w:line="240" w:lineRule="auto"/>
              <w:jc w:val="center"/>
              <w:rPr>
                <w:b/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/>
                <w:bCs/>
                <w:color w:val="000000" w:themeColor="text1"/>
                <w:szCs w:val="20"/>
                <w:lang w:val="sl-SI"/>
              </w:rPr>
              <w:t>Število aktiviranj</w:t>
            </w:r>
          </w:p>
        </w:tc>
        <w:tc>
          <w:tcPr>
            <w:tcW w:w="2339" w:type="dxa"/>
          </w:tcPr>
          <w:p w:rsidR="004644FA" w:rsidRPr="00C90004" w:rsidRDefault="004644FA" w:rsidP="004F43C5">
            <w:pPr>
              <w:spacing w:line="240" w:lineRule="auto"/>
              <w:jc w:val="center"/>
              <w:rPr>
                <w:b/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/>
                <w:bCs/>
                <w:color w:val="000000" w:themeColor="text1"/>
                <w:szCs w:val="20"/>
                <w:lang w:val="sl-SI"/>
              </w:rPr>
              <w:t>Število sodelujočih</w:t>
            </w:r>
          </w:p>
        </w:tc>
      </w:tr>
      <w:tr w:rsidR="00C90004" w:rsidRPr="00C90004" w:rsidTr="004F43C5">
        <w:tc>
          <w:tcPr>
            <w:tcW w:w="3823" w:type="dxa"/>
          </w:tcPr>
          <w:p w:rsidR="004644FA" w:rsidRPr="00C90004" w:rsidRDefault="004644FA" w:rsidP="004F43C5">
            <w:pPr>
              <w:spacing w:line="240" w:lineRule="auto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Gorski reševalci</w:t>
            </w:r>
          </w:p>
        </w:tc>
        <w:tc>
          <w:tcPr>
            <w:tcW w:w="2338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830</w:t>
            </w:r>
          </w:p>
        </w:tc>
        <w:tc>
          <w:tcPr>
            <w:tcW w:w="2339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5.795</w:t>
            </w:r>
          </w:p>
        </w:tc>
      </w:tr>
      <w:tr w:rsidR="00C90004" w:rsidRPr="00C90004" w:rsidTr="004F43C5">
        <w:tc>
          <w:tcPr>
            <w:tcW w:w="3823" w:type="dxa"/>
          </w:tcPr>
          <w:p w:rsidR="004644FA" w:rsidRPr="00C90004" w:rsidRDefault="004644FA" w:rsidP="004F43C5">
            <w:pPr>
              <w:spacing w:line="240" w:lineRule="auto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Industrijske gasilske enote</w:t>
            </w:r>
          </w:p>
        </w:tc>
        <w:tc>
          <w:tcPr>
            <w:tcW w:w="2338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54</w:t>
            </w:r>
          </w:p>
        </w:tc>
        <w:tc>
          <w:tcPr>
            <w:tcW w:w="2339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224</w:t>
            </w:r>
          </w:p>
        </w:tc>
      </w:tr>
      <w:tr w:rsidR="00C90004" w:rsidRPr="00C90004" w:rsidTr="004F43C5">
        <w:tc>
          <w:tcPr>
            <w:tcW w:w="3823" w:type="dxa"/>
          </w:tcPr>
          <w:p w:rsidR="004644FA" w:rsidRPr="00C90004" w:rsidRDefault="004644FA" w:rsidP="004F43C5">
            <w:pPr>
              <w:spacing w:line="240" w:lineRule="auto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Jamarji</w:t>
            </w:r>
          </w:p>
        </w:tc>
        <w:tc>
          <w:tcPr>
            <w:tcW w:w="2338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26</w:t>
            </w:r>
          </w:p>
        </w:tc>
        <w:tc>
          <w:tcPr>
            <w:tcW w:w="2339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112</w:t>
            </w:r>
          </w:p>
        </w:tc>
      </w:tr>
      <w:tr w:rsidR="00C90004" w:rsidRPr="00C90004" w:rsidTr="004F43C5">
        <w:tc>
          <w:tcPr>
            <w:tcW w:w="3823" w:type="dxa"/>
          </w:tcPr>
          <w:p w:rsidR="004644FA" w:rsidRPr="00C90004" w:rsidRDefault="004644FA" w:rsidP="004F43C5">
            <w:pPr>
              <w:spacing w:line="240" w:lineRule="auto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Kinologi</w:t>
            </w:r>
          </w:p>
        </w:tc>
        <w:tc>
          <w:tcPr>
            <w:tcW w:w="2338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155</w:t>
            </w:r>
          </w:p>
        </w:tc>
        <w:tc>
          <w:tcPr>
            <w:tcW w:w="2339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707</w:t>
            </w:r>
          </w:p>
        </w:tc>
      </w:tr>
      <w:tr w:rsidR="00C90004" w:rsidRPr="00C90004" w:rsidTr="004F43C5">
        <w:tc>
          <w:tcPr>
            <w:tcW w:w="3823" w:type="dxa"/>
          </w:tcPr>
          <w:p w:rsidR="004644FA" w:rsidRPr="00C90004" w:rsidRDefault="004644FA" w:rsidP="004F43C5">
            <w:pPr>
              <w:spacing w:line="240" w:lineRule="auto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Prostovoljna teritorialna gasilska društva</w:t>
            </w:r>
          </w:p>
        </w:tc>
        <w:tc>
          <w:tcPr>
            <w:tcW w:w="2338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23.042</w:t>
            </w:r>
          </w:p>
        </w:tc>
        <w:tc>
          <w:tcPr>
            <w:tcW w:w="2339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150.283</w:t>
            </w:r>
          </w:p>
        </w:tc>
      </w:tr>
      <w:tr w:rsidR="00C90004" w:rsidRPr="00C90004" w:rsidTr="004F43C5">
        <w:tc>
          <w:tcPr>
            <w:tcW w:w="3823" w:type="dxa"/>
          </w:tcPr>
          <w:p w:rsidR="004644FA" w:rsidRPr="00C90004" w:rsidRDefault="004644FA" w:rsidP="004F43C5">
            <w:pPr>
              <w:spacing w:line="240" w:lineRule="auto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Poklicne gasilske enote</w:t>
            </w:r>
          </w:p>
        </w:tc>
        <w:tc>
          <w:tcPr>
            <w:tcW w:w="2338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9.705</w:t>
            </w:r>
          </w:p>
        </w:tc>
        <w:tc>
          <w:tcPr>
            <w:tcW w:w="2339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38.038</w:t>
            </w:r>
          </w:p>
        </w:tc>
      </w:tr>
      <w:tr w:rsidR="00C90004" w:rsidRPr="00C90004" w:rsidTr="004F43C5">
        <w:tc>
          <w:tcPr>
            <w:tcW w:w="3823" w:type="dxa"/>
          </w:tcPr>
          <w:p w:rsidR="004644FA" w:rsidRPr="00C90004" w:rsidRDefault="004644FA" w:rsidP="004F43C5">
            <w:pPr>
              <w:spacing w:line="240" w:lineRule="auto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Potapljači</w:t>
            </w:r>
          </w:p>
        </w:tc>
        <w:tc>
          <w:tcPr>
            <w:tcW w:w="2338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40</w:t>
            </w:r>
          </w:p>
        </w:tc>
        <w:tc>
          <w:tcPr>
            <w:tcW w:w="2339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Cs/>
                <w:color w:val="000000" w:themeColor="text1"/>
                <w:szCs w:val="20"/>
                <w:lang w:val="sl-SI"/>
              </w:rPr>
              <w:t>145</w:t>
            </w:r>
          </w:p>
        </w:tc>
      </w:tr>
      <w:tr w:rsidR="00C90004" w:rsidRPr="00C90004" w:rsidTr="004F43C5">
        <w:tc>
          <w:tcPr>
            <w:tcW w:w="3823" w:type="dxa"/>
          </w:tcPr>
          <w:p w:rsidR="004644FA" w:rsidRPr="00C90004" w:rsidRDefault="004644FA" w:rsidP="004F43C5">
            <w:pPr>
              <w:spacing w:line="240" w:lineRule="auto"/>
              <w:rPr>
                <w:b/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/>
                <w:bCs/>
                <w:color w:val="000000" w:themeColor="text1"/>
                <w:szCs w:val="20"/>
                <w:lang w:val="sl-SI"/>
              </w:rPr>
              <w:t>Skupaj</w:t>
            </w:r>
          </w:p>
        </w:tc>
        <w:tc>
          <w:tcPr>
            <w:tcW w:w="2338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/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/>
                <w:bCs/>
                <w:color w:val="000000" w:themeColor="text1"/>
                <w:szCs w:val="20"/>
                <w:lang w:val="sl-SI"/>
              </w:rPr>
              <w:t>33.873</w:t>
            </w:r>
          </w:p>
        </w:tc>
        <w:tc>
          <w:tcPr>
            <w:tcW w:w="2339" w:type="dxa"/>
          </w:tcPr>
          <w:p w:rsidR="004644FA" w:rsidRPr="00C90004" w:rsidRDefault="00FD098C" w:rsidP="004F43C5">
            <w:pPr>
              <w:spacing w:line="240" w:lineRule="auto"/>
              <w:jc w:val="center"/>
              <w:rPr>
                <w:b/>
                <w:bCs/>
                <w:color w:val="000000" w:themeColor="text1"/>
                <w:szCs w:val="20"/>
                <w:lang w:val="sl-SI"/>
              </w:rPr>
            </w:pPr>
            <w:r w:rsidRPr="00C90004">
              <w:rPr>
                <w:b/>
                <w:bCs/>
                <w:color w:val="000000" w:themeColor="text1"/>
                <w:szCs w:val="20"/>
                <w:lang w:val="sl-SI"/>
              </w:rPr>
              <w:t>195.352</w:t>
            </w:r>
          </w:p>
        </w:tc>
      </w:tr>
    </w:tbl>
    <w:p w:rsidR="004644FA" w:rsidRPr="00C90004" w:rsidRDefault="004644FA" w:rsidP="004644FA">
      <w:pPr>
        <w:pStyle w:val="Napis"/>
        <w:spacing w:after="0"/>
        <w:jc w:val="both"/>
        <w:rPr>
          <w:rFonts w:ascii="Arial" w:hAnsi="Arial" w:cs="Arial"/>
          <w:b/>
          <w:i w:val="0"/>
          <w:color w:val="000000" w:themeColor="text1"/>
        </w:rPr>
      </w:pPr>
      <w:r w:rsidRPr="00C90004">
        <w:rPr>
          <w:rFonts w:ascii="Arial" w:hAnsi="Arial" w:cs="Arial"/>
          <w:color w:val="000000" w:themeColor="text1"/>
        </w:rPr>
        <w:t>Število aktiviranj in</w:t>
      </w:r>
      <w:r w:rsidR="00FD098C" w:rsidRPr="00C90004">
        <w:rPr>
          <w:rFonts w:ascii="Arial" w:hAnsi="Arial" w:cs="Arial"/>
          <w:color w:val="000000" w:themeColor="text1"/>
        </w:rPr>
        <w:t xml:space="preserve"> število sodelujočih v letu 2022</w:t>
      </w:r>
      <w:r w:rsidRPr="00C90004">
        <w:rPr>
          <w:rFonts w:ascii="Arial" w:hAnsi="Arial" w:cs="Arial"/>
          <w:color w:val="000000" w:themeColor="text1"/>
        </w:rPr>
        <w:t xml:space="preserve"> je obdelano na podlagi vnesenih in potrjenih podatkov vodij intervencij v poročila v Sistemu za poročanje in intervencije (SPIN</w:t>
      </w:r>
      <w:r w:rsidR="00C90004" w:rsidRPr="00C90004">
        <w:rPr>
          <w:rFonts w:ascii="Arial" w:hAnsi="Arial" w:cs="Arial"/>
          <w:color w:val="000000" w:themeColor="text1"/>
        </w:rPr>
        <w:t>)</w:t>
      </w:r>
    </w:p>
    <w:p w:rsidR="004644FA" w:rsidRDefault="004644FA"/>
    <w:p w:rsidR="00C90004" w:rsidRDefault="00C90004"/>
    <w:p w:rsidR="00C90004" w:rsidRDefault="00C90004"/>
    <w:sectPr w:rsidR="00C90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FA"/>
    <w:rsid w:val="0002677C"/>
    <w:rsid w:val="00084F0A"/>
    <w:rsid w:val="001426D1"/>
    <w:rsid w:val="00242D41"/>
    <w:rsid w:val="004644FA"/>
    <w:rsid w:val="0051453E"/>
    <w:rsid w:val="00727B23"/>
    <w:rsid w:val="0080376C"/>
    <w:rsid w:val="00AA14B8"/>
    <w:rsid w:val="00C523A0"/>
    <w:rsid w:val="00C90004"/>
    <w:rsid w:val="00F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63195-CF16-4EB5-B586-34288781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44FA"/>
    <w:pPr>
      <w:spacing w:after="0" w:line="260" w:lineRule="atLeast"/>
    </w:pPr>
    <w:rPr>
      <w:rFonts w:ascii="Arial" w:eastAsia="Times New Roman" w:hAnsi="Arial" w:cs="Arial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4644FA"/>
    <w:rPr>
      <w:color w:val="0000FF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4644FA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2793</Characters>
  <Application>Microsoft Office Word</Application>
  <DocSecurity>4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Predovnik</dc:creator>
  <cp:keywords/>
  <dc:description/>
  <cp:lastModifiedBy>Vesna Predovnik</cp:lastModifiedBy>
  <cp:revision>2</cp:revision>
  <dcterms:created xsi:type="dcterms:W3CDTF">2023-06-01T11:18:00Z</dcterms:created>
  <dcterms:modified xsi:type="dcterms:W3CDTF">2023-06-01T11:18:00Z</dcterms:modified>
</cp:coreProperties>
</file>