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DECC" w14:textId="4639B087" w:rsidR="00F401B8" w:rsidRDefault="00F401B8" w:rsidP="00F401B8">
      <w:pPr>
        <w:pStyle w:val="Naslov"/>
        <w:jc w:val="center"/>
        <w:rPr>
          <w:rFonts w:asciiTheme="minorHAnsi" w:hAnsiTheme="minorHAnsi" w:cstheme="minorHAnsi"/>
          <w:b/>
          <w:sz w:val="48"/>
        </w:rPr>
      </w:pPr>
      <w:r>
        <w:rPr>
          <w:rFonts w:asciiTheme="minorHAnsi" w:hAnsiTheme="minorHAnsi" w:cstheme="minorHAnsi"/>
          <w:b/>
          <w:sz w:val="48"/>
        </w:rPr>
        <w:t xml:space="preserve">Activity report of </w:t>
      </w:r>
      <w:r w:rsidR="002E010A">
        <w:rPr>
          <w:rFonts w:asciiTheme="minorHAnsi" w:hAnsiTheme="minorHAnsi" w:cstheme="minorHAnsi"/>
          <w:b/>
          <w:sz w:val="48"/>
        </w:rPr>
        <w:t>Slovenia</w:t>
      </w:r>
    </w:p>
    <w:p w14:paraId="4162EBF6" w14:textId="77777777" w:rsidR="00F401B8" w:rsidRPr="005A5BD5" w:rsidRDefault="00F401B8" w:rsidP="00F401B8">
      <w:pPr>
        <w:jc w:val="center"/>
        <w:rPr>
          <w:sz w:val="28"/>
        </w:rPr>
      </w:pPr>
      <w:r w:rsidRPr="005A5BD5">
        <w:rPr>
          <w:b/>
          <w:sz w:val="32"/>
          <w:szCs w:val="24"/>
        </w:rPr>
        <w:t>Regulation (EU) 1177/2010 concerning the rights of passengers when travelling by sea and inland waterway</w:t>
      </w:r>
    </w:p>
    <w:p w14:paraId="0B030A85" w14:textId="77777777" w:rsidR="00F401B8" w:rsidRPr="00F35D33" w:rsidRDefault="00F401B8" w:rsidP="00F401B8">
      <w:pPr>
        <w:jc w:val="center"/>
        <w:rPr>
          <w:b/>
          <w:sz w:val="40"/>
        </w:rPr>
      </w:pPr>
      <w:r>
        <w:rPr>
          <w:b/>
          <w:sz w:val="40"/>
        </w:rPr>
        <w:t>Year of 2021 and 2022</w:t>
      </w:r>
    </w:p>
    <w:p w14:paraId="4B2DF887" w14:textId="261A5212" w:rsidR="00793193" w:rsidRPr="00C35F2F" w:rsidRDefault="00793193" w:rsidP="00F401B8">
      <w:pPr>
        <w:pStyle w:val="Naslov1"/>
        <w:numPr>
          <w:ilvl w:val="0"/>
          <w:numId w:val="1"/>
        </w:numPr>
        <w:rPr>
          <w:b/>
          <w:color w:val="7030A0"/>
        </w:rPr>
      </w:pPr>
      <w:r w:rsidRPr="00C21D0A">
        <w:rPr>
          <w:b/>
          <w:color w:val="002060"/>
        </w:rPr>
        <w:t>Information on the national system</w:t>
      </w:r>
      <w:r w:rsidR="00C35F2F">
        <w:rPr>
          <w:b/>
          <w:color w:val="002060"/>
        </w:rPr>
        <w:t xml:space="preserve"> </w:t>
      </w:r>
    </w:p>
    <w:p w14:paraId="3DA43A98" w14:textId="77777777" w:rsidR="006352AB" w:rsidRDefault="006352AB" w:rsidP="00F401B8">
      <w:pPr>
        <w:rPr>
          <w:i/>
          <w:color w:val="808080"/>
          <w:lang w:val="en-IE"/>
        </w:rPr>
      </w:pPr>
    </w:p>
    <w:p w14:paraId="6068B41B" w14:textId="0EB7551B" w:rsidR="006352AB" w:rsidRPr="006352AB" w:rsidRDefault="006352AB" w:rsidP="00F401B8">
      <w:pPr>
        <w:rPr>
          <w:i/>
          <w:color w:val="808080"/>
          <w:lang w:val="en-IE"/>
        </w:rPr>
      </w:pPr>
      <w:r w:rsidRPr="006352AB">
        <w:rPr>
          <w:i/>
          <w:color w:val="808080"/>
          <w:lang w:val="en-IE"/>
        </w:rPr>
        <w:t>Introduction to the national system.</w:t>
      </w:r>
      <w:r w:rsidR="00C35F2F">
        <w:rPr>
          <w:i/>
          <w:color w:val="808080"/>
          <w:lang w:val="en-IE"/>
        </w:rPr>
        <w:t xml:space="preserve"> </w:t>
      </w:r>
    </w:p>
    <w:p w14:paraId="2BD25650" w14:textId="2A48968C" w:rsidR="006352AB" w:rsidRPr="006352AB" w:rsidRDefault="006352AB" w:rsidP="00F401B8">
      <w:pPr>
        <w:rPr>
          <w:i/>
          <w:color w:val="808080"/>
          <w:lang w:val="en-IE"/>
        </w:rPr>
      </w:pPr>
      <w:r w:rsidRPr="006352AB">
        <w:rPr>
          <w:i/>
          <w:color w:val="808080"/>
          <w:lang w:val="en-IE"/>
        </w:rPr>
        <w:t>The information could include the following:</w:t>
      </w:r>
    </w:p>
    <w:p w14:paraId="3F46011F" w14:textId="3DC43301" w:rsidR="006352AB" w:rsidRPr="006352AB" w:rsidRDefault="006352AB" w:rsidP="00F401B8">
      <w:pPr>
        <w:pStyle w:val="Odstavekseznama"/>
        <w:numPr>
          <w:ilvl w:val="0"/>
          <w:numId w:val="2"/>
        </w:numPr>
        <w:jc w:val="both"/>
        <w:rPr>
          <w:color w:val="808080"/>
        </w:rPr>
      </w:pPr>
      <w:r w:rsidRPr="006352AB">
        <w:rPr>
          <w:color w:val="808080"/>
        </w:rPr>
        <w:t>Name of the NEB</w:t>
      </w:r>
      <w:r w:rsidR="00C35F2F">
        <w:rPr>
          <w:color w:val="808080"/>
        </w:rPr>
        <w:t xml:space="preserve"> </w:t>
      </w:r>
    </w:p>
    <w:p w14:paraId="5D7916BE" w14:textId="423BAAAB" w:rsidR="006352AB" w:rsidRPr="006352AB" w:rsidRDefault="006352AB" w:rsidP="00F401B8">
      <w:pPr>
        <w:pStyle w:val="Odstavekseznama"/>
        <w:numPr>
          <w:ilvl w:val="0"/>
          <w:numId w:val="2"/>
        </w:numPr>
        <w:jc w:val="both"/>
        <w:rPr>
          <w:color w:val="808080"/>
        </w:rPr>
      </w:pPr>
      <w:r w:rsidRPr="006352AB">
        <w:rPr>
          <w:color w:val="808080"/>
        </w:rPr>
        <w:t>Description of the tasks of the NEB</w:t>
      </w:r>
      <w:r w:rsidR="00C35F2F">
        <w:rPr>
          <w:color w:val="808080"/>
        </w:rPr>
        <w:t xml:space="preserve"> </w:t>
      </w:r>
    </w:p>
    <w:p w14:paraId="43883874" w14:textId="7FF07868" w:rsidR="006352AB" w:rsidRPr="00C35F2F" w:rsidRDefault="006352AB" w:rsidP="00F401B8">
      <w:pPr>
        <w:pStyle w:val="Odstavekseznama"/>
        <w:numPr>
          <w:ilvl w:val="0"/>
          <w:numId w:val="2"/>
        </w:numPr>
        <w:jc w:val="both"/>
        <w:rPr>
          <w:color w:val="7030A0"/>
        </w:rPr>
      </w:pPr>
      <w:r w:rsidRPr="006352AB">
        <w:rPr>
          <w:color w:val="808080"/>
        </w:rPr>
        <w:t xml:space="preserve">Powers and </w:t>
      </w:r>
      <w:r w:rsidRPr="006352AB">
        <w:rPr>
          <w:color w:val="808080"/>
          <w:lang w:val="en-GB"/>
        </w:rPr>
        <w:t>organisation</w:t>
      </w:r>
      <w:r w:rsidRPr="006352AB">
        <w:rPr>
          <w:color w:val="808080"/>
        </w:rPr>
        <w:t xml:space="preserve"> of the NEB (links and hierarchy with the current administration)</w:t>
      </w:r>
      <w:r w:rsidR="00C35F2F">
        <w:rPr>
          <w:color w:val="808080"/>
        </w:rPr>
        <w:t xml:space="preserve"> </w:t>
      </w:r>
    </w:p>
    <w:p w14:paraId="2871AA25" w14:textId="5B5F0D67" w:rsidR="006352AB" w:rsidRPr="00863BE9" w:rsidRDefault="006352AB" w:rsidP="00F401B8">
      <w:pPr>
        <w:pStyle w:val="Odstavekseznama"/>
        <w:numPr>
          <w:ilvl w:val="0"/>
          <w:numId w:val="2"/>
        </w:numPr>
        <w:jc w:val="both"/>
        <w:rPr>
          <w:color w:val="7030A0"/>
        </w:rPr>
      </w:pPr>
      <w:r w:rsidRPr="006352AB">
        <w:rPr>
          <w:color w:val="808080"/>
        </w:rPr>
        <w:t>Are there several NEBs in your Member State? If yes, how are the tasks stipulated in the Regulation are distributed between them?</w:t>
      </w:r>
      <w:r w:rsidR="00F401B8">
        <w:rPr>
          <w:color w:val="808080"/>
        </w:rPr>
        <w:t xml:space="preserve"> </w:t>
      </w:r>
    </w:p>
    <w:p w14:paraId="2CEAC492" w14:textId="7431D260" w:rsidR="00863BE9" w:rsidRDefault="00863BE9" w:rsidP="00863BE9">
      <w:pPr>
        <w:spacing w:after="0" w:line="240" w:lineRule="auto"/>
        <w:ind w:left="360"/>
        <w:jc w:val="both"/>
      </w:pPr>
      <w:r w:rsidRPr="00863BE9">
        <w:t>The Slovenian national authorities acquired the monitoring powers with the entry into force of the Regulation implementing Regulation (EU) 1177/2010 on the rights of passengers when travelling by sea and inland waterway (Official Journal of the Republic of Slovenia, No 49/13) on 8 June 2013.</w:t>
      </w:r>
    </w:p>
    <w:p w14:paraId="07BE44CD" w14:textId="34877DEA" w:rsidR="00863BE9" w:rsidRDefault="00863BE9" w:rsidP="00863BE9">
      <w:pPr>
        <w:spacing w:after="0" w:line="240" w:lineRule="auto"/>
        <w:ind w:left="360"/>
        <w:jc w:val="both"/>
      </w:pPr>
      <w:r w:rsidRPr="00863BE9">
        <w:t>In Slovenia, the Market Inspectorate of the Republic of Slovenia and the Maritime Administration of the Republic of Slovenia share control. The tasks are divided between them by the Regulation on the implementation of Regulation 1177/2010.</w:t>
      </w:r>
    </w:p>
    <w:p w14:paraId="675B8CF8" w14:textId="77777777" w:rsidR="00863BE9" w:rsidRDefault="00863BE9" w:rsidP="00863BE9">
      <w:pPr>
        <w:spacing w:after="0" w:line="240" w:lineRule="auto"/>
        <w:ind w:left="360"/>
        <w:jc w:val="both"/>
      </w:pPr>
    </w:p>
    <w:p w14:paraId="760A1ED0" w14:textId="77777777" w:rsidR="00863BE9" w:rsidRDefault="00863BE9" w:rsidP="00863BE9">
      <w:pPr>
        <w:spacing w:after="0" w:line="240" w:lineRule="auto"/>
        <w:ind w:left="360"/>
        <w:jc w:val="both"/>
      </w:pPr>
      <w:r>
        <w:t>The Maritime Administration of the Republic of Slovenia is designated as the competent authority for the tasks referred to in Article 9(1) and (2) and Articles 13 and 14 of Regulation 1177/2010/EU.</w:t>
      </w:r>
    </w:p>
    <w:p w14:paraId="02379B95" w14:textId="77777777" w:rsidR="00863BE9" w:rsidRDefault="00863BE9" w:rsidP="00863BE9">
      <w:pPr>
        <w:spacing w:after="0" w:line="240" w:lineRule="auto"/>
        <w:ind w:left="360"/>
      </w:pPr>
    </w:p>
    <w:p w14:paraId="1A948A70" w14:textId="77777777" w:rsidR="00863BE9" w:rsidRPr="00863BE9" w:rsidRDefault="00863BE9" w:rsidP="00863BE9">
      <w:pPr>
        <w:spacing w:after="0" w:line="240" w:lineRule="auto"/>
        <w:ind w:left="360"/>
        <w:rPr>
          <w:lang w:val="en-GB"/>
        </w:rPr>
      </w:pPr>
      <w:r w:rsidRPr="00863BE9">
        <w:rPr>
          <w:lang w:val="en-GB"/>
        </w:rPr>
        <w:t xml:space="preserve">In accordance with the above, the </w:t>
      </w:r>
      <w:r w:rsidRPr="00863BE9">
        <w:t>Slovenian Maritime Administration</w:t>
      </w:r>
      <w:r w:rsidRPr="00863BE9">
        <w:rPr>
          <w:lang w:val="en-GB"/>
        </w:rPr>
        <w:t xml:space="preserve"> carries out the inspections of carriers and terminal operators regarding:</w:t>
      </w:r>
    </w:p>
    <w:p w14:paraId="4F8FAF3F" w14:textId="77777777" w:rsidR="00863BE9" w:rsidRPr="00863BE9" w:rsidRDefault="00863BE9" w:rsidP="00863BE9">
      <w:pPr>
        <w:pStyle w:val="Odstavekseznama"/>
        <w:numPr>
          <w:ilvl w:val="0"/>
          <w:numId w:val="3"/>
        </w:numPr>
        <w:spacing w:after="0" w:line="240" w:lineRule="auto"/>
        <w:rPr>
          <w:lang w:val="en-GB"/>
        </w:rPr>
      </w:pPr>
      <w:r w:rsidRPr="00863BE9">
        <w:rPr>
          <w:lang w:val="en-GB"/>
        </w:rPr>
        <w:t>non-discriminatory access conditions for the transportation of disabled persons and persons with reduced mobility and accompanying persons,</w:t>
      </w:r>
    </w:p>
    <w:p w14:paraId="5642E571" w14:textId="77777777" w:rsidR="00863BE9" w:rsidRPr="00863BE9" w:rsidRDefault="00863BE9" w:rsidP="00863BE9">
      <w:pPr>
        <w:pStyle w:val="Odstavekseznama"/>
        <w:numPr>
          <w:ilvl w:val="0"/>
          <w:numId w:val="3"/>
        </w:numPr>
        <w:spacing w:after="0" w:line="240" w:lineRule="auto"/>
        <w:rPr>
          <w:lang w:val="en-GB"/>
        </w:rPr>
      </w:pPr>
      <w:r w:rsidRPr="00863BE9">
        <w:rPr>
          <w:lang w:val="en-GB"/>
        </w:rPr>
        <w:t>appropriate public availability of the terms of access in the relevant languages,</w:t>
      </w:r>
    </w:p>
    <w:p w14:paraId="5F690CEC" w14:textId="77777777" w:rsidR="00863BE9" w:rsidRPr="00863BE9" w:rsidRDefault="00863BE9" w:rsidP="00863BE9">
      <w:pPr>
        <w:pStyle w:val="Odstavekseznama"/>
        <w:numPr>
          <w:ilvl w:val="0"/>
          <w:numId w:val="3"/>
        </w:numPr>
        <w:spacing w:after="0" w:line="240" w:lineRule="auto"/>
        <w:rPr>
          <w:lang w:val="en-GB"/>
        </w:rPr>
      </w:pPr>
      <w:r w:rsidRPr="00863BE9">
        <w:rPr>
          <w:lang w:val="en-GB"/>
        </w:rPr>
        <w:t>appropriate setting and publication of quality standards for assistance to disabled persons and persons with reduced mobility,</w:t>
      </w:r>
    </w:p>
    <w:p w14:paraId="5C2190A6" w14:textId="77777777" w:rsidR="00863BE9" w:rsidRPr="00863BE9" w:rsidRDefault="00863BE9" w:rsidP="00863BE9">
      <w:pPr>
        <w:pStyle w:val="Odstavekseznama"/>
        <w:numPr>
          <w:ilvl w:val="0"/>
          <w:numId w:val="3"/>
        </w:numPr>
        <w:spacing w:after="0" w:line="240" w:lineRule="auto"/>
        <w:rPr>
          <w:lang w:val="en-GB"/>
        </w:rPr>
      </w:pPr>
      <w:r w:rsidRPr="00863BE9">
        <w:rPr>
          <w:lang w:val="en-GB"/>
        </w:rPr>
        <w:t>qualifications of the personnel of carriers and terminal operators regarding disabilities,</w:t>
      </w:r>
    </w:p>
    <w:p w14:paraId="0EB7251F" w14:textId="77777777" w:rsidR="00863BE9" w:rsidRPr="00863BE9" w:rsidRDefault="00863BE9" w:rsidP="00863BE9">
      <w:pPr>
        <w:spacing w:after="0" w:line="240" w:lineRule="auto"/>
        <w:ind w:firstLine="360"/>
        <w:jc w:val="both"/>
        <w:rPr>
          <w:lang w:val="en-GB"/>
        </w:rPr>
      </w:pPr>
      <w:r w:rsidRPr="00863BE9">
        <w:rPr>
          <w:lang w:val="en-GB"/>
        </w:rPr>
        <w:t>and handles passengers' complaints related to infringements in the above-mentioned areas.</w:t>
      </w:r>
    </w:p>
    <w:p w14:paraId="7BF5B9A7" w14:textId="77777777" w:rsidR="00863BE9" w:rsidRDefault="00863BE9" w:rsidP="00863BE9">
      <w:pPr>
        <w:jc w:val="both"/>
      </w:pPr>
    </w:p>
    <w:p w14:paraId="337112C7" w14:textId="77777777" w:rsidR="00863BE9" w:rsidRDefault="00863BE9" w:rsidP="00863BE9">
      <w:pPr>
        <w:spacing w:after="0" w:line="240" w:lineRule="auto"/>
        <w:ind w:left="360"/>
      </w:pPr>
      <w:r>
        <w:t>The Market Inspectorate of the Republic of Slovenia is designated as the competent authority for the tasks referred to in Articles 4, 7, 8, 9, 10, 11, 12, 13, 14, 16, 17, 18, 19, 22, 23 and 24 of Regulation 1177/2010/EU.</w:t>
      </w:r>
    </w:p>
    <w:p w14:paraId="5C955144" w14:textId="77777777" w:rsidR="00863BE9" w:rsidRDefault="00863BE9" w:rsidP="00863BE9">
      <w:pPr>
        <w:spacing w:after="0" w:line="240" w:lineRule="auto"/>
        <w:ind w:left="360"/>
      </w:pPr>
    </w:p>
    <w:p w14:paraId="1C453B5A" w14:textId="3E3BFC2E" w:rsidR="00863BE9" w:rsidRDefault="00863BE9" w:rsidP="00863BE9">
      <w:pPr>
        <w:spacing w:after="0" w:line="240" w:lineRule="auto"/>
        <w:ind w:left="360"/>
      </w:pPr>
      <w:r>
        <w:t>Market Inspectorate carries out inspections in respect of:</w:t>
      </w:r>
    </w:p>
    <w:p w14:paraId="2702B0DB" w14:textId="77777777" w:rsidR="00863BE9" w:rsidRDefault="00863BE9" w:rsidP="00863BE9">
      <w:pPr>
        <w:spacing w:after="0" w:line="240" w:lineRule="auto"/>
        <w:ind w:left="360"/>
      </w:pPr>
      <w:r>
        <w:t xml:space="preserve">- non-discrimination between passengers and the conditions of carriage provided by carriers, </w:t>
      </w:r>
    </w:p>
    <w:p w14:paraId="2D478E23" w14:textId="77777777" w:rsidR="00863BE9" w:rsidRDefault="00863BE9" w:rsidP="00863BE9">
      <w:pPr>
        <w:spacing w:after="0" w:line="240" w:lineRule="auto"/>
        <w:ind w:left="360"/>
      </w:pPr>
      <w:r>
        <w:t xml:space="preserve">- non-discrimination and assistance to disabled persons and persons with reduced mobility, </w:t>
      </w:r>
    </w:p>
    <w:p w14:paraId="2D24A09E" w14:textId="77777777" w:rsidR="00863BE9" w:rsidRDefault="00863BE9" w:rsidP="00863BE9">
      <w:pPr>
        <w:spacing w:after="0" w:line="240" w:lineRule="auto"/>
        <w:ind w:left="360"/>
      </w:pPr>
      <w:r>
        <w:lastRenderedPageBreak/>
        <w:t xml:space="preserve">- the rights of passengers in the event of cancellation or delay of travel; and </w:t>
      </w:r>
    </w:p>
    <w:p w14:paraId="47EBFCB6" w14:textId="7132A74F" w:rsidR="00863BE9" w:rsidRPr="00863BE9" w:rsidRDefault="00863BE9" w:rsidP="00863BE9">
      <w:pPr>
        <w:spacing w:after="0" w:line="240" w:lineRule="auto"/>
        <w:ind w:left="360"/>
      </w:pPr>
      <w:r>
        <w:t>- the minimum information to be provided to passengers.</w:t>
      </w:r>
    </w:p>
    <w:p w14:paraId="2D8B4544" w14:textId="77777777" w:rsidR="00863BE9" w:rsidRPr="00863BE9" w:rsidRDefault="00863BE9" w:rsidP="00863BE9">
      <w:pPr>
        <w:pStyle w:val="Odstavekseznama"/>
        <w:jc w:val="both"/>
        <w:rPr>
          <w:color w:val="7030A0"/>
        </w:rPr>
      </w:pPr>
    </w:p>
    <w:p w14:paraId="4812F64C" w14:textId="6B410AD7" w:rsidR="006352AB" w:rsidRPr="00863BE9" w:rsidRDefault="006352AB" w:rsidP="00F401B8">
      <w:pPr>
        <w:pStyle w:val="Odstavekseznama"/>
        <w:numPr>
          <w:ilvl w:val="0"/>
          <w:numId w:val="2"/>
        </w:numPr>
        <w:jc w:val="both"/>
        <w:rPr>
          <w:color w:val="7030A0"/>
        </w:rPr>
      </w:pPr>
      <w:r w:rsidRPr="001C07F5">
        <w:rPr>
          <w:color w:val="808080"/>
        </w:rPr>
        <w:t>What are the resources of the NEB (staff and budget)?</w:t>
      </w:r>
      <w:r w:rsidR="00F401B8">
        <w:rPr>
          <w:color w:val="808080"/>
        </w:rPr>
        <w:t xml:space="preserve"> </w:t>
      </w:r>
    </w:p>
    <w:p w14:paraId="3688937A" w14:textId="12651C27" w:rsidR="00863BE9" w:rsidRPr="00863BE9" w:rsidRDefault="00863BE9" w:rsidP="00863BE9">
      <w:pPr>
        <w:spacing w:after="0"/>
        <w:ind w:left="360"/>
        <w:jc w:val="both"/>
        <w:rPr>
          <w:highlight w:val="yellow"/>
        </w:rPr>
      </w:pPr>
      <w:r w:rsidRPr="00863BE9">
        <w:t>Market inspectorate:</w:t>
      </w:r>
    </w:p>
    <w:p w14:paraId="308E7E12" w14:textId="77777777" w:rsidR="00863BE9" w:rsidRPr="00863BE9" w:rsidRDefault="00863BE9" w:rsidP="00863BE9">
      <w:pPr>
        <w:pStyle w:val="Odstavekseznama"/>
        <w:numPr>
          <w:ilvl w:val="1"/>
          <w:numId w:val="2"/>
        </w:numPr>
        <w:spacing w:after="0" w:line="240" w:lineRule="auto"/>
        <w:jc w:val="both"/>
      </w:pPr>
      <w:r w:rsidRPr="00863BE9">
        <w:t>staff: 1 person (partially),</w:t>
      </w:r>
    </w:p>
    <w:p w14:paraId="65874EB4" w14:textId="77777777" w:rsidR="00863BE9" w:rsidRPr="00863BE9" w:rsidRDefault="00863BE9" w:rsidP="00863BE9">
      <w:pPr>
        <w:pStyle w:val="Odstavekseznama"/>
        <w:numPr>
          <w:ilvl w:val="1"/>
          <w:numId w:val="2"/>
        </w:numPr>
        <w:spacing w:after="0" w:line="240" w:lineRule="auto"/>
        <w:jc w:val="both"/>
      </w:pPr>
      <w:r w:rsidRPr="00863BE9">
        <w:t xml:space="preserve">budget: no extra budget. </w:t>
      </w:r>
    </w:p>
    <w:p w14:paraId="12E34B40" w14:textId="77777777" w:rsidR="00863BE9" w:rsidRPr="00863BE9" w:rsidRDefault="00863BE9" w:rsidP="00863BE9">
      <w:pPr>
        <w:spacing w:after="0" w:line="240" w:lineRule="auto"/>
        <w:ind w:firstLine="360"/>
        <w:jc w:val="both"/>
      </w:pPr>
    </w:p>
    <w:p w14:paraId="34CA9364" w14:textId="77777777" w:rsidR="00863BE9" w:rsidRPr="00863BE9" w:rsidRDefault="00863BE9" w:rsidP="00863BE9">
      <w:pPr>
        <w:spacing w:after="0" w:line="240" w:lineRule="auto"/>
        <w:ind w:firstLine="360"/>
        <w:jc w:val="both"/>
      </w:pPr>
      <w:r w:rsidRPr="00863BE9">
        <w:t>Slovenian Maritime Administration:</w:t>
      </w:r>
    </w:p>
    <w:p w14:paraId="5A85458F" w14:textId="77777777" w:rsidR="00863BE9" w:rsidRPr="00863BE9" w:rsidRDefault="00863BE9" w:rsidP="00863BE9">
      <w:pPr>
        <w:pStyle w:val="Odstavekseznama"/>
        <w:numPr>
          <w:ilvl w:val="1"/>
          <w:numId w:val="2"/>
        </w:numPr>
        <w:spacing w:after="0" w:line="240" w:lineRule="auto"/>
        <w:jc w:val="both"/>
      </w:pPr>
      <w:bookmarkStart w:id="0" w:name="_Hlk135803111"/>
      <w:r w:rsidRPr="00863BE9">
        <w:t>staff: 1 person (partially),</w:t>
      </w:r>
    </w:p>
    <w:p w14:paraId="45CA5DCF" w14:textId="77777777" w:rsidR="00863BE9" w:rsidRPr="00863BE9" w:rsidRDefault="00863BE9" w:rsidP="00863BE9">
      <w:pPr>
        <w:pStyle w:val="Odstavekseznama"/>
        <w:numPr>
          <w:ilvl w:val="1"/>
          <w:numId w:val="2"/>
        </w:numPr>
        <w:spacing w:after="0" w:line="240" w:lineRule="auto"/>
        <w:jc w:val="both"/>
      </w:pPr>
      <w:r w:rsidRPr="00863BE9">
        <w:t xml:space="preserve">budget: no extra budget. </w:t>
      </w:r>
    </w:p>
    <w:bookmarkEnd w:id="0"/>
    <w:p w14:paraId="1E4654BE" w14:textId="77777777" w:rsidR="00863BE9" w:rsidRPr="001C07F5" w:rsidRDefault="00863BE9" w:rsidP="00863BE9">
      <w:pPr>
        <w:pStyle w:val="Odstavekseznama"/>
        <w:jc w:val="both"/>
        <w:rPr>
          <w:color w:val="7030A0"/>
        </w:rPr>
      </w:pPr>
    </w:p>
    <w:p w14:paraId="27AF4B63" w14:textId="579EDC6D" w:rsidR="006352AB" w:rsidRPr="00863BE9" w:rsidRDefault="006352AB" w:rsidP="00F401B8">
      <w:pPr>
        <w:pStyle w:val="Odstavekseznama"/>
        <w:numPr>
          <w:ilvl w:val="0"/>
          <w:numId w:val="2"/>
        </w:numPr>
        <w:jc w:val="both"/>
        <w:rPr>
          <w:color w:val="7030A0"/>
        </w:rPr>
      </w:pPr>
      <w:r w:rsidRPr="006352AB">
        <w:rPr>
          <w:color w:val="808080"/>
        </w:rPr>
        <w:t xml:space="preserve">Significant national legislation update on that matter (if yes, please elaborate and give the Official Journal’s </w:t>
      </w:r>
      <w:r w:rsidRPr="006352AB">
        <w:rPr>
          <w:b/>
          <w:color w:val="808080"/>
        </w:rPr>
        <w:t>reference and link</w:t>
      </w:r>
      <w:r w:rsidRPr="006352AB">
        <w:rPr>
          <w:color w:val="808080"/>
        </w:rPr>
        <w:t>)? (Article 28 of the Regulation)</w:t>
      </w:r>
      <w:r w:rsidR="00C35F2F">
        <w:rPr>
          <w:color w:val="808080"/>
        </w:rPr>
        <w:t xml:space="preserve"> </w:t>
      </w:r>
    </w:p>
    <w:p w14:paraId="6F49BF19" w14:textId="77777777" w:rsidR="00863BE9" w:rsidRPr="00863BE9" w:rsidRDefault="00863BE9" w:rsidP="00863BE9">
      <w:pPr>
        <w:spacing w:after="0" w:line="240" w:lineRule="auto"/>
        <w:ind w:left="360"/>
        <w:jc w:val="both"/>
      </w:pPr>
      <w:r w:rsidRPr="00863BE9">
        <w:t>The Decree for the enforcement of the Regulation 1177/2010 concerning the rights of passengers when travelling by sea and inland navigation (Official Gazette RS, No. 49/2013) entered into force on 8 June 2013, and have not changed to this day.</w:t>
      </w:r>
    </w:p>
    <w:p w14:paraId="53EB75E5" w14:textId="77777777" w:rsidR="00452421" w:rsidRDefault="00452421" w:rsidP="00452421">
      <w:pPr>
        <w:pStyle w:val="Odstavekseznama"/>
        <w:jc w:val="both"/>
        <w:rPr>
          <w:color w:val="808080"/>
        </w:rPr>
      </w:pPr>
    </w:p>
    <w:p w14:paraId="1749B8C8" w14:textId="50E665F8" w:rsidR="006352AB" w:rsidRDefault="006352AB" w:rsidP="00F401B8">
      <w:pPr>
        <w:pStyle w:val="Odstavekseznama"/>
        <w:numPr>
          <w:ilvl w:val="0"/>
          <w:numId w:val="2"/>
        </w:numPr>
        <w:jc w:val="both"/>
        <w:rPr>
          <w:color w:val="808080"/>
        </w:rPr>
      </w:pPr>
      <w:r w:rsidRPr="006352AB">
        <w:rPr>
          <w:color w:val="808080"/>
        </w:rPr>
        <w:t xml:space="preserve">Has the implementation of the Regulation in the national law created case law?  (State </w:t>
      </w:r>
      <w:r w:rsidRPr="006352AB">
        <w:rPr>
          <w:b/>
          <w:color w:val="808080"/>
        </w:rPr>
        <w:t>the issues addressed</w:t>
      </w:r>
      <w:r w:rsidRPr="006352AB">
        <w:rPr>
          <w:color w:val="808080"/>
        </w:rPr>
        <w:t xml:space="preserve"> in those texts and provide</w:t>
      </w:r>
      <w:r w:rsidRPr="006352AB">
        <w:rPr>
          <w:b/>
          <w:color w:val="808080"/>
        </w:rPr>
        <w:t xml:space="preserve"> links and references</w:t>
      </w:r>
      <w:r w:rsidRPr="006352AB">
        <w:rPr>
          <w:color w:val="808080"/>
        </w:rPr>
        <w:t xml:space="preserve"> to it).</w:t>
      </w:r>
      <w:r w:rsidR="00F401B8">
        <w:rPr>
          <w:color w:val="808080"/>
        </w:rPr>
        <w:t xml:space="preserve"> </w:t>
      </w:r>
    </w:p>
    <w:p w14:paraId="4B69827C" w14:textId="545931E4" w:rsidR="00863BE9" w:rsidRPr="00863BE9" w:rsidRDefault="00863BE9" w:rsidP="00863BE9">
      <w:pPr>
        <w:ind w:left="360"/>
        <w:jc w:val="both"/>
      </w:pPr>
      <w:r w:rsidRPr="00863BE9">
        <w:t>No.</w:t>
      </w:r>
    </w:p>
    <w:p w14:paraId="5AE38F65" w14:textId="12343A5B" w:rsidR="006345E5" w:rsidRDefault="006345E5" w:rsidP="00F401B8">
      <w:pPr>
        <w:pStyle w:val="Naslov1"/>
        <w:numPr>
          <w:ilvl w:val="0"/>
          <w:numId w:val="1"/>
        </w:numPr>
        <w:rPr>
          <w:b/>
          <w:color w:val="002060"/>
        </w:rPr>
      </w:pPr>
      <w:r w:rsidRPr="006345E5">
        <w:rPr>
          <w:b/>
          <w:color w:val="002060"/>
        </w:rPr>
        <w:t>Maritime market</w:t>
      </w:r>
      <w:r w:rsidR="00F401B8">
        <w:rPr>
          <w:b/>
          <w:color w:val="002060"/>
        </w:rPr>
        <w:t xml:space="preserve"> </w:t>
      </w:r>
    </w:p>
    <w:p w14:paraId="6700EF3B" w14:textId="77777777" w:rsidR="006345E5" w:rsidRPr="006345E5" w:rsidRDefault="006345E5" w:rsidP="00F401B8">
      <w:pPr>
        <w:ind w:left="720"/>
        <w:rPr>
          <w:color w:val="808080"/>
        </w:rPr>
      </w:pPr>
      <w:r w:rsidRPr="006345E5">
        <w:rPr>
          <w:color w:val="808080"/>
        </w:rPr>
        <w:t>Available data on the current maritime transportation market (volume of domestic ferry transportation; volume of international ferry transportation by port; national cruise ship sector…).</w:t>
      </w:r>
    </w:p>
    <w:p w14:paraId="29E68699" w14:textId="77777777" w:rsidR="006345E5" w:rsidRDefault="006345E5" w:rsidP="00F401B8">
      <w:pPr>
        <w:ind w:left="720"/>
        <w:rPr>
          <w:color w:val="808080"/>
        </w:rPr>
      </w:pPr>
      <w:r w:rsidRPr="006345E5">
        <w:rPr>
          <w:color w:val="808080"/>
        </w:rPr>
        <w:t>A descriptive text on e.g. the market, seasonal fluctuations, subsidized markets and descriptions of main routes and ports could be supported by the below tables.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2"/>
        <w:gridCol w:w="2219"/>
        <w:gridCol w:w="2660"/>
        <w:gridCol w:w="2857"/>
      </w:tblGrid>
      <w:tr w:rsidR="006345E5" w:rsidRPr="006345E5" w14:paraId="62DDEC0F" w14:textId="77777777" w:rsidTr="00E47799">
        <w:trPr>
          <w:trHeight w:val="283"/>
        </w:trPr>
        <w:tc>
          <w:tcPr>
            <w:tcW w:w="9288" w:type="dxa"/>
            <w:gridSpan w:val="4"/>
            <w:shd w:val="clear" w:color="auto" w:fill="D9D9D9"/>
          </w:tcPr>
          <w:p w14:paraId="1DF88A4A" w14:textId="01CF693C" w:rsidR="006345E5" w:rsidRPr="00E47799" w:rsidRDefault="006345E5" w:rsidP="00F401B8">
            <w:pPr>
              <w:spacing w:after="0" w:line="240" w:lineRule="auto"/>
              <w:rPr>
                <w:b/>
                <w:bCs/>
                <w:color w:val="C00000"/>
              </w:rPr>
            </w:pPr>
            <w:r w:rsidRPr="00E47799">
              <w:rPr>
                <w:b/>
                <w:bCs/>
              </w:rPr>
              <w:t>Table 1 – Volume of domestic passenger journeys by port</w:t>
            </w:r>
            <w:r w:rsidR="00C35F2F" w:rsidRPr="00E47799">
              <w:rPr>
                <w:b/>
                <w:bCs/>
              </w:rPr>
              <w:t xml:space="preserve"> –</w:t>
            </w:r>
            <w:r w:rsidR="00F401B8">
              <w:rPr>
                <w:b/>
                <w:bCs/>
                <w:color w:val="7030A0"/>
              </w:rPr>
              <w:t xml:space="preserve"> </w:t>
            </w:r>
          </w:p>
        </w:tc>
      </w:tr>
      <w:tr w:rsidR="006345E5" w:rsidRPr="006345E5" w14:paraId="2D98B471" w14:textId="77777777" w:rsidTr="00E47799">
        <w:trPr>
          <w:trHeight w:val="283"/>
        </w:trPr>
        <w:tc>
          <w:tcPr>
            <w:tcW w:w="1552" w:type="dxa"/>
            <w:shd w:val="clear" w:color="auto" w:fill="D9D9D9"/>
          </w:tcPr>
          <w:p w14:paraId="76B5D79C" w14:textId="77777777" w:rsidR="006345E5" w:rsidRPr="00E47799" w:rsidRDefault="006345E5" w:rsidP="00F401B8">
            <w:pPr>
              <w:spacing w:after="0" w:line="240" w:lineRule="auto"/>
              <w:rPr>
                <w:b/>
                <w:bCs/>
              </w:rPr>
            </w:pPr>
            <w:r w:rsidRPr="00E47799">
              <w:rPr>
                <w:b/>
                <w:bCs/>
              </w:rPr>
              <w:t>Port</w:t>
            </w:r>
            <w:r w:rsidR="00C35F2F" w:rsidRPr="00E47799">
              <w:rPr>
                <w:b/>
                <w:bCs/>
              </w:rPr>
              <w:t xml:space="preserve"> </w:t>
            </w:r>
          </w:p>
        </w:tc>
        <w:tc>
          <w:tcPr>
            <w:tcW w:w="2219" w:type="dxa"/>
            <w:shd w:val="clear" w:color="auto" w:fill="D9D9D9"/>
          </w:tcPr>
          <w:p w14:paraId="391D658C" w14:textId="77777777" w:rsidR="006345E5" w:rsidRPr="00E47799" w:rsidRDefault="006345E5" w:rsidP="00F401B8">
            <w:pPr>
              <w:spacing w:after="0" w:line="240" w:lineRule="auto"/>
              <w:rPr>
                <w:b/>
              </w:rPr>
            </w:pPr>
            <w:r w:rsidRPr="00E47799">
              <w:rPr>
                <w:b/>
              </w:rPr>
              <w:t>Year</w:t>
            </w:r>
          </w:p>
        </w:tc>
        <w:tc>
          <w:tcPr>
            <w:tcW w:w="2660" w:type="dxa"/>
            <w:shd w:val="clear" w:color="auto" w:fill="D9D9D9"/>
          </w:tcPr>
          <w:p w14:paraId="37CD78A9" w14:textId="55268E93" w:rsidR="006345E5" w:rsidRPr="00E47799" w:rsidRDefault="006345E5" w:rsidP="00F401B8">
            <w:pPr>
              <w:spacing w:after="0" w:line="240" w:lineRule="auto"/>
              <w:rPr>
                <w:b/>
              </w:rPr>
            </w:pPr>
            <w:r w:rsidRPr="00E47799">
              <w:rPr>
                <w:b/>
              </w:rPr>
              <w:t>Passengers embarked</w:t>
            </w:r>
            <w:r w:rsidR="00F401B8">
              <w:rPr>
                <w:b/>
              </w:rPr>
              <w:t xml:space="preserve"> </w:t>
            </w:r>
          </w:p>
        </w:tc>
        <w:tc>
          <w:tcPr>
            <w:tcW w:w="2857" w:type="dxa"/>
            <w:shd w:val="clear" w:color="auto" w:fill="D9D9D9"/>
          </w:tcPr>
          <w:p w14:paraId="609ACC33" w14:textId="47AE7F89" w:rsidR="006345E5" w:rsidRPr="00E47799" w:rsidRDefault="006345E5" w:rsidP="00F401B8">
            <w:pPr>
              <w:spacing w:after="0" w:line="240" w:lineRule="auto"/>
              <w:rPr>
                <w:b/>
              </w:rPr>
            </w:pPr>
            <w:r w:rsidRPr="00E47799">
              <w:rPr>
                <w:b/>
              </w:rPr>
              <w:t>Passenger disembarked</w:t>
            </w:r>
            <w:r w:rsidR="00F401B8">
              <w:rPr>
                <w:b/>
              </w:rPr>
              <w:t xml:space="preserve"> -</w:t>
            </w:r>
          </w:p>
        </w:tc>
      </w:tr>
      <w:tr w:rsidR="00F401B8" w:rsidRPr="00F401B8" w14:paraId="59E6D978" w14:textId="77777777" w:rsidTr="00E47799">
        <w:trPr>
          <w:trHeight w:val="299"/>
        </w:trPr>
        <w:tc>
          <w:tcPr>
            <w:tcW w:w="1552" w:type="dxa"/>
            <w:vMerge w:val="restart"/>
            <w:shd w:val="clear" w:color="auto" w:fill="D9D9D9"/>
          </w:tcPr>
          <w:p w14:paraId="564F2CD0" w14:textId="77777777" w:rsidR="006345E5" w:rsidRPr="00F401B8" w:rsidRDefault="006345E5" w:rsidP="00F401B8">
            <w:pPr>
              <w:spacing w:after="0" w:line="240" w:lineRule="auto"/>
              <w:rPr>
                <w:b/>
                <w:bCs/>
              </w:rPr>
            </w:pPr>
            <w:r w:rsidRPr="00F401B8">
              <w:rPr>
                <w:b/>
                <w:bCs/>
              </w:rPr>
              <w:t>Port X</w:t>
            </w:r>
          </w:p>
        </w:tc>
        <w:tc>
          <w:tcPr>
            <w:tcW w:w="2219" w:type="dxa"/>
            <w:shd w:val="clear" w:color="auto" w:fill="EEECE1"/>
          </w:tcPr>
          <w:p w14:paraId="367718A1" w14:textId="77777777" w:rsidR="006345E5" w:rsidRPr="00F401B8" w:rsidRDefault="006345E5" w:rsidP="00F401B8">
            <w:pPr>
              <w:spacing w:after="0" w:line="240" w:lineRule="auto"/>
              <w:rPr>
                <w:b/>
              </w:rPr>
            </w:pPr>
            <w:r w:rsidRPr="00F401B8">
              <w:rPr>
                <w:b/>
              </w:rPr>
              <w:t>2021</w:t>
            </w:r>
          </w:p>
        </w:tc>
        <w:tc>
          <w:tcPr>
            <w:tcW w:w="2660" w:type="dxa"/>
            <w:shd w:val="clear" w:color="auto" w:fill="FFFFFF"/>
          </w:tcPr>
          <w:p w14:paraId="11F8B600" w14:textId="77777777" w:rsidR="006345E5" w:rsidRPr="00F401B8" w:rsidRDefault="006345E5" w:rsidP="00F401B8">
            <w:pPr>
              <w:spacing w:after="0" w:line="240" w:lineRule="auto"/>
            </w:pPr>
            <w:r w:rsidRPr="00F401B8">
              <w:t>N/A</w:t>
            </w:r>
          </w:p>
        </w:tc>
        <w:tc>
          <w:tcPr>
            <w:tcW w:w="2857" w:type="dxa"/>
            <w:shd w:val="clear" w:color="auto" w:fill="FFFFFF"/>
          </w:tcPr>
          <w:p w14:paraId="0D6AEBDB" w14:textId="77777777" w:rsidR="006345E5" w:rsidRPr="00F401B8" w:rsidRDefault="006345E5" w:rsidP="00F401B8">
            <w:pPr>
              <w:spacing w:after="0" w:line="240" w:lineRule="auto"/>
            </w:pPr>
            <w:r w:rsidRPr="00F401B8">
              <w:t>N/A</w:t>
            </w:r>
          </w:p>
        </w:tc>
      </w:tr>
      <w:tr w:rsidR="00F401B8" w:rsidRPr="00F401B8" w14:paraId="0E61B367" w14:textId="77777777" w:rsidTr="00E47799">
        <w:trPr>
          <w:trHeight w:val="299"/>
        </w:trPr>
        <w:tc>
          <w:tcPr>
            <w:tcW w:w="1552" w:type="dxa"/>
            <w:vMerge/>
            <w:shd w:val="clear" w:color="auto" w:fill="D9D9D9"/>
          </w:tcPr>
          <w:p w14:paraId="0831B12E" w14:textId="77777777" w:rsidR="006345E5" w:rsidRPr="00F401B8" w:rsidRDefault="006345E5" w:rsidP="00F401B8">
            <w:pPr>
              <w:spacing w:after="0" w:line="240" w:lineRule="auto"/>
              <w:rPr>
                <w:b/>
                <w:bCs/>
              </w:rPr>
            </w:pPr>
          </w:p>
        </w:tc>
        <w:tc>
          <w:tcPr>
            <w:tcW w:w="2219" w:type="dxa"/>
            <w:shd w:val="clear" w:color="auto" w:fill="EEECE1"/>
          </w:tcPr>
          <w:p w14:paraId="7566EA5B" w14:textId="77777777" w:rsidR="006345E5" w:rsidRPr="00F401B8" w:rsidRDefault="006345E5" w:rsidP="00F401B8">
            <w:pPr>
              <w:spacing w:after="0" w:line="240" w:lineRule="auto"/>
              <w:rPr>
                <w:b/>
              </w:rPr>
            </w:pPr>
            <w:r w:rsidRPr="00F401B8">
              <w:rPr>
                <w:b/>
              </w:rPr>
              <w:t>2022</w:t>
            </w:r>
          </w:p>
        </w:tc>
        <w:tc>
          <w:tcPr>
            <w:tcW w:w="2660" w:type="dxa"/>
            <w:shd w:val="clear" w:color="auto" w:fill="FFFFFF"/>
          </w:tcPr>
          <w:p w14:paraId="08398B31" w14:textId="77777777" w:rsidR="006345E5" w:rsidRPr="00F401B8" w:rsidRDefault="006345E5" w:rsidP="00F401B8">
            <w:pPr>
              <w:spacing w:after="0" w:line="240" w:lineRule="auto"/>
            </w:pPr>
            <w:r w:rsidRPr="00F401B8">
              <w:t>N/A</w:t>
            </w:r>
          </w:p>
        </w:tc>
        <w:tc>
          <w:tcPr>
            <w:tcW w:w="2857" w:type="dxa"/>
            <w:shd w:val="clear" w:color="auto" w:fill="FFFFFF"/>
          </w:tcPr>
          <w:p w14:paraId="229D7A18" w14:textId="77777777" w:rsidR="006345E5" w:rsidRPr="00F401B8" w:rsidRDefault="006345E5" w:rsidP="00F401B8">
            <w:pPr>
              <w:spacing w:after="0" w:line="240" w:lineRule="auto"/>
            </w:pPr>
            <w:r w:rsidRPr="00F401B8">
              <w:t>N/A</w:t>
            </w:r>
          </w:p>
        </w:tc>
      </w:tr>
      <w:tr w:rsidR="00F401B8" w:rsidRPr="00F401B8" w14:paraId="1EF017D2" w14:textId="77777777" w:rsidTr="00E47799">
        <w:trPr>
          <w:trHeight w:val="283"/>
        </w:trPr>
        <w:tc>
          <w:tcPr>
            <w:tcW w:w="1552" w:type="dxa"/>
            <w:vMerge w:val="restart"/>
            <w:shd w:val="clear" w:color="auto" w:fill="D9D9D9"/>
          </w:tcPr>
          <w:p w14:paraId="552C313C" w14:textId="77777777" w:rsidR="006345E5" w:rsidRPr="00F401B8" w:rsidRDefault="006345E5" w:rsidP="00F401B8">
            <w:pPr>
              <w:spacing w:after="0" w:line="240" w:lineRule="auto"/>
              <w:rPr>
                <w:b/>
                <w:bCs/>
              </w:rPr>
            </w:pPr>
            <w:r w:rsidRPr="00F401B8">
              <w:rPr>
                <w:b/>
                <w:bCs/>
              </w:rPr>
              <w:t>Port Y</w:t>
            </w:r>
          </w:p>
        </w:tc>
        <w:tc>
          <w:tcPr>
            <w:tcW w:w="2219" w:type="dxa"/>
            <w:shd w:val="clear" w:color="auto" w:fill="EEECE1"/>
          </w:tcPr>
          <w:p w14:paraId="1B69BB31" w14:textId="77777777" w:rsidR="006345E5" w:rsidRPr="00F401B8" w:rsidRDefault="006345E5" w:rsidP="00F401B8">
            <w:pPr>
              <w:spacing w:after="0" w:line="240" w:lineRule="auto"/>
              <w:rPr>
                <w:b/>
              </w:rPr>
            </w:pPr>
            <w:r w:rsidRPr="00F401B8">
              <w:rPr>
                <w:b/>
              </w:rPr>
              <w:t>2021</w:t>
            </w:r>
          </w:p>
        </w:tc>
        <w:tc>
          <w:tcPr>
            <w:tcW w:w="2660" w:type="dxa"/>
            <w:shd w:val="clear" w:color="auto" w:fill="FFFFFF"/>
          </w:tcPr>
          <w:p w14:paraId="423F0BF6" w14:textId="77777777" w:rsidR="006345E5" w:rsidRPr="00F401B8" w:rsidRDefault="006345E5" w:rsidP="00F401B8">
            <w:pPr>
              <w:spacing w:after="0" w:line="240" w:lineRule="auto"/>
            </w:pPr>
            <w:r w:rsidRPr="00F401B8">
              <w:t>N/A</w:t>
            </w:r>
          </w:p>
        </w:tc>
        <w:tc>
          <w:tcPr>
            <w:tcW w:w="2857" w:type="dxa"/>
            <w:shd w:val="clear" w:color="auto" w:fill="FFFFFF"/>
          </w:tcPr>
          <w:p w14:paraId="07BAA8F3" w14:textId="77777777" w:rsidR="006345E5" w:rsidRPr="00F401B8" w:rsidRDefault="006345E5" w:rsidP="00F401B8">
            <w:pPr>
              <w:spacing w:after="0" w:line="240" w:lineRule="auto"/>
            </w:pPr>
            <w:r w:rsidRPr="00F401B8">
              <w:t>N/A</w:t>
            </w:r>
          </w:p>
        </w:tc>
      </w:tr>
      <w:tr w:rsidR="00F401B8" w:rsidRPr="00F401B8" w14:paraId="5B9071F9" w14:textId="77777777" w:rsidTr="00E47799">
        <w:trPr>
          <w:trHeight w:val="315"/>
        </w:trPr>
        <w:tc>
          <w:tcPr>
            <w:tcW w:w="1552" w:type="dxa"/>
            <w:vMerge/>
            <w:shd w:val="clear" w:color="auto" w:fill="D9D9D9"/>
          </w:tcPr>
          <w:p w14:paraId="7BCE86D6" w14:textId="77777777" w:rsidR="006345E5" w:rsidRPr="00F401B8" w:rsidRDefault="006345E5" w:rsidP="00F401B8">
            <w:pPr>
              <w:spacing w:after="0" w:line="240" w:lineRule="auto"/>
              <w:rPr>
                <w:b/>
                <w:bCs/>
              </w:rPr>
            </w:pPr>
          </w:p>
        </w:tc>
        <w:tc>
          <w:tcPr>
            <w:tcW w:w="2219" w:type="dxa"/>
            <w:shd w:val="clear" w:color="auto" w:fill="EEECE1"/>
          </w:tcPr>
          <w:p w14:paraId="3D17BEBF" w14:textId="77777777" w:rsidR="006345E5" w:rsidRPr="00F401B8" w:rsidRDefault="006345E5" w:rsidP="00F401B8">
            <w:pPr>
              <w:spacing w:after="0" w:line="240" w:lineRule="auto"/>
              <w:rPr>
                <w:b/>
              </w:rPr>
            </w:pPr>
            <w:r w:rsidRPr="00F401B8">
              <w:rPr>
                <w:b/>
              </w:rPr>
              <w:t>2022</w:t>
            </w:r>
          </w:p>
        </w:tc>
        <w:tc>
          <w:tcPr>
            <w:tcW w:w="2660" w:type="dxa"/>
            <w:shd w:val="clear" w:color="auto" w:fill="FFFFFF"/>
          </w:tcPr>
          <w:p w14:paraId="52FD7ABB" w14:textId="77777777" w:rsidR="006345E5" w:rsidRPr="00F401B8" w:rsidRDefault="006345E5" w:rsidP="00F401B8">
            <w:pPr>
              <w:spacing w:after="0" w:line="240" w:lineRule="auto"/>
            </w:pPr>
            <w:r w:rsidRPr="00F401B8">
              <w:t>N/A</w:t>
            </w:r>
          </w:p>
        </w:tc>
        <w:tc>
          <w:tcPr>
            <w:tcW w:w="2857" w:type="dxa"/>
            <w:shd w:val="clear" w:color="auto" w:fill="FFFFFF"/>
          </w:tcPr>
          <w:p w14:paraId="615A2D80" w14:textId="77777777" w:rsidR="006345E5" w:rsidRPr="00F401B8" w:rsidRDefault="006345E5" w:rsidP="00F401B8">
            <w:pPr>
              <w:spacing w:after="0" w:line="240" w:lineRule="auto"/>
            </w:pPr>
            <w:r w:rsidRPr="00F401B8">
              <w:t>N/A</w:t>
            </w:r>
          </w:p>
        </w:tc>
      </w:tr>
    </w:tbl>
    <w:p w14:paraId="4F713B91" w14:textId="77777777" w:rsidR="00CB31D9" w:rsidRPr="00F401B8" w:rsidRDefault="00CB31D9" w:rsidP="00F401B8">
      <w:pPr>
        <w:spacing w:after="0" w:line="240" w:lineRule="auto"/>
        <w:rPr>
          <w:b/>
          <w:bCs/>
          <w:lang w:val="en-GB"/>
        </w:rPr>
      </w:pPr>
      <w:r w:rsidRPr="00F401B8">
        <w:rPr>
          <w:iCs/>
        </w:rPr>
        <w:t>*</w:t>
      </w:r>
      <w:r w:rsidRPr="00F401B8">
        <w:rPr>
          <w:lang w:val="en-GB"/>
        </w:rPr>
        <w:t xml:space="preserve"> Slovenia has </w:t>
      </w:r>
      <w:r w:rsidRPr="00F401B8">
        <w:rPr>
          <w:b/>
          <w:bCs/>
          <w:lang w:val="en-GB"/>
        </w:rPr>
        <w:t>no domestic ferry transportation.</w:t>
      </w:r>
    </w:p>
    <w:p w14:paraId="460708E9" w14:textId="77777777" w:rsidR="00CB31D9" w:rsidRPr="00F401B8" w:rsidRDefault="00CB31D9" w:rsidP="00F401B8">
      <w:pPr>
        <w:spacing w:after="0" w:line="240" w:lineRule="auto"/>
        <w:rPr>
          <w:i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9"/>
        <w:gridCol w:w="2217"/>
        <w:gridCol w:w="2548"/>
        <w:gridCol w:w="2954"/>
      </w:tblGrid>
      <w:tr w:rsidR="00F401B8" w:rsidRPr="00F401B8" w14:paraId="36388BA5" w14:textId="77777777" w:rsidTr="00E47799">
        <w:tc>
          <w:tcPr>
            <w:tcW w:w="9288" w:type="dxa"/>
            <w:gridSpan w:val="4"/>
            <w:shd w:val="clear" w:color="auto" w:fill="D9D9D9"/>
          </w:tcPr>
          <w:p w14:paraId="16EDA751" w14:textId="17A631F9" w:rsidR="006345E5" w:rsidRPr="00F401B8" w:rsidRDefault="006345E5" w:rsidP="00F401B8">
            <w:pPr>
              <w:spacing w:after="0" w:line="240" w:lineRule="auto"/>
              <w:rPr>
                <w:b/>
                <w:bCs/>
              </w:rPr>
            </w:pPr>
            <w:r w:rsidRPr="00F401B8">
              <w:rPr>
                <w:b/>
                <w:bCs/>
              </w:rPr>
              <w:t>Table 2 – Volume of international passenger journeys by port*</w:t>
            </w:r>
            <w:r w:rsidR="00C35F2F" w:rsidRPr="00F401B8">
              <w:rPr>
                <w:b/>
                <w:bCs/>
              </w:rPr>
              <w:t xml:space="preserve"> </w:t>
            </w:r>
          </w:p>
        </w:tc>
      </w:tr>
      <w:tr w:rsidR="00F401B8" w:rsidRPr="00F401B8" w14:paraId="4501D5B3" w14:textId="77777777" w:rsidTr="00E47799">
        <w:tc>
          <w:tcPr>
            <w:tcW w:w="1569" w:type="dxa"/>
            <w:shd w:val="clear" w:color="auto" w:fill="D9D9D9"/>
          </w:tcPr>
          <w:p w14:paraId="3251FBC7" w14:textId="77777777" w:rsidR="006345E5" w:rsidRPr="00F401B8" w:rsidRDefault="006345E5" w:rsidP="00F401B8">
            <w:pPr>
              <w:spacing w:after="0" w:line="240" w:lineRule="auto"/>
              <w:rPr>
                <w:b/>
                <w:bCs/>
              </w:rPr>
            </w:pPr>
            <w:r w:rsidRPr="00F401B8">
              <w:rPr>
                <w:b/>
                <w:bCs/>
              </w:rPr>
              <w:t>Port</w:t>
            </w:r>
          </w:p>
        </w:tc>
        <w:tc>
          <w:tcPr>
            <w:tcW w:w="2217" w:type="dxa"/>
            <w:shd w:val="clear" w:color="auto" w:fill="D9D9D9"/>
          </w:tcPr>
          <w:p w14:paraId="0E34DC09" w14:textId="77777777" w:rsidR="006345E5" w:rsidRPr="00F401B8" w:rsidRDefault="006345E5" w:rsidP="00F401B8">
            <w:pPr>
              <w:spacing w:after="0" w:line="240" w:lineRule="auto"/>
              <w:rPr>
                <w:b/>
              </w:rPr>
            </w:pPr>
            <w:r w:rsidRPr="00F401B8">
              <w:rPr>
                <w:b/>
              </w:rPr>
              <w:t>Year</w:t>
            </w:r>
          </w:p>
        </w:tc>
        <w:tc>
          <w:tcPr>
            <w:tcW w:w="2548" w:type="dxa"/>
            <w:shd w:val="clear" w:color="auto" w:fill="D9D9D9"/>
          </w:tcPr>
          <w:p w14:paraId="1CE9F779" w14:textId="77777777" w:rsidR="006345E5" w:rsidRPr="00F401B8" w:rsidRDefault="006345E5" w:rsidP="00F401B8">
            <w:pPr>
              <w:spacing w:after="0" w:line="240" w:lineRule="auto"/>
              <w:rPr>
                <w:b/>
              </w:rPr>
            </w:pPr>
            <w:r w:rsidRPr="00F401B8">
              <w:rPr>
                <w:b/>
              </w:rPr>
              <w:t>Passengers embarked**</w:t>
            </w:r>
          </w:p>
        </w:tc>
        <w:tc>
          <w:tcPr>
            <w:tcW w:w="2954" w:type="dxa"/>
            <w:shd w:val="clear" w:color="auto" w:fill="D9D9D9"/>
          </w:tcPr>
          <w:p w14:paraId="56C7AB42" w14:textId="77777777" w:rsidR="006345E5" w:rsidRPr="00F401B8" w:rsidRDefault="006345E5" w:rsidP="00F401B8">
            <w:pPr>
              <w:spacing w:after="0" w:line="240" w:lineRule="auto"/>
              <w:rPr>
                <w:b/>
              </w:rPr>
            </w:pPr>
            <w:r w:rsidRPr="00F401B8">
              <w:rPr>
                <w:b/>
              </w:rPr>
              <w:t>Passenger disembarked**</w:t>
            </w:r>
          </w:p>
        </w:tc>
      </w:tr>
      <w:tr w:rsidR="00F401B8" w:rsidRPr="00F401B8" w14:paraId="43E6DE2A" w14:textId="77777777" w:rsidTr="00E47799">
        <w:tc>
          <w:tcPr>
            <w:tcW w:w="1569" w:type="dxa"/>
            <w:vMerge w:val="restart"/>
            <w:shd w:val="clear" w:color="auto" w:fill="D9D9D9"/>
          </w:tcPr>
          <w:p w14:paraId="726FFBE1" w14:textId="77777777" w:rsidR="006345E5" w:rsidRPr="00F401B8" w:rsidRDefault="006345E5" w:rsidP="00F401B8">
            <w:pPr>
              <w:spacing w:after="0" w:line="240" w:lineRule="auto"/>
              <w:rPr>
                <w:b/>
                <w:bCs/>
              </w:rPr>
            </w:pPr>
            <w:r w:rsidRPr="00F401B8">
              <w:rPr>
                <w:b/>
                <w:bCs/>
              </w:rPr>
              <w:t>Port SIPIR</w:t>
            </w:r>
          </w:p>
        </w:tc>
        <w:tc>
          <w:tcPr>
            <w:tcW w:w="2217" w:type="dxa"/>
            <w:shd w:val="clear" w:color="auto" w:fill="EEECE1"/>
          </w:tcPr>
          <w:p w14:paraId="4D1EEE5C" w14:textId="77777777" w:rsidR="006345E5" w:rsidRPr="00F401B8" w:rsidRDefault="006345E5" w:rsidP="00F401B8">
            <w:pPr>
              <w:spacing w:after="0" w:line="240" w:lineRule="auto"/>
              <w:rPr>
                <w:b/>
              </w:rPr>
            </w:pPr>
            <w:r w:rsidRPr="00F401B8">
              <w:rPr>
                <w:b/>
              </w:rPr>
              <w:t>2021</w:t>
            </w:r>
          </w:p>
        </w:tc>
        <w:tc>
          <w:tcPr>
            <w:tcW w:w="2548" w:type="dxa"/>
            <w:shd w:val="clear" w:color="auto" w:fill="FFFFFF"/>
          </w:tcPr>
          <w:p w14:paraId="36AB1092" w14:textId="77777777" w:rsidR="006345E5" w:rsidRPr="00F401B8" w:rsidRDefault="006345E5" w:rsidP="00F401B8">
            <w:pPr>
              <w:spacing w:after="0" w:line="240" w:lineRule="auto"/>
            </w:pPr>
            <w:r w:rsidRPr="00F401B8">
              <w:t>889</w:t>
            </w:r>
          </w:p>
        </w:tc>
        <w:tc>
          <w:tcPr>
            <w:tcW w:w="2954" w:type="dxa"/>
            <w:shd w:val="clear" w:color="auto" w:fill="FFFFFF"/>
          </w:tcPr>
          <w:p w14:paraId="5BA78003" w14:textId="77777777" w:rsidR="006345E5" w:rsidRPr="00F401B8" w:rsidRDefault="006345E5" w:rsidP="00F401B8">
            <w:pPr>
              <w:spacing w:after="0" w:line="240" w:lineRule="auto"/>
            </w:pPr>
            <w:r w:rsidRPr="00F401B8">
              <w:t>896</w:t>
            </w:r>
          </w:p>
        </w:tc>
      </w:tr>
      <w:tr w:rsidR="00F401B8" w:rsidRPr="00F401B8" w14:paraId="7C2A91D2" w14:textId="77777777" w:rsidTr="00E47799">
        <w:tc>
          <w:tcPr>
            <w:tcW w:w="1569" w:type="dxa"/>
            <w:vMerge/>
            <w:shd w:val="clear" w:color="auto" w:fill="D9D9D9"/>
          </w:tcPr>
          <w:p w14:paraId="0AE5BA64" w14:textId="77777777" w:rsidR="006345E5" w:rsidRPr="00F401B8" w:rsidRDefault="006345E5" w:rsidP="00F401B8">
            <w:pPr>
              <w:spacing w:after="0" w:line="240" w:lineRule="auto"/>
              <w:rPr>
                <w:b/>
                <w:bCs/>
              </w:rPr>
            </w:pPr>
          </w:p>
        </w:tc>
        <w:tc>
          <w:tcPr>
            <w:tcW w:w="2217" w:type="dxa"/>
            <w:shd w:val="clear" w:color="auto" w:fill="EEECE1"/>
          </w:tcPr>
          <w:p w14:paraId="2A2C4C98" w14:textId="77777777" w:rsidR="006345E5" w:rsidRPr="00F401B8" w:rsidRDefault="006345E5" w:rsidP="00F401B8">
            <w:pPr>
              <w:spacing w:after="0" w:line="240" w:lineRule="auto"/>
              <w:rPr>
                <w:b/>
              </w:rPr>
            </w:pPr>
            <w:r w:rsidRPr="00F401B8">
              <w:rPr>
                <w:b/>
              </w:rPr>
              <w:t>2022</w:t>
            </w:r>
          </w:p>
        </w:tc>
        <w:tc>
          <w:tcPr>
            <w:tcW w:w="2548" w:type="dxa"/>
            <w:shd w:val="clear" w:color="auto" w:fill="FFFFFF"/>
          </w:tcPr>
          <w:p w14:paraId="00833AE4" w14:textId="77777777" w:rsidR="006345E5" w:rsidRPr="00F401B8" w:rsidRDefault="006345E5" w:rsidP="00F401B8">
            <w:pPr>
              <w:spacing w:after="0" w:line="240" w:lineRule="auto"/>
            </w:pPr>
            <w:r w:rsidRPr="00F401B8">
              <w:t>14601</w:t>
            </w:r>
          </w:p>
        </w:tc>
        <w:tc>
          <w:tcPr>
            <w:tcW w:w="2954" w:type="dxa"/>
            <w:shd w:val="clear" w:color="auto" w:fill="FFFFFF"/>
          </w:tcPr>
          <w:p w14:paraId="4576DDDF" w14:textId="77777777" w:rsidR="006345E5" w:rsidRPr="00F401B8" w:rsidRDefault="006345E5" w:rsidP="00F401B8">
            <w:pPr>
              <w:spacing w:after="0" w:line="240" w:lineRule="auto"/>
            </w:pPr>
            <w:r w:rsidRPr="00F401B8">
              <w:t>14041</w:t>
            </w:r>
          </w:p>
        </w:tc>
      </w:tr>
      <w:tr w:rsidR="00F401B8" w:rsidRPr="00F401B8" w14:paraId="4865F153" w14:textId="77777777" w:rsidTr="00E47799">
        <w:tc>
          <w:tcPr>
            <w:tcW w:w="1569" w:type="dxa"/>
            <w:vMerge w:val="restart"/>
            <w:shd w:val="clear" w:color="auto" w:fill="D9D9D9"/>
          </w:tcPr>
          <w:p w14:paraId="08291A7B" w14:textId="77777777" w:rsidR="006345E5" w:rsidRPr="00F401B8" w:rsidRDefault="006345E5" w:rsidP="00F401B8">
            <w:pPr>
              <w:spacing w:after="0" w:line="240" w:lineRule="auto"/>
              <w:rPr>
                <w:b/>
                <w:bCs/>
              </w:rPr>
            </w:pPr>
            <w:r w:rsidRPr="00F401B8">
              <w:rPr>
                <w:b/>
                <w:bCs/>
              </w:rPr>
              <w:t>Port SIKOP</w:t>
            </w:r>
          </w:p>
        </w:tc>
        <w:tc>
          <w:tcPr>
            <w:tcW w:w="2217" w:type="dxa"/>
            <w:shd w:val="clear" w:color="auto" w:fill="EEECE1"/>
          </w:tcPr>
          <w:p w14:paraId="2BE99775" w14:textId="77777777" w:rsidR="006345E5" w:rsidRPr="00F401B8" w:rsidRDefault="006345E5" w:rsidP="00F401B8">
            <w:pPr>
              <w:spacing w:after="0" w:line="240" w:lineRule="auto"/>
              <w:rPr>
                <w:b/>
              </w:rPr>
            </w:pPr>
            <w:r w:rsidRPr="00F401B8">
              <w:rPr>
                <w:b/>
              </w:rPr>
              <w:t>2021</w:t>
            </w:r>
          </w:p>
        </w:tc>
        <w:tc>
          <w:tcPr>
            <w:tcW w:w="2548" w:type="dxa"/>
            <w:shd w:val="clear" w:color="auto" w:fill="FFFFFF"/>
          </w:tcPr>
          <w:p w14:paraId="3B6434E0" w14:textId="77777777" w:rsidR="006345E5" w:rsidRPr="00F401B8" w:rsidRDefault="006345E5" w:rsidP="00F401B8">
            <w:pPr>
              <w:spacing w:after="0" w:line="240" w:lineRule="auto"/>
            </w:pPr>
            <w:r w:rsidRPr="00F401B8">
              <w:t>0</w:t>
            </w:r>
          </w:p>
        </w:tc>
        <w:tc>
          <w:tcPr>
            <w:tcW w:w="2954" w:type="dxa"/>
            <w:shd w:val="clear" w:color="auto" w:fill="FFFFFF"/>
          </w:tcPr>
          <w:p w14:paraId="0E4D5942" w14:textId="77777777" w:rsidR="006345E5" w:rsidRPr="00F401B8" w:rsidRDefault="006345E5" w:rsidP="00F401B8">
            <w:pPr>
              <w:spacing w:after="0" w:line="240" w:lineRule="auto"/>
            </w:pPr>
            <w:r w:rsidRPr="00F401B8">
              <w:t>0</w:t>
            </w:r>
          </w:p>
        </w:tc>
      </w:tr>
      <w:tr w:rsidR="00F401B8" w:rsidRPr="00F401B8" w14:paraId="4A2C0950" w14:textId="77777777" w:rsidTr="00E47799">
        <w:tc>
          <w:tcPr>
            <w:tcW w:w="1569" w:type="dxa"/>
            <w:vMerge/>
            <w:shd w:val="clear" w:color="auto" w:fill="D9D9D9"/>
          </w:tcPr>
          <w:p w14:paraId="09E7C769" w14:textId="77777777" w:rsidR="006345E5" w:rsidRPr="00F401B8" w:rsidRDefault="006345E5" w:rsidP="00F401B8">
            <w:pPr>
              <w:spacing w:after="0" w:line="240" w:lineRule="auto"/>
              <w:rPr>
                <w:b/>
                <w:bCs/>
              </w:rPr>
            </w:pPr>
          </w:p>
        </w:tc>
        <w:tc>
          <w:tcPr>
            <w:tcW w:w="2217" w:type="dxa"/>
            <w:shd w:val="clear" w:color="auto" w:fill="EEECE1"/>
          </w:tcPr>
          <w:p w14:paraId="1BD9BAD9" w14:textId="77777777" w:rsidR="006345E5" w:rsidRPr="00F401B8" w:rsidRDefault="006345E5" w:rsidP="00F401B8">
            <w:pPr>
              <w:spacing w:after="0" w:line="240" w:lineRule="auto"/>
              <w:rPr>
                <w:b/>
              </w:rPr>
            </w:pPr>
            <w:r w:rsidRPr="00F401B8">
              <w:rPr>
                <w:b/>
              </w:rPr>
              <w:t>2022</w:t>
            </w:r>
          </w:p>
        </w:tc>
        <w:tc>
          <w:tcPr>
            <w:tcW w:w="2548" w:type="dxa"/>
            <w:shd w:val="clear" w:color="auto" w:fill="FFFFFF"/>
          </w:tcPr>
          <w:p w14:paraId="0AE1D70D" w14:textId="77777777" w:rsidR="006345E5" w:rsidRPr="00F401B8" w:rsidRDefault="006345E5" w:rsidP="00F401B8">
            <w:pPr>
              <w:spacing w:after="0" w:line="240" w:lineRule="auto"/>
            </w:pPr>
            <w:r w:rsidRPr="00F401B8">
              <w:t>0</w:t>
            </w:r>
          </w:p>
        </w:tc>
        <w:tc>
          <w:tcPr>
            <w:tcW w:w="2954" w:type="dxa"/>
            <w:shd w:val="clear" w:color="auto" w:fill="FFFFFF"/>
          </w:tcPr>
          <w:p w14:paraId="1503B463" w14:textId="77777777" w:rsidR="006345E5" w:rsidRPr="00F401B8" w:rsidRDefault="006345E5" w:rsidP="00F401B8">
            <w:pPr>
              <w:spacing w:after="0" w:line="240" w:lineRule="auto"/>
            </w:pPr>
            <w:r w:rsidRPr="00F401B8">
              <w:t>0</w:t>
            </w:r>
          </w:p>
        </w:tc>
      </w:tr>
    </w:tbl>
    <w:p w14:paraId="166E299E" w14:textId="77777777" w:rsidR="006345E5" w:rsidRPr="00F401B8" w:rsidRDefault="006345E5" w:rsidP="00F401B8">
      <w:pPr>
        <w:spacing w:after="0" w:line="240" w:lineRule="auto"/>
        <w:rPr>
          <w:lang w:val="en-GB"/>
        </w:rPr>
      </w:pPr>
      <w:r w:rsidRPr="00F401B8">
        <w:rPr>
          <w:lang w:val="en-GB"/>
        </w:rPr>
        <w:t xml:space="preserve">* Slovenia has </w:t>
      </w:r>
      <w:r w:rsidRPr="00F401B8">
        <w:rPr>
          <w:b/>
          <w:bCs/>
          <w:lang w:val="en-GB"/>
        </w:rPr>
        <w:t>no international ferry transportation.</w:t>
      </w:r>
    </w:p>
    <w:p w14:paraId="1B3F46ED" w14:textId="77777777" w:rsidR="006345E5" w:rsidRPr="00F401B8" w:rsidRDefault="006345E5" w:rsidP="00F401B8">
      <w:pPr>
        <w:spacing w:after="0" w:line="240" w:lineRule="auto"/>
        <w:rPr>
          <w:iCs/>
          <w:sz w:val="18"/>
        </w:rPr>
      </w:pPr>
      <w:r w:rsidRPr="00F401B8">
        <w:rPr>
          <w:lang w:val="en-GB"/>
        </w:rPr>
        <w:t xml:space="preserve">**valid for passenger ships, </w:t>
      </w:r>
      <w:r w:rsidRPr="00F401B8">
        <w:rPr>
          <w:b/>
          <w:bCs/>
          <w:lang w:val="en-GB"/>
        </w:rPr>
        <w:t>except ferries</w:t>
      </w:r>
    </w:p>
    <w:p w14:paraId="6590B23C" w14:textId="77777777" w:rsidR="006345E5" w:rsidRDefault="006345E5" w:rsidP="00F401B8"/>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2221"/>
        <w:gridCol w:w="2760"/>
        <w:gridCol w:w="2736"/>
      </w:tblGrid>
      <w:tr w:rsidR="00B4174B" w:rsidRPr="00B4174B" w14:paraId="12CCFBD1" w14:textId="77777777" w:rsidTr="00E47799">
        <w:trPr>
          <w:trHeight w:val="283"/>
        </w:trPr>
        <w:tc>
          <w:tcPr>
            <w:tcW w:w="9945" w:type="dxa"/>
            <w:gridSpan w:val="4"/>
            <w:shd w:val="clear" w:color="auto" w:fill="D9D9D9"/>
          </w:tcPr>
          <w:p w14:paraId="7B129437" w14:textId="32A6DD2C" w:rsidR="00B4174B" w:rsidRPr="00F401B8" w:rsidRDefault="00B4174B" w:rsidP="00F401B8">
            <w:pPr>
              <w:spacing w:after="0" w:line="240" w:lineRule="auto"/>
              <w:rPr>
                <w:b/>
                <w:bCs/>
              </w:rPr>
            </w:pPr>
            <w:r w:rsidRPr="00F401B8">
              <w:rPr>
                <w:b/>
                <w:bCs/>
              </w:rPr>
              <w:lastRenderedPageBreak/>
              <w:t>Table 3 – Volume of cruise passengers*</w:t>
            </w:r>
            <w:r w:rsidR="00F401B8" w:rsidRPr="00F401B8">
              <w:rPr>
                <w:b/>
                <w:bCs/>
              </w:rPr>
              <w:t xml:space="preserve"> </w:t>
            </w:r>
          </w:p>
        </w:tc>
      </w:tr>
      <w:tr w:rsidR="00B4174B" w:rsidRPr="00B4174B" w14:paraId="4100F635" w14:textId="77777777" w:rsidTr="00E47799">
        <w:trPr>
          <w:trHeight w:val="283"/>
        </w:trPr>
        <w:tc>
          <w:tcPr>
            <w:tcW w:w="1668" w:type="dxa"/>
            <w:shd w:val="clear" w:color="auto" w:fill="D9D9D9"/>
          </w:tcPr>
          <w:p w14:paraId="5CE541E3" w14:textId="77777777" w:rsidR="00B4174B" w:rsidRPr="00F401B8" w:rsidRDefault="00B4174B" w:rsidP="00F401B8">
            <w:pPr>
              <w:spacing w:after="0" w:line="240" w:lineRule="auto"/>
              <w:rPr>
                <w:b/>
                <w:bCs/>
              </w:rPr>
            </w:pPr>
            <w:r w:rsidRPr="00F401B8">
              <w:rPr>
                <w:b/>
                <w:bCs/>
              </w:rPr>
              <w:t>Port</w:t>
            </w:r>
          </w:p>
        </w:tc>
        <w:tc>
          <w:tcPr>
            <w:tcW w:w="2409" w:type="dxa"/>
            <w:shd w:val="clear" w:color="auto" w:fill="D9D9D9"/>
          </w:tcPr>
          <w:p w14:paraId="621D8DCF" w14:textId="77777777" w:rsidR="00B4174B" w:rsidRPr="00F401B8" w:rsidRDefault="00B4174B" w:rsidP="00F401B8">
            <w:pPr>
              <w:spacing w:after="0" w:line="240" w:lineRule="auto"/>
              <w:rPr>
                <w:b/>
              </w:rPr>
            </w:pPr>
            <w:r w:rsidRPr="00F401B8">
              <w:rPr>
                <w:b/>
              </w:rPr>
              <w:t>Year</w:t>
            </w:r>
          </w:p>
        </w:tc>
        <w:tc>
          <w:tcPr>
            <w:tcW w:w="2977" w:type="dxa"/>
            <w:shd w:val="clear" w:color="auto" w:fill="D9D9D9"/>
          </w:tcPr>
          <w:p w14:paraId="22D63111" w14:textId="67B279DF" w:rsidR="00B4174B" w:rsidRPr="00F401B8" w:rsidRDefault="00B4174B" w:rsidP="00F401B8">
            <w:pPr>
              <w:spacing w:after="0" w:line="240" w:lineRule="auto"/>
              <w:rPr>
                <w:b/>
              </w:rPr>
            </w:pPr>
            <w:r w:rsidRPr="00F401B8">
              <w:rPr>
                <w:b/>
              </w:rPr>
              <w:t>Number of cruise ship visits*</w:t>
            </w:r>
            <w:r w:rsidR="00C35F2F" w:rsidRPr="00F401B8">
              <w:rPr>
                <w:b/>
              </w:rPr>
              <w:t xml:space="preserve"> </w:t>
            </w:r>
          </w:p>
        </w:tc>
        <w:tc>
          <w:tcPr>
            <w:tcW w:w="2891" w:type="dxa"/>
            <w:shd w:val="clear" w:color="auto" w:fill="D9D9D9"/>
          </w:tcPr>
          <w:p w14:paraId="0E251E1D" w14:textId="5BA9CBB9" w:rsidR="00B4174B" w:rsidRPr="00F401B8" w:rsidRDefault="00B4174B" w:rsidP="00F401B8">
            <w:pPr>
              <w:spacing w:after="0" w:line="240" w:lineRule="auto"/>
              <w:rPr>
                <w:b/>
              </w:rPr>
            </w:pPr>
            <w:r w:rsidRPr="00F401B8">
              <w:rPr>
                <w:b/>
              </w:rPr>
              <w:t>Number of cruise passengers**</w:t>
            </w:r>
          </w:p>
        </w:tc>
      </w:tr>
      <w:tr w:rsidR="00B4174B" w:rsidRPr="00B4174B" w14:paraId="545ED88B" w14:textId="77777777" w:rsidTr="00E47799">
        <w:trPr>
          <w:trHeight w:val="299"/>
        </w:trPr>
        <w:tc>
          <w:tcPr>
            <w:tcW w:w="1668" w:type="dxa"/>
            <w:vMerge w:val="restart"/>
            <w:shd w:val="clear" w:color="auto" w:fill="D9D9D9"/>
          </w:tcPr>
          <w:p w14:paraId="5CF22785" w14:textId="77777777" w:rsidR="00B4174B" w:rsidRPr="00F401B8" w:rsidRDefault="00B4174B" w:rsidP="00F401B8">
            <w:pPr>
              <w:spacing w:after="0" w:line="240" w:lineRule="auto"/>
              <w:rPr>
                <w:b/>
                <w:bCs/>
              </w:rPr>
            </w:pPr>
            <w:r w:rsidRPr="00F401B8">
              <w:rPr>
                <w:b/>
                <w:bCs/>
              </w:rPr>
              <w:t>Port SIPIR</w:t>
            </w:r>
          </w:p>
        </w:tc>
        <w:tc>
          <w:tcPr>
            <w:tcW w:w="2409" w:type="dxa"/>
            <w:shd w:val="clear" w:color="auto" w:fill="EEECE1"/>
          </w:tcPr>
          <w:p w14:paraId="50E2F21B" w14:textId="77777777" w:rsidR="00B4174B" w:rsidRPr="00F401B8" w:rsidRDefault="00B4174B" w:rsidP="00F401B8">
            <w:pPr>
              <w:spacing w:after="0" w:line="240" w:lineRule="auto"/>
              <w:rPr>
                <w:b/>
              </w:rPr>
            </w:pPr>
            <w:r w:rsidRPr="00F401B8">
              <w:rPr>
                <w:b/>
              </w:rPr>
              <w:t>2021</w:t>
            </w:r>
          </w:p>
        </w:tc>
        <w:tc>
          <w:tcPr>
            <w:tcW w:w="2977" w:type="dxa"/>
            <w:shd w:val="clear" w:color="auto" w:fill="FFFFFF"/>
          </w:tcPr>
          <w:p w14:paraId="2D6ED904" w14:textId="77777777" w:rsidR="00B4174B" w:rsidRPr="00F401B8" w:rsidRDefault="00B4174B" w:rsidP="00F401B8">
            <w:pPr>
              <w:spacing w:after="0" w:line="240" w:lineRule="auto"/>
            </w:pPr>
            <w:r w:rsidRPr="00F401B8">
              <w:t>6</w:t>
            </w:r>
          </w:p>
        </w:tc>
        <w:tc>
          <w:tcPr>
            <w:tcW w:w="2891" w:type="dxa"/>
            <w:shd w:val="clear" w:color="auto" w:fill="FFFFFF"/>
          </w:tcPr>
          <w:p w14:paraId="108834D0" w14:textId="77777777" w:rsidR="00B4174B" w:rsidRPr="00F401B8" w:rsidRDefault="00B4174B" w:rsidP="00F401B8">
            <w:pPr>
              <w:spacing w:after="0" w:line="240" w:lineRule="auto"/>
            </w:pPr>
            <w:r w:rsidRPr="00F401B8">
              <w:t>383</w:t>
            </w:r>
          </w:p>
        </w:tc>
      </w:tr>
      <w:tr w:rsidR="00B4174B" w:rsidRPr="00B4174B" w14:paraId="55C2DF8F" w14:textId="77777777" w:rsidTr="00E47799">
        <w:trPr>
          <w:trHeight w:val="299"/>
        </w:trPr>
        <w:tc>
          <w:tcPr>
            <w:tcW w:w="1668" w:type="dxa"/>
            <w:vMerge/>
            <w:shd w:val="clear" w:color="auto" w:fill="D9D9D9"/>
          </w:tcPr>
          <w:p w14:paraId="55A62330" w14:textId="77777777" w:rsidR="00B4174B" w:rsidRPr="00F401B8" w:rsidRDefault="00B4174B" w:rsidP="00F401B8">
            <w:pPr>
              <w:spacing w:after="0" w:line="240" w:lineRule="auto"/>
              <w:rPr>
                <w:b/>
                <w:bCs/>
              </w:rPr>
            </w:pPr>
          </w:p>
        </w:tc>
        <w:tc>
          <w:tcPr>
            <w:tcW w:w="2409" w:type="dxa"/>
            <w:shd w:val="clear" w:color="auto" w:fill="EEECE1"/>
          </w:tcPr>
          <w:p w14:paraId="61A0C858" w14:textId="77777777" w:rsidR="00B4174B" w:rsidRPr="00F401B8" w:rsidRDefault="00B4174B" w:rsidP="00F401B8">
            <w:pPr>
              <w:spacing w:after="0" w:line="240" w:lineRule="auto"/>
              <w:rPr>
                <w:b/>
              </w:rPr>
            </w:pPr>
            <w:r w:rsidRPr="00F401B8">
              <w:rPr>
                <w:b/>
              </w:rPr>
              <w:t>2022</w:t>
            </w:r>
          </w:p>
        </w:tc>
        <w:tc>
          <w:tcPr>
            <w:tcW w:w="2977" w:type="dxa"/>
            <w:shd w:val="clear" w:color="auto" w:fill="FFFFFF"/>
          </w:tcPr>
          <w:p w14:paraId="7032C4FD" w14:textId="77777777" w:rsidR="00B4174B" w:rsidRPr="00F401B8" w:rsidRDefault="00B4174B" w:rsidP="00F401B8">
            <w:pPr>
              <w:spacing w:after="0" w:line="240" w:lineRule="auto"/>
            </w:pPr>
            <w:r w:rsidRPr="00F401B8">
              <w:t>10</w:t>
            </w:r>
          </w:p>
        </w:tc>
        <w:tc>
          <w:tcPr>
            <w:tcW w:w="2891" w:type="dxa"/>
            <w:shd w:val="clear" w:color="auto" w:fill="FFFFFF"/>
          </w:tcPr>
          <w:p w14:paraId="66BC02C3" w14:textId="77777777" w:rsidR="00B4174B" w:rsidRPr="00F401B8" w:rsidRDefault="00B4174B" w:rsidP="00F401B8">
            <w:pPr>
              <w:spacing w:after="0" w:line="240" w:lineRule="auto"/>
            </w:pPr>
            <w:r w:rsidRPr="00F401B8">
              <w:t>2264</w:t>
            </w:r>
          </w:p>
        </w:tc>
      </w:tr>
      <w:tr w:rsidR="00B4174B" w:rsidRPr="00B4174B" w14:paraId="61F11683" w14:textId="77777777" w:rsidTr="00E47799">
        <w:trPr>
          <w:trHeight w:val="283"/>
        </w:trPr>
        <w:tc>
          <w:tcPr>
            <w:tcW w:w="1668" w:type="dxa"/>
            <w:vMerge w:val="restart"/>
            <w:shd w:val="clear" w:color="auto" w:fill="D9D9D9"/>
          </w:tcPr>
          <w:p w14:paraId="3007604B" w14:textId="77777777" w:rsidR="00B4174B" w:rsidRPr="00F401B8" w:rsidRDefault="00B4174B" w:rsidP="00F401B8">
            <w:pPr>
              <w:spacing w:after="0" w:line="240" w:lineRule="auto"/>
              <w:rPr>
                <w:b/>
                <w:bCs/>
              </w:rPr>
            </w:pPr>
            <w:r w:rsidRPr="00F401B8">
              <w:rPr>
                <w:b/>
                <w:bCs/>
              </w:rPr>
              <w:t>Port SIKOP</w:t>
            </w:r>
          </w:p>
        </w:tc>
        <w:tc>
          <w:tcPr>
            <w:tcW w:w="2409" w:type="dxa"/>
            <w:shd w:val="clear" w:color="auto" w:fill="EEECE1"/>
          </w:tcPr>
          <w:p w14:paraId="2605F3F1" w14:textId="77777777" w:rsidR="00B4174B" w:rsidRPr="00F401B8" w:rsidRDefault="00B4174B" w:rsidP="00F401B8">
            <w:pPr>
              <w:spacing w:after="0" w:line="240" w:lineRule="auto"/>
              <w:rPr>
                <w:b/>
              </w:rPr>
            </w:pPr>
            <w:r w:rsidRPr="00F401B8">
              <w:rPr>
                <w:b/>
              </w:rPr>
              <w:t>2021</w:t>
            </w:r>
          </w:p>
        </w:tc>
        <w:tc>
          <w:tcPr>
            <w:tcW w:w="2977" w:type="dxa"/>
            <w:shd w:val="clear" w:color="auto" w:fill="FFFFFF"/>
          </w:tcPr>
          <w:p w14:paraId="4D6C1E18" w14:textId="77777777" w:rsidR="00B4174B" w:rsidRPr="00F401B8" w:rsidRDefault="00B4174B" w:rsidP="00F401B8">
            <w:pPr>
              <w:spacing w:after="0" w:line="240" w:lineRule="auto"/>
            </w:pPr>
            <w:r w:rsidRPr="00F401B8">
              <w:t>11</w:t>
            </w:r>
          </w:p>
        </w:tc>
        <w:tc>
          <w:tcPr>
            <w:tcW w:w="2891" w:type="dxa"/>
            <w:shd w:val="clear" w:color="auto" w:fill="FFFFFF"/>
          </w:tcPr>
          <w:p w14:paraId="47CB6BBD" w14:textId="77777777" w:rsidR="00B4174B" w:rsidRPr="00F401B8" w:rsidRDefault="00B4174B" w:rsidP="00F401B8">
            <w:pPr>
              <w:spacing w:after="0" w:line="240" w:lineRule="auto"/>
            </w:pPr>
            <w:r w:rsidRPr="00F401B8">
              <w:t>4451</w:t>
            </w:r>
          </w:p>
        </w:tc>
      </w:tr>
      <w:tr w:rsidR="00B4174B" w:rsidRPr="00B4174B" w14:paraId="71AE05E6" w14:textId="77777777" w:rsidTr="00E47799">
        <w:trPr>
          <w:trHeight w:val="315"/>
        </w:trPr>
        <w:tc>
          <w:tcPr>
            <w:tcW w:w="1668" w:type="dxa"/>
            <w:vMerge/>
            <w:tcBorders>
              <w:bottom w:val="single" w:sz="8" w:space="0" w:color="auto"/>
            </w:tcBorders>
            <w:shd w:val="clear" w:color="auto" w:fill="D9D9D9"/>
          </w:tcPr>
          <w:p w14:paraId="78F98C28" w14:textId="77777777" w:rsidR="00B4174B" w:rsidRPr="00F401B8" w:rsidRDefault="00B4174B" w:rsidP="00F401B8">
            <w:pPr>
              <w:spacing w:after="0" w:line="240" w:lineRule="auto"/>
              <w:rPr>
                <w:b/>
                <w:bCs/>
              </w:rPr>
            </w:pPr>
          </w:p>
        </w:tc>
        <w:tc>
          <w:tcPr>
            <w:tcW w:w="2409" w:type="dxa"/>
            <w:tcBorders>
              <w:bottom w:val="single" w:sz="8" w:space="0" w:color="auto"/>
            </w:tcBorders>
            <w:shd w:val="clear" w:color="auto" w:fill="EEECE1"/>
          </w:tcPr>
          <w:p w14:paraId="1882E24E" w14:textId="77777777" w:rsidR="00B4174B" w:rsidRPr="00F401B8" w:rsidRDefault="00B4174B" w:rsidP="00F401B8">
            <w:pPr>
              <w:spacing w:after="0" w:line="240" w:lineRule="auto"/>
              <w:rPr>
                <w:b/>
              </w:rPr>
            </w:pPr>
            <w:r w:rsidRPr="00F401B8">
              <w:rPr>
                <w:b/>
              </w:rPr>
              <w:t>2022</w:t>
            </w:r>
          </w:p>
        </w:tc>
        <w:tc>
          <w:tcPr>
            <w:tcW w:w="2977" w:type="dxa"/>
            <w:tcBorders>
              <w:bottom w:val="single" w:sz="8" w:space="0" w:color="auto"/>
            </w:tcBorders>
            <w:shd w:val="clear" w:color="auto" w:fill="FFFFFF"/>
          </w:tcPr>
          <w:p w14:paraId="703082E7" w14:textId="77777777" w:rsidR="00B4174B" w:rsidRPr="00F401B8" w:rsidRDefault="00B4174B" w:rsidP="00F401B8">
            <w:pPr>
              <w:spacing w:after="0" w:line="240" w:lineRule="auto"/>
            </w:pPr>
            <w:r w:rsidRPr="00F401B8">
              <w:t>65</w:t>
            </w:r>
          </w:p>
        </w:tc>
        <w:tc>
          <w:tcPr>
            <w:tcW w:w="2891" w:type="dxa"/>
            <w:tcBorders>
              <w:bottom w:val="single" w:sz="8" w:space="0" w:color="auto"/>
            </w:tcBorders>
            <w:shd w:val="clear" w:color="auto" w:fill="FFFFFF"/>
          </w:tcPr>
          <w:p w14:paraId="101ADD72" w14:textId="77777777" w:rsidR="00B4174B" w:rsidRPr="00F401B8" w:rsidRDefault="00B4174B" w:rsidP="00F401B8">
            <w:pPr>
              <w:spacing w:after="0" w:line="240" w:lineRule="auto"/>
            </w:pPr>
            <w:r w:rsidRPr="00F401B8">
              <w:t>72627</w:t>
            </w:r>
          </w:p>
        </w:tc>
      </w:tr>
      <w:tr w:rsidR="00B4174B" w:rsidRPr="00B4174B" w14:paraId="02316F5A" w14:textId="77777777" w:rsidTr="00B666C0">
        <w:trPr>
          <w:trHeight w:val="315"/>
        </w:trPr>
        <w:tc>
          <w:tcPr>
            <w:tcW w:w="9945" w:type="dxa"/>
            <w:gridSpan w:val="4"/>
            <w:tcBorders>
              <w:left w:val="nil"/>
              <w:bottom w:val="nil"/>
              <w:right w:val="nil"/>
            </w:tcBorders>
            <w:shd w:val="clear" w:color="auto" w:fill="auto"/>
          </w:tcPr>
          <w:p w14:paraId="3C253E31" w14:textId="77777777" w:rsidR="00B4174B" w:rsidRPr="00F401B8" w:rsidRDefault="00B4174B" w:rsidP="00F401B8">
            <w:pPr>
              <w:spacing w:after="0" w:line="240" w:lineRule="auto"/>
              <w:rPr>
                <w:b/>
                <w:bCs/>
                <w:lang w:val="en-GB"/>
              </w:rPr>
            </w:pPr>
            <w:r w:rsidRPr="00E47799">
              <w:rPr>
                <w:b/>
                <w:bCs/>
                <w:lang w:val="en-GB"/>
              </w:rPr>
              <w:t xml:space="preserve">* </w:t>
            </w:r>
            <w:r w:rsidRPr="00F401B8">
              <w:rPr>
                <w:b/>
                <w:bCs/>
                <w:lang w:val="en-GB"/>
              </w:rPr>
              <w:t xml:space="preserve">Slovenia has no registered cruise ships under its flag. </w:t>
            </w:r>
          </w:p>
          <w:p w14:paraId="7BCFBE88" w14:textId="77777777" w:rsidR="00B4174B" w:rsidRPr="00F401B8" w:rsidRDefault="00B4174B" w:rsidP="00F401B8">
            <w:pPr>
              <w:spacing w:after="0" w:line="240" w:lineRule="auto"/>
              <w:rPr>
                <w:b/>
                <w:bCs/>
                <w:lang w:val="en-GB"/>
              </w:rPr>
            </w:pPr>
            <w:r w:rsidRPr="00F401B8">
              <w:rPr>
                <w:b/>
                <w:bCs/>
                <w:lang w:val="en-GB"/>
              </w:rPr>
              <w:t>** valid for passengers in transit.</w:t>
            </w:r>
          </w:p>
          <w:p w14:paraId="6BCD545A" w14:textId="77777777" w:rsidR="0039074A" w:rsidRPr="00E47799" w:rsidRDefault="0039074A" w:rsidP="00F401B8">
            <w:pPr>
              <w:spacing w:after="0" w:line="240" w:lineRule="auto"/>
              <w:rPr>
                <w:b/>
                <w:bCs/>
                <w:color w:val="FF0000"/>
                <w:lang w:val="en-GB"/>
              </w:rPr>
            </w:pPr>
          </w:p>
          <w:p w14:paraId="3F29DEBB" w14:textId="77777777" w:rsidR="00B4174B" w:rsidRPr="00E47799" w:rsidRDefault="00B4174B" w:rsidP="00F401B8">
            <w:pPr>
              <w:spacing w:after="0" w:line="240" w:lineRule="auto"/>
              <w:rPr>
                <w:b/>
                <w:bCs/>
                <w:color w:val="FF0000"/>
                <w:lang w:val="en-GB"/>
              </w:rPr>
            </w:pPr>
          </w:p>
          <w:tbl>
            <w:tblPr>
              <w:tblpPr w:leftFromText="180" w:rightFromText="180" w:vertAnchor="text" w:horzAnchor="margin"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15"/>
            </w:tblGrid>
            <w:tr w:rsidR="00B4174B" w14:paraId="2CA95131" w14:textId="77777777" w:rsidTr="00E47799">
              <w:tc>
                <w:tcPr>
                  <w:tcW w:w="5000" w:type="pct"/>
                  <w:gridSpan w:val="2"/>
                  <w:shd w:val="clear" w:color="auto" w:fill="D9D9D9"/>
                </w:tcPr>
                <w:p w14:paraId="44528446" w14:textId="559EA5DB" w:rsidR="00B4174B" w:rsidRDefault="00B4174B" w:rsidP="00F401B8">
                  <w:pPr>
                    <w:jc w:val="both"/>
                  </w:pPr>
                  <w:r w:rsidRPr="00E47799">
                    <w:rPr>
                      <w:b/>
                    </w:rPr>
                    <w:t>Table 4 - List of main carriers</w:t>
                  </w:r>
                  <w:r>
                    <w:t xml:space="preserve"> currently operating</w:t>
                  </w:r>
                  <w:r w:rsidR="00F401B8">
                    <w:t xml:space="preserve"> </w:t>
                  </w:r>
                </w:p>
              </w:tc>
            </w:tr>
            <w:tr w:rsidR="00B4174B" w14:paraId="42B55BF7" w14:textId="77777777" w:rsidTr="00E47799">
              <w:trPr>
                <w:trHeight w:val="284"/>
              </w:trPr>
              <w:tc>
                <w:tcPr>
                  <w:tcW w:w="2564" w:type="pct"/>
                  <w:shd w:val="clear" w:color="auto" w:fill="auto"/>
                </w:tcPr>
                <w:p w14:paraId="769C7D85" w14:textId="77777777" w:rsidR="00B4174B" w:rsidRDefault="00B4174B" w:rsidP="00F401B8">
                  <w:pPr>
                    <w:jc w:val="both"/>
                  </w:pPr>
                  <w:r>
                    <w:t xml:space="preserve">1. </w:t>
                  </w:r>
                  <w:r w:rsidRPr="00F401B8">
                    <w:t>N/A</w:t>
                  </w:r>
                </w:p>
              </w:tc>
              <w:tc>
                <w:tcPr>
                  <w:tcW w:w="2436" w:type="pct"/>
                  <w:shd w:val="clear" w:color="auto" w:fill="auto"/>
                </w:tcPr>
                <w:p w14:paraId="6C884469" w14:textId="77777777" w:rsidR="00B4174B" w:rsidRDefault="00B4174B" w:rsidP="00F401B8">
                  <w:pPr>
                    <w:jc w:val="both"/>
                  </w:pPr>
                  <w:r>
                    <w:t>4.</w:t>
                  </w:r>
                </w:p>
              </w:tc>
            </w:tr>
            <w:tr w:rsidR="00B4174B" w14:paraId="160A2814" w14:textId="77777777" w:rsidTr="00E47799">
              <w:trPr>
                <w:trHeight w:val="284"/>
              </w:trPr>
              <w:tc>
                <w:tcPr>
                  <w:tcW w:w="2564" w:type="pct"/>
                  <w:shd w:val="clear" w:color="auto" w:fill="auto"/>
                </w:tcPr>
                <w:p w14:paraId="4295FB41" w14:textId="77777777" w:rsidR="00B4174B" w:rsidRDefault="00B4174B" w:rsidP="00F401B8">
                  <w:pPr>
                    <w:jc w:val="both"/>
                  </w:pPr>
                  <w:r>
                    <w:t>2.</w:t>
                  </w:r>
                </w:p>
              </w:tc>
              <w:tc>
                <w:tcPr>
                  <w:tcW w:w="2436" w:type="pct"/>
                  <w:shd w:val="clear" w:color="auto" w:fill="auto"/>
                </w:tcPr>
                <w:p w14:paraId="0ED4D55E" w14:textId="77777777" w:rsidR="00B4174B" w:rsidRDefault="00B4174B" w:rsidP="00F401B8">
                  <w:pPr>
                    <w:jc w:val="both"/>
                  </w:pPr>
                  <w:r>
                    <w:t>5.</w:t>
                  </w:r>
                </w:p>
              </w:tc>
            </w:tr>
            <w:tr w:rsidR="00B4174B" w14:paraId="676A69D4" w14:textId="77777777" w:rsidTr="00E47799">
              <w:trPr>
                <w:trHeight w:val="284"/>
              </w:trPr>
              <w:tc>
                <w:tcPr>
                  <w:tcW w:w="2564" w:type="pct"/>
                  <w:shd w:val="clear" w:color="auto" w:fill="auto"/>
                </w:tcPr>
                <w:p w14:paraId="1EB05232" w14:textId="77777777" w:rsidR="00B4174B" w:rsidRDefault="00B4174B" w:rsidP="00F401B8">
                  <w:pPr>
                    <w:jc w:val="both"/>
                  </w:pPr>
                  <w:r>
                    <w:t>3.</w:t>
                  </w:r>
                </w:p>
              </w:tc>
              <w:tc>
                <w:tcPr>
                  <w:tcW w:w="2436" w:type="pct"/>
                  <w:shd w:val="clear" w:color="auto" w:fill="auto"/>
                </w:tcPr>
                <w:p w14:paraId="6D4E1437" w14:textId="77777777" w:rsidR="00B4174B" w:rsidRDefault="00B4174B" w:rsidP="00F401B8">
                  <w:pPr>
                    <w:jc w:val="both"/>
                  </w:pPr>
                  <w:r>
                    <w:t>6.</w:t>
                  </w:r>
                </w:p>
              </w:tc>
            </w:tr>
          </w:tbl>
          <w:p w14:paraId="672D67D6" w14:textId="77777777" w:rsidR="00863BE9" w:rsidRPr="00863BE9" w:rsidRDefault="00863BE9" w:rsidP="00863BE9">
            <w:pPr>
              <w:spacing w:after="0" w:line="240" w:lineRule="auto"/>
              <w:jc w:val="both"/>
              <w:rPr>
                <w:bCs/>
                <w:lang w:val="en-GB"/>
              </w:rPr>
            </w:pPr>
            <w:r w:rsidRPr="00863BE9">
              <w:rPr>
                <w:bCs/>
                <w:lang w:val="en-GB"/>
              </w:rPr>
              <w:t xml:space="preserve">On sea waterway market there are few local harbours for excursion and sightseeing tour boats and vessels, not falling under the scope of the Regulation (see Table 1). Except in Port of </w:t>
            </w:r>
            <w:proofErr w:type="spellStart"/>
            <w:r w:rsidRPr="00863BE9">
              <w:rPr>
                <w:bCs/>
                <w:lang w:val="en-GB"/>
              </w:rPr>
              <w:t>Piran</w:t>
            </w:r>
            <w:proofErr w:type="spellEnd"/>
            <w:r w:rsidRPr="00863BE9">
              <w:rPr>
                <w:bCs/>
                <w:lang w:val="en-GB"/>
              </w:rPr>
              <w:t xml:space="preserve"> some high-speed crafts, not registered under the Slovenian flag, have transported passengers on the route between Italy, Slovenia, and Croatia during the summer season in 2021 and in 2022 (see Table 2) and some cruise ships at anchorage only (see Table 2 under “Port SIPIR”).  </w:t>
            </w:r>
          </w:p>
          <w:p w14:paraId="53F562F2" w14:textId="77777777" w:rsidR="00863BE9" w:rsidRPr="00863BE9" w:rsidRDefault="00863BE9" w:rsidP="00863BE9">
            <w:pPr>
              <w:spacing w:after="0" w:line="240" w:lineRule="auto"/>
              <w:jc w:val="both"/>
              <w:rPr>
                <w:bCs/>
                <w:lang w:val="en-GB"/>
              </w:rPr>
            </w:pPr>
          </w:p>
          <w:p w14:paraId="07E1AE77" w14:textId="77777777" w:rsidR="00863BE9" w:rsidRPr="00863BE9" w:rsidRDefault="00863BE9" w:rsidP="00863BE9">
            <w:pPr>
              <w:spacing w:after="0" w:line="240" w:lineRule="auto"/>
              <w:jc w:val="both"/>
              <w:rPr>
                <w:bCs/>
                <w:lang w:val="en-GB"/>
              </w:rPr>
            </w:pPr>
            <w:r w:rsidRPr="00863BE9">
              <w:rPr>
                <w:bCs/>
                <w:lang w:val="en-GB"/>
              </w:rPr>
              <w:t xml:space="preserve">Luka Koper as a large commercial port operates a passenger terminal with only foreign cruise ships calling with passengers in transit (see Table 3 under “Port SIKOP”) and occasionally some pleasure yacht. </w:t>
            </w:r>
          </w:p>
          <w:p w14:paraId="77EEC8D2" w14:textId="77777777" w:rsidR="00863BE9" w:rsidRPr="00863BE9" w:rsidRDefault="00863BE9" w:rsidP="00863BE9">
            <w:pPr>
              <w:spacing w:after="0" w:line="240" w:lineRule="auto"/>
              <w:jc w:val="both"/>
              <w:rPr>
                <w:bCs/>
                <w:lang w:val="en-GB"/>
              </w:rPr>
            </w:pPr>
          </w:p>
          <w:p w14:paraId="1E9B05F8" w14:textId="77777777" w:rsidR="00863BE9" w:rsidRPr="00863BE9" w:rsidRDefault="00863BE9" w:rsidP="00863BE9">
            <w:pPr>
              <w:spacing w:after="0" w:line="240" w:lineRule="auto"/>
              <w:jc w:val="both"/>
              <w:rPr>
                <w:b/>
                <w:bCs/>
                <w:lang w:val="en-GB"/>
              </w:rPr>
            </w:pPr>
            <w:r w:rsidRPr="00863BE9">
              <w:rPr>
                <w:bCs/>
                <w:lang w:val="en-GB"/>
              </w:rPr>
              <w:t>On inland waterway market there are only embarkation and disembarkation facilities for excursion and sightseeing tour boats and vessels, not falling under the scope of the Regulation (see Table 1)</w:t>
            </w:r>
            <w:r w:rsidRPr="00863BE9">
              <w:rPr>
                <w:b/>
                <w:bCs/>
                <w:lang w:val="en-GB"/>
              </w:rPr>
              <w:t>.</w:t>
            </w:r>
          </w:p>
          <w:p w14:paraId="0ADE034E" w14:textId="77777777" w:rsidR="00B4174B" w:rsidRPr="00E47799" w:rsidRDefault="00B4174B" w:rsidP="00F401B8">
            <w:pPr>
              <w:spacing w:after="0" w:line="240" w:lineRule="auto"/>
              <w:rPr>
                <w:b/>
                <w:bCs/>
              </w:rPr>
            </w:pPr>
          </w:p>
        </w:tc>
      </w:tr>
    </w:tbl>
    <w:p w14:paraId="5F7440EA" w14:textId="307B935B" w:rsidR="006345E5" w:rsidRPr="00B4174B" w:rsidRDefault="00B4174B" w:rsidP="00F401B8">
      <w:pPr>
        <w:numPr>
          <w:ilvl w:val="0"/>
          <w:numId w:val="1"/>
        </w:numPr>
        <w:rPr>
          <w:rFonts w:ascii="Calibri Light" w:eastAsia="Times New Roman" w:hAnsi="Calibri Light"/>
          <w:b/>
          <w:color w:val="002060"/>
          <w:sz w:val="32"/>
          <w:szCs w:val="32"/>
        </w:rPr>
      </w:pPr>
      <w:r w:rsidRPr="00B4174B">
        <w:rPr>
          <w:rFonts w:ascii="Calibri Light" w:eastAsia="Times New Roman" w:hAnsi="Calibri Light"/>
          <w:b/>
          <w:color w:val="002060"/>
          <w:sz w:val="32"/>
          <w:szCs w:val="32"/>
        </w:rPr>
        <w:t>Complaint handling process</w:t>
      </w:r>
      <w:r w:rsidR="00F401B8">
        <w:rPr>
          <w:rFonts w:ascii="Calibri Light" w:eastAsia="Times New Roman" w:hAnsi="Calibri Light"/>
          <w:b/>
          <w:color w:val="002060"/>
          <w:sz w:val="32"/>
          <w:szCs w:val="32"/>
        </w:rPr>
        <w:t xml:space="preserve"> </w:t>
      </w:r>
    </w:p>
    <w:p w14:paraId="09EB49A5" w14:textId="2BDAED6E" w:rsidR="00B4174B" w:rsidRPr="00C35F2F" w:rsidRDefault="00B4174B" w:rsidP="00F401B8">
      <w:pPr>
        <w:rPr>
          <w:i/>
          <w:color w:val="7030A0"/>
        </w:rPr>
      </w:pPr>
      <w:r w:rsidRPr="00B4174B">
        <w:rPr>
          <w:i/>
          <w:color w:val="808080"/>
        </w:rPr>
        <w:t xml:space="preserve">A description of the complaint mechanism implemented </w:t>
      </w:r>
    </w:p>
    <w:p w14:paraId="2275035A" w14:textId="74378384" w:rsidR="00B4174B" w:rsidRPr="00B4174B" w:rsidRDefault="00B4174B" w:rsidP="00F401B8">
      <w:pPr>
        <w:rPr>
          <w:iCs/>
          <w:color w:val="808080"/>
        </w:rPr>
      </w:pPr>
      <w:r w:rsidRPr="00B4174B">
        <w:rPr>
          <w:iCs/>
          <w:color w:val="808080"/>
        </w:rPr>
        <w:t>Topics to be addressed:</w:t>
      </w:r>
    </w:p>
    <w:p w14:paraId="7E0E6750" w14:textId="38C226BB" w:rsidR="00B4174B" w:rsidRPr="00C35F2F" w:rsidRDefault="00B4174B" w:rsidP="00F401B8">
      <w:pPr>
        <w:pStyle w:val="Odstavekseznama"/>
        <w:numPr>
          <w:ilvl w:val="0"/>
          <w:numId w:val="2"/>
        </w:numPr>
        <w:rPr>
          <w:iCs/>
          <w:color w:val="7030A0"/>
        </w:rPr>
      </w:pPr>
      <w:r w:rsidRPr="00B4174B">
        <w:rPr>
          <w:color w:val="808080"/>
        </w:rPr>
        <w:t>Does the NEB handle individual complaints?</w:t>
      </w:r>
      <w:r w:rsidR="00F401B8">
        <w:rPr>
          <w:color w:val="808080"/>
        </w:rPr>
        <w:t xml:space="preserve"> </w:t>
      </w:r>
    </w:p>
    <w:p w14:paraId="231EA61D" w14:textId="7EAF0724" w:rsidR="00B666C0" w:rsidRPr="00401B44" w:rsidRDefault="00401B44" w:rsidP="00F401B8">
      <w:pPr>
        <w:spacing w:after="0" w:line="240" w:lineRule="auto"/>
        <w:ind w:left="360"/>
      </w:pPr>
      <w:r w:rsidRPr="00401B44">
        <w:rPr>
          <w:iCs/>
          <w:lang w:val="en"/>
        </w:rPr>
        <w:t>Yes, when receiving consumer information</w:t>
      </w:r>
    </w:p>
    <w:p w14:paraId="335DF882" w14:textId="77777777" w:rsidR="00B666C0" w:rsidRDefault="00B666C0" w:rsidP="00F401B8">
      <w:pPr>
        <w:spacing w:after="0" w:line="240" w:lineRule="auto"/>
        <w:ind w:left="360"/>
        <w:rPr>
          <w:color w:val="FF0000"/>
        </w:rPr>
      </w:pPr>
    </w:p>
    <w:p w14:paraId="6DEE70CF" w14:textId="52154018" w:rsidR="00B4174B" w:rsidRPr="00C35F2F" w:rsidRDefault="00B4174B" w:rsidP="00F401B8">
      <w:pPr>
        <w:pStyle w:val="Odstavekseznama"/>
        <w:numPr>
          <w:ilvl w:val="0"/>
          <w:numId w:val="2"/>
        </w:numPr>
        <w:rPr>
          <w:iCs/>
          <w:color w:val="7030A0"/>
        </w:rPr>
      </w:pPr>
      <w:r w:rsidRPr="00B4174B">
        <w:rPr>
          <w:color w:val="808080"/>
        </w:rPr>
        <w:t>Can the passenger submit their complaint directly to the NEB?</w:t>
      </w:r>
      <w:r w:rsidR="00F401B8">
        <w:rPr>
          <w:color w:val="808080"/>
        </w:rPr>
        <w:t xml:space="preserve"> </w:t>
      </w:r>
    </w:p>
    <w:p w14:paraId="51F6EFC8" w14:textId="31742B6E" w:rsidR="00401B44" w:rsidRPr="00401B44" w:rsidRDefault="00401B44" w:rsidP="00401B44">
      <w:pPr>
        <w:spacing w:after="0" w:line="240" w:lineRule="auto"/>
        <w:ind w:left="360"/>
        <w:jc w:val="both"/>
        <w:rPr>
          <w:iCs/>
        </w:rPr>
      </w:pPr>
      <w:r w:rsidRPr="00401B44">
        <w:rPr>
          <w:iCs/>
        </w:rPr>
        <w:t xml:space="preserve">Passenger are obliged to submit their complaints to the carrier/terminal operator first, and they can only submit a compliant to Slovenian </w:t>
      </w:r>
      <w:r w:rsidR="00452421">
        <w:rPr>
          <w:iCs/>
        </w:rPr>
        <w:t>NEB’s</w:t>
      </w:r>
      <w:r w:rsidRPr="00401B44">
        <w:rPr>
          <w:iCs/>
        </w:rPr>
        <w:t xml:space="preserve"> if they are not satisfied with the solution offered by the carrier/terminal operator or if the passenger has not received a final answer within two months of submitting the complaint.</w:t>
      </w:r>
    </w:p>
    <w:p w14:paraId="4CBDA302" w14:textId="77777777" w:rsidR="00B4174B" w:rsidRPr="00716203" w:rsidRDefault="00B4174B" w:rsidP="00F401B8">
      <w:pPr>
        <w:spacing w:after="0" w:line="240" w:lineRule="auto"/>
        <w:ind w:left="360"/>
        <w:rPr>
          <w:iCs/>
          <w:color w:val="FF0000"/>
        </w:rPr>
      </w:pPr>
    </w:p>
    <w:p w14:paraId="22235E64" w14:textId="15D377C2" w:rsidR="00B4174B" w:rsidRPr="00B4174B" w:rsidRDefault="00B4174B" w:rsidP="00F401B8">
      <w:pPr>
        <w:pStyle w:val="Odstavekseznama"/>
        <w:numPr>
          <w:ilvl w:val="0"/>
          <w:numId w:val="2"/>
        </w:numPr>
        <w:jc w:val="both"/>
        <w:rPr>
          <w:color w:val="808080"/>
        </w:rPr>
      </w:pPr>
      <w:r w:rsidRPr="00B4174B">
        <w:rPr>
          <w:color w:val="808080"/>
        </w:rPr>
        <w:t xml:space="preserve">Is it possible to </w:t>
      </w:r>
      <w:r w:rsidRPr="00B4174B">
        <w:rPr>
          <w:b/>
          <w:color w:val="808080"/>
        </w:rPr>
        <w:t>settle passengers' complaints via alternative dispute resolution</w:t>
      </w:r>
      <w:r w:rsidRPr="00B4174B">
        <w:rPr>
          <w:color w:val="808080"/>
        </w:rPr>
        <w:t>? If yes, please specify how it works (Which body? Which process?).</w:t>
      </w:r>
      <w:r w:rsidR="00F401B8">
        <w:rPr>
          <w:color w:val="808080"/>
        </w:rPr>
        <w:t xml:space="preserve"> </w:t>
      </w:r>
    </w:p>
    <w:p w14:paraId="30C1C9AA" w14:textId="6E7786A0" w:rsidR="00B4174B" w:rsidRDefault="00401B44" w:rsidP="00401B44">
      <w:pPr>
        <w:spacing w:after="0"/>
        <w:ind w:left="360"/>
        <w:jc w:val="both"/>
        <w:rPr>
          <w:iCs/>
        </w:rPr>
      </w:pPr>
      <w:r w:rsidRPr="00401B44">
        <w:rPr>
          <w:iCs/>
        </w:rPr>
        <w:lastRenderedPageBreak/>
        <w:t xml:space="preserve">The consumer may only initiate an alternative, out-of-court dispute resolution with the out-of-court consumer dispute resolution provider only after a previous failed attempt to resolve the dispute directly with the provider of goods or services directly to the out-of-court consumer dispute resolution provider, which can be chosen from the list of out-of-court </w:t>
      </w:r>
      <w:r w:rsidR="004C6A67">
        <w:rPr>
          <w:iCs/>
        </w:rPr>
        <w:t xml:space="preserve">consumer resolution providers. </w:t>
      </w:r>
    </w:p>
    <w:p w14:paraId="58FB6EC2" w14:textId="77777777" w:rsidR="00DE63CF" w:rsidRPr="00DE63CF" w:rsidRDefault="00DE63CF" w:rsidP="00DE63CF">
      <w:pPr>
        <w:spacing w:after="0"/>
        <w:ind w:left="360"/>
        <w:jc w:val="both"/>
        <w:rPr>
          <w:iCs/>
        </w:rPr>
      </w:pPr>
      <w:r w:rsidRPr="00DE63CF">
        <w:rPr>
          <w:iCs/>
        </w:rPr>
        <w:t>Resolving passengers' complaints using alternative dispute resolution is not possible for the areas defined in the Article 9(1) and (2) and Articles 13 and 14 of Regulation 1177/2010/EU, for which the Slovenian Maritime Administration is designated as the competent authority.</w:t>
      </w:r>
    </w:p>
    <w:p w14:paraId="495EE81D" w14:textId="77777777" w:rsidR="00DE63CF" w:rsidRDefault="00DE63CF" w:rsidP="00401B44">
      <w:pPr>
        <w:spacing w:after="0"/>
        <w:ind w:left="360"/>
        <w:jc w:val="both"/>
        <w:rPr>
          <w:iCs/>
        </w:rPr>
      </w:pPr>
    </w:p>
    <w:p w14:paraId="15624A23" w14:textId="7158E3C6" w:rsidR="00B4174B" w:rsidRPr="00C35F2F" w:rsidRDefault="00B4174B" w:rsidP="00F401B8">
      <w:pPr>
        <w:pStyle w:val="Odstavekseznama"/>
        <w:numPr>
          <w:ilvl w:val="0"/>
          <w:numId w:val="2"/>
        </w:numPr>
        <w:jc w:val="both"/>
        <w:rPr>
          <w:color w:val="7030A0"/>
        </w:rPr>
      </w:pPr>
      <w:r w:rsidRPr="00B4174B">
        <w:rPr>
          <w:color w:val="808080"/>
        </w:rPr>
        <w:t xml:space="preserve">If a NEB takes a decision based on a complaint, </w:t>
      </w:r>
      <w:r w:rsidRPr="00B4174B">
        <w:rPr>
          <w:b/>
          <w:color w:val="808080"/>
        </w:rPr>
        <w:t>will this decision be binding for the carrier, terminal operator or port</w:t>
      </w:r>
      <w:r w:rsidRPr="00B4174B">
        <w:rPr>
          <w:color w:val="808080"/>
        </w:rPr>
        <w:t>?</w:t>
      </w:r>
      <w:r w:rsidR="00F401B8">
        <w:rPr>
          <w:color w:val="808080"/>
        </w:rPr>
        <w:t xml:space="preserve"> </w:t>
      </w:r>
    </w:p>
    <w:p w14:paraId="7777894B" w14:textId="77777777" w:rsidR="00401B44" w:rsidRPr="00401B44" w:rsidRDefault="00401B44" w:rsidP="00401B44">
      <w:pPr>
        <w:spacing w:after="0" w:line="240" w:lineRule="auto"/>
        <w:ind w:left="360"/>
        <w:jc w:val="both"/>
      </w:pPr>
      <w:r w:rsidRPr="00401B44">
        <w:t xml:space="preserve">Yes, decision will be binding for the carrier, terminal operator or port, when decision becomes final. </w:t>
      </w:r>
    </w:p>
    <w:p w14:paraId="4BE30774" w14:textId="77777777" w:rsidR="00B4174B" w:rsidRPr="00716203" w:rsidRDefault="00B4174B" w:rsidP="00F401B8">
      <w:pPr>
        <w:spacing w:after="0" w:line="240" w:lineRule="auto"/>
        <w:ind w:left="360"/>
        <w:jc w:val="both"/>
        <w:rPr>
          <w:color w:val="FF0000"/>
        </w:rPr>
      </w:pPr>
    </w:p>
    <w:p w14:paraId="5FA1D464" w14:textId="6E413800" w:rsidR="00B4174B" w:rsidRPr="00C35F2F" w:rsidRDefault="00B4174B" w:rsidP="00F401B8">
      <w:pPr>
        <w:pStyle w:val="Odstavekseznama"/>
        <w:numPr>
          <w:ilvl w:val="0"/>
          <w:numId w:val="2"/>
        </w:numPr>
        <w:jc w:val="both"/>
        <w:rPr>
          <w:color w:val="7030A0"/>
        </w:rPr>
      </w:pPr>
      <w:r w:rsidRPr="00B4174B">
        <w:rPr>
          <w:color w:val="808080"/>
        </w:rPr>
        <w:t>Does the NEB use a complaint form? (Provide link or annex)</w:t>
      </w:r>
      <w:r w:rsidR="00F401B8">
        <w:rPr>
          <w:color w:val="808080"/>
        </w:rPr>
        <w:t xml:space="preserve"> </w:t>
      </w:r>
    </w:p>
    <w:p w14:paraId="2B074ACD" w14:textId="658C11E8" w:rsidR="00B8143D" w:rsidRDefault="00401B44" w:rsidP="00401B44">
      <w:pPr>
        <w:spacing w:after="0" w:line="240" w:lineRule="auto"/>
        <w:ind w:left="360"/>
        <w:jc w:val="both"/>
      </w:pPr>
      <w:r w:rsidRPr="00401B44">
        <w:t>No, there is no forma, but there are instructions published on the website</w:t>
      </w:r>
      <w:hyperlink r:id="rId8" w:history="1">
        <w:r w:rsidRPr="00401B44">
          <w:t xml:space="preserve"> </w:t>
        </w:r>
      </w:hyperlink>
      <w:hyperlink r:id="rId9" w:history="1">
        <w:r w:rsidRPr="00401B44">
          <w:t>https://www.gov.si/zbirke/storitve/prijava-krsitve-pravic-potnikov/</w:t>
        </w:r>
      </w:hyperlink>
    </w:p>
    <w:p w14:paraId="411A8CEC" w14:textId="77777777" w:rsidR="00401B44" w:rsidRPr="00401B44" w:rsidRDefault="00401B44" w:rsidP="00401B44">
      <w:pPr>
        <w:spacing w:after="0" w:line="240" w:lineRule="auto"/>
        <w:ind w:left="360"/>
        <w:jc w:val="both"/>
      </w:pPr>
    </w:p>
    <w:p w14:paraId="51CD55AA" w14:textId="59742A80" w:rsidR="00B8143D" w:rsidRPr="00C35F2F" w:rsidRDefault="00B8143D" w:rsidP="00F401B8">
      <w:pPr>
        <w:pStyle w:val="Odstavekseznama"/>
        <w:numPr>
          <w:ilvl w:val="0"/>
          <w:numId w:val="2"/>
        </w:numPr>
        <w:jc w:val="both"/>
        <w:rPr>
          <w:color w:val="7030A0"/>
        </w:rPr>
      </w:pPr>
      <w:r w:rsidRPr="00B8143D">
        <w:rPr>
          <w:color w:val="808080"/>
        </w:rPr>
        <w:t>Are the passengers in general aware of their complaint possibilities?</w:t>
      </w:r>
      <w:r w:rsidR="00F401B8">
        <w:rPr>
          <w:color w:val="808080"/>
        </w:rPr>
        <w:t xml:space="preserve"> </w:t>
      </w:r>
    </w:p>
    <w:p w14:paraId="4B12DE3B" w14:textId="77777777" w:rsidR="00B8143D" w:rsidRDefault="00B8143D" w:rsidP="00F401B8">
      <w:pPr>
        <w:pStyle w:val="Odstavekseznama"/>
        <w:ind w:left="360"/>
        <w:jc w:val="both"/>
        <w:rPr>
          <w:color w:val="0070C0"/>
        </w:rPr>
      </w:pPr>
      <w:bookmarkStart w:id="1" w:name="_Hlk135048442"/>
      <w:bookmarkStart w:id="2" w:name="_Hlk135048296"/>
    </w:p>
    <w:p w14:paraId="41A397B0" w14:textId="56D75D53" w:rsidR="001A33DF" w:rsidRDefault="00401B44" w:rsidP="00F401B8">
      <w:pPr>
        <w:pStyle w:val="Odstavekseznama"/>
        <w:ind w:left="360"/>
        <w:jc w:val="both"/>
        <w:rPr>
          <w:rStyle w:val="Hiperpovezava"/>
          <w:color w:val="auto"/>
          <w:lang w:val="en"/>
        </w:rPr>
      </w:pPr>
      <w:r w:rsidRPr="00401B44">
        <w:rPr>
          <w:lang w:val="en"/>
        </w:rPr>
        <w:t>Yes, with published instructions on the website</w:t>
      </w:r>
      <w:hyperlink r:id="rId10" w:history="1">
        <w:r w:rsidRPr="00401B44">
          <w:rPr>
            <w:rStyle w:val="Hiperpovezava"/>
            <w:color w:val="auto"/>
            <w:lang w:val="en"/>
          </w:rPr>
          <w:t xml:space="preserve"> https://www.gov.si/zbirke/storitve/prijava-krsitve-pravic-potnikov/</w:t>
        </w:r>
      </w:hyperlink>
    </w:p>
    <w:p w14:paraId="59628928" w14:textId="77777777" w:rsidR="00401B44" w:rsidRPr="00401B44" w:rsidRDefault="00401B44" w:rsidP="00F401B8">
      <w:pPr>
        <w:pStyle w:val="Odstavekseznama"/>
        <w:ind w:left="360"/>
        <w:jc w:val="both"/>
      </w:pPr>
    </w:p>
    <w:bookmarkEnd w:id="1"/>
    <w:bookmarkEnd w:id="2"/>
    <w:p w14:paraId="2DE45E18" w14:textId="6D31DBE4" w:rsidR="00B8143D" w:rsidRDefault="00B8143D" w:rsidP="00F401B8">
      <w:pPr>
        <w:pStyle w:val="Odstavekseznama"/>
        <w:numPr>
          <w:ilvl w:val="0"/>
          <w:numId w:val="2"/>
        </w:numPr>
        <w:jc w:val="both"/>
        <w:rPr>
          <w:color w:val="808080"/>
        </w:rPr>
      </w:pPr>
      <w:r w:rsidRPr="00B8143D">
        <w:rPr>
          <w:color w:val="808080"/>
        </w:rPr>
        <w:t>Has there been any action from the NEB to inform passengers on their complaint possibilities?</w:t>
      </w:r>
    </w:p>
    <w:p w14:paraId="0412E059" w14:textId="77777777" w:rsidR="00401B44" w:rsidRPr="00BF5A06" w:rsidRDefault="00401B44" w:rsidP="00401B44">
      <w:pPr>
        <w:spacing w:after="0" w:line="240" w:lineRule="auto"/>
        <w:ind w:left="360"/>
        <w:rPr>
          <w:color w:val="FF0000"/>
        </w:rPr>
      </w:pPr>
      <w:r w:rsidRPr="00401B44">
        <w:rPr>
          <w:lang w:val="en"/>
        </w:rPr>
        <w:t xml:space="preserve">Both authorities inform passengers via a website: </w:t>
      </w:r>
      <w:hyperlink r:id="rId11" w:history="1">
        <w:r w:rsidRPr="00401B44">
          <w:rPr>
            <w:rStyle w:val="Hiperpovezava"/>
            <w:color w:val="auto"/>
          </w:rPr>
          <w:t>https://www.gov.si/zbirke/storitve/prijava-krsitve-pravic-potnikov/</w:t>
        </w:r>
      </w:hyperlink>
    </w:p>
    <w:p w14:paraId="1345BA95" w14:textId="77777777" w:rsidR="00401B44" w:rsidRPr="00401B44" w:rsidRDefault="00401B44" w:rsidP="00401B44">
      <w:pPr>
        <w:spacing w:after="0" w:line="240" w:lineRule="auto"/>
        <w:ind w:left="360"/>
        <w:jc w:val="both"/>
      </w:pPr>
      <w:r w:rsidRPr="00401B44">
        <w:t>Additionally Slovenian Maritime Administration monitors that the appropriate information are also published on the website of the terminal operators and carriers.</w:t>
      </w:r>
    </w:p>
    <w:p w14:paraId="6DC9476C" w14:textId="1941958C" w:rsidR="0039074A" w:rsidRPr="00401B44" w:rsidRDefault="0039074A" w:rsidP="00401B44">
      <w:pPr>
        <w:ind w:left="360"/>
        <w:jc w:val="both"/>
        <w:rPr>
          <w:lang w:val="en"/>
        </w:rPr>
      </w:pPr>
    </w:p>
    <w:p w14:paraId="5DC5F14C" w14:textId="1EDE23E1" w:rsidR="006345E5" w:rsidRPr="00B8143D" w:rsidRDefault="00B8143D" w:rsidP="00F401B8">
      <w:pPr>
        <w:numPr>
          <w:ilvl w:val="0"/>
          <w:numId w:val="1"/>
        </w:numPr>
        <w:rPr>
          <w:rFonts w:ascii="Calibri Light" w:eastAsia="Times New Roman" w:hAnsi="Calibri Light"/>
          <w:b/>
          <w:color w:val="002060"/>
          <w:sz w:val="32"/>
          <w:szCs w:val="32"/>
        </w:rPr>
      </w:pPr>
      <w:r w:rsidRPr="00B8143D">
        <w:rPr>
          <w:rFonts w:ascii="Calibri Light" w:eastAsia="Times New Roman" w:hAnsi="Calibri Light"/>
          <w:b/>
          <w:color w:val="002060"/>
          <w:sz w:val="32"/>
          <w:szCs w:val="32"/>
        </w:rPr>
        <w:t>Complaint statistics</w:t>
      </w:r>
      <w:r w:rsidR="00F401B8">
        <w:rPr>
          <w:rFonts w:ascii="Calibri Light" w:eastAsia="Times New Roman" w:hAnsi="Calibri Light"/>
          <w:b/>
          <w:color w:val="002060"/>
          <w:sz w:val="32"/>
          <w:szCs w:val="32"/>
        </w:rPr>
        <w:t xml:space="preserve"> </w:t>
      </w:r>
    </w:p>
    <w:p w14:paraId="0DC6D325" w14:textId="2CDA4BE3" w:rsidR="00B8143D" w:rsidRPr="00C35F2F" w:rsidRDefault="00B8143D" w:rsidP="0011583C">
      <w:pPr>
        <w:jc w:val="both"/>
        <w:rPr>
          <w:color w:val="7030A0"/>
        </w:rPr>
      </w:pPr>
      <w:r w:rsidRPr="00B8143D">
        <w:rPr>
          <w:iCs/>
          <w:color w:val="808080"/>
        </w:rPr>
        <w:t xml:space="preserve">A description of the nature of received complaints and an analysis of potential patterns. Should include </w:t>
      </w:r>
      <w:r w:rsidRPr="00B8143D">
        <w:rPr>
          <w:b/>
          <w:bCs/>
          <w:iCs/>
          <w:color w:val="808080"/>
        </w:rPr>
        <w:t>statistics on complaints</w:t>
      </w:r>
      <w:r w:rsidRPr="00B8143D">
        <w:rPr>
          <w:iCs/>
          <w:color w:val="808080"/>
        </w:rPr>
        <w:t xml:space="preserve"> in accordance with </w:t>
      </w:r>
      <w:r w:rsidRPr="00B8143D">
        <w:rPr>
          <w:color w:val="808080"/>
        </w:rPr>
        <w:t>Article 26 of Regulation (EU) 1177/2010. If possible, complaints submitted to carriers and terminal operators.</w:t>
      </w:r>
      <w:r w:rsidR="00F401B8">
        <w:rPr>
          <w:color w:val="808080"/>
        </w:rPr>
        <w:t xml:space="preserve"> </w:t>
      </w:r>
    </w:p>
    <w:p w14:paraId="6D06A556" w14:textId="14E787AD" w:rsidR="001A33DF" w:rsidRPr="000E4960" w:rsidRDefault="00401B44" w:rsidP="00F401B8">
      <w:r w:rsidRPr="000E4960">
        <w:rPr>
          <w:lang w:val="en"/>
        </w:rPr>
        <w:t xml:space="preserve">Both </w:t>
      </w:r>
      <w:proofErr w:type="gramStart"/>
      <w:r w:rsidRPr="000E4960">
        <w:rPr>
          <w:lang w:val="en"/>
        </w:rPr>
        <w:t>NEB’s</w:t>
      </w:r>
      <w:proofErr w:type="gramEnd"/>
      <w:r w:rsidRPr="000E4960">
        <w:rPr>
          <w:lang w:val="en"/>
        </w:rPr>
        <w:t xml:space="preserve"> over the implementation of the Regulation, did not conduct any proceedings under that Regulation (EU) 1177/2010 as it had not received any notification.</w:t>
      </w:r>
    </w:p>
    <w:p w14:paraId="2D15637C" w14:textId="5CE9B1E7" w:rsidR="00B8143D" w:rsidRPr="00B8143D" w:rsidRDefault="00B8143D" w:rsidP="00F401B8">
      <w:pPr>
        <w:rPr>
          <w:color w:val="808080"/>
        </w:rPr>
      </w:pPr>
      <w:r w:rsidRPr="00B8143D">
        <w:rPr>
          <w:color w:val="808080"/>
        </w:rPr>
        <w:t>Questions that could be answered</w:t>
      </w:r>
      <w:r w:rsidRPr="00F401B8">
        <w:rPr>
          <w:color w:val="808080"/>
        </w:rPr>
        <w:t>:</w:t>
      </w:r>
    </w:p>
    <w:p w14:paraId="28965F5E" w14:textId="43FC7058" w:rsidR="00B8143D" w:rsidRPr="00401B44" w:rsidRDefault="00B8143D" w:rsidP="0011583C">
      <w:pPr>
        <w:pStyle w:val="Odstavekseznama"/>
        <w:numPr>
          <w:ilvl w:val="0"/>
          <w:numId w:val="4"/>
        </w:numPr>
        <w:jc w:val="both"/>
        <w:rPr>
          <w:color w:val="7030A0"/>
        </w:rPr>
      </w:pPr>
      <w:r w:rsidRPr="00B8143D">
        <w:rPr>
          <w:color w:val="808080"/>
        </w:rPr>
        <w:t xml:space="preserve">Has there been special </w:t>
      </w:r>
      <w:r w:rsidRPr="00B8143D">
        <w:rPr>
          <w:b/>
          <w:color w:val="808080"/>
        </w:rPr>
        <w:t>events</w:t>
      </w:r>
      <w:r w:rsidRPr="00B8143D">
        <w:rPr>
          <w:color w:val="808080"/>
        </w:rPr>
        <w:t xml:space="preserve"> that have generated complaints such as. s</w:t>
      </w:r>
      <w:r w:rsidR="00401B44">
        <w:rPr>
          <w:color w:val="808080"/>
        </w:rPr>
        <w:t>trikes, major weather events…)?</w:t>
      </w:r>
    </w:p>
    <w:p w14:paraId="466EB52A" w14:textId="2028D3E4" w:rsidR="00401B44" w:rsidRPr="00401B44" w:rsidRDefault="00401B44" w:rsidP="00401B44">
      <w:pPr>
        <w:ind w:left="360"/>
        <w:jc w:val="both"/>
      </w:pPr>
      <w:r w:rsidRPr="00401B44">
        <w:t>No.</w:t>
      </w:r>
    </w:p>
    <w:p w14:paraId="3692269E" w14:textId="3759BC49" w:rsidR="00B8143D" w:rsidRDefault="00B8143D" w:rsidP="00F401B8">
      <w:pPr>
        <w:pStyle w:val="Odstavekseznama"/>
        <w:numPr>
          <w:ilvl w:val="0"/>
          <w:numId w:val="4"/>
        </w:numPr>
        <w:rPr>
          <w:color w:val="808080"/>
        </w:rPr>
      </w:pPr>
      <w:r w:rsidRPr="00B8143D">
        <w:rPr>
          <w:color w:val="808080"/>
        </w:rPr>
        <w:t xml:space="preserve">Did you </w:t>
      </w:r>
      <w:r w:rsidRPr="00B8143D">
        <w:rPr>
          <w:b/>
          <w:color w:val="808080"/>
        </w:rPr>
        <w:t>reattribute any complaints to NEBs of other Member State</w:t>
      </w:r>
      <w:r w:rsidRPr="00B8143D">
        <w:rPr>
          <w:color w:val="808080"/>
        </w:rPr>
        <w:t xml:space="preserve">? </w:t>
      </w:r>
    </w:p>
    <w:p w14:paraId="59559E2E" w14:textId="44A22812" w:rsidR="00401B44" w:rsidRDefault="00401B44" w:rsidP="00401B44">
      <w:pPr>
        <w:ind w:left="360"/>
      </w:pPr>
      <w:r w:rsidRPr="00401B44">
        <w:t>No.</w:t>
      </w:r>
    </w:p>
    <w:tbl>
      <w:tblPr>
        <w:tblW w:w="1048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199"/>
        <w:gridCol w:w="1006"/>
        <w:gridCol w:w="879"/>
        <w:gridCol w:w="1160"/>
        <w:gridCol w:w="932"/>
        <w:gridCol w:w="1228"/>
        <w:gridCol w:w="1160"/>
        <w:gridCol w:w="595"/>
        <w:gridCol w:w="1186"/>
      </w:tblGrid>
      <w:tr w:rsidR="00B8143D" w:rsidRPr="00B8143D" w14:paraId="2BF43F4C" w14:textId="77777777" w:rsidTr="00E47799">
        <w:tc>
          <w:tcPr>
            <w:tcW w:w="10486" w:type="dxa"/>
            <w:gridSpan w:val="10"/>
            <w:shd w:val="clear" w:color="auto" w:fill="D9D9D9"/>
          </w:tcPr>
          <w:p w14:paraId="7B52A0EB" w14:textId="354D2C7C" w:rsidR="00B8143D" w:rsidRPr="00B8143D" w:rsidRDefault="00B8143D" w:rsidP="00F401B8">
            <w:pPr>
              <w:spacing w:after="0" w:line="240" w:lineRule="auto"/>
            </w:pPr>
            <w:r w:rsidRPr="00B8143D">
              <w:lastRenderedPageBreak/>
              <w:t>Table 5 – Statistical data of complaints submitted to the National Enforcement Body</w:t>
            </w:r>
            <w:r w:rsidR="00F401B8">
              <w:t xml:space="preserve"> </w:t>
            </w:r>
          </w:p>
        </w:tc>
      </w:tr>
      <w:tr w:rsidR="003B2C6B" w:rsidRPr="00B8143D" w14:paraId="2359168A" w14:textId="77777777" w:rsidTr="00E47799">
        <w:trPr>
          <w:trHeight w:val="405"/>
        </w:trPr>
        <w:tc>
          <w:tcPr>
            <w:tcW w:w="1141" w:type="dxa"/>
            <w:vMerge w:val="restart"/>
            <w:shd w:val="clear" w:color="auto" w:fill="D9D9D9"/>
          </w:tcPr>
          <w:p w14:paraId="542D1E0D" w14:textId="77777777" w:rsidR="00B8143D" w:rsidRPr="00B8143D" w:rsidRDefault="00B8143D" w:rsidP="00F401B8">
            <w:pPr>
              <w:spacing w:after="0" w:line="240" w:lineRule="auto"/>
            </w:pPr>
          </w:p>
        </w:tc>
        <w:tc>
          <w:tcPr>
            <w:tcW w:w="1199" w:type="dxa"/>
            <w:vMerge w:val="restart"/>
            <w:shd w:val="clear" w:color="auto" w:fill="auto"/>
          </w:tcPr>
          <w:p w14:paraId="61E6B196" w14:textId="31A8E3F1" w:rsidR="00B8143D" w:rsidRPr="00B8143D" w:rsidRDefault="00B8143D" w:rsidP="00F401B8">
            <w:pPr>
              <w:spacing w:after="0" w:line="240" w:lineRule="auto"/>
            </w:pPr>
            <w:r w:rsidRPr="00B8143D">
              <w:t>Total number of complaints</w:t>
            </w:r>
            <w:r w:rsidR="00F401B8">
              <w:t xml:space="preserve"> </w:t>
            </w:r>
          </w:p>
        </w:tc>
        <w:tc>
          <w:tcPr>
            <w:tcW w:w="6960" w:type="dxa"/>
            <w:gridSpan w:val="7"/>
            <w:shd w:val="clear" w:color="auto" w:fill="auto"/>
          </w:tcPr>
          <w:p w14:paraId="6A37B1AA" w14:textId="77777777" w:rsidR="00B8143D" w:rsidRPr="00B8143D" w:rsidRDefault="00B8143D" w:rsidP="00F401B8">
            <w:pPr>
              <w:spacing w:after="0" w:line="240" w:lineRule="auto"/>
            </w:pPr>
            <w:r w:rsidRPr="00B8143D">
              <w:t>Reason for complaint</w:t>
            </w:r>
          </w:p>
        </w:tc>
        <w:tc>
          <w:tcPr>
            <w:tcW w:w="1186" w:type="dxa"/>
            <w:vMerge w:val="restart"/>
            <w:shd w:val="clear" w:color="auto" w:fill="auto"/>
          </w:tcPr>
          <w:p w14:paraId="75A7AF5B" w14:textId="77777777" w:rsidR="00B8143D" w:rsidRPr="00B8143D" w:rsidRDefault="00B8143D" w:rsidP="00F401B8">
            <w:pPr>
              <w:spacing w:after="0" w:line="240" w:lineRule="auto"/>
            </w:pPr>
            <w:r w:rsidRPr="00B8143D">
              <w:t>Comments</w:t>
            </w:r>
          </w:p>
          <w:p w14:paraId="3CFF25C7" w14:textId="4DBDF771" w:rsidR="00B8143D" w:rsidRPr="00E47799" w:rsidRDefault="00B8143D" w:rsidP="00F401B8">
            <w:pPr>
              <w:spacing w:after="0" w:line="240" w:lineRule="auto"/>
              <w:rPr>
                <w:color w:val="7030A0"/>
              </w:rPr>
            </w:pPr>
          </w:p>
        </w:tc>
      </w:tr>
      <w:tr w:rsidR="00B8143D" w:rsidRPr="00B8143D" w14:paraId="0674F74D" w14:textId="77777777" w:rsidTr="00E47799">
        <w:trPr>
          <w:trHeight w:val="405"/>
        </w:trPr>
        <w:tc>
          <w:tcPr>
            <w:tcW w:w="1141" w:type="dxa"/>
            <w:vMerge/>
            <w:shd w:val="clear" w:color="auto" w:fill="D9D9D9"/>
          </w:tcPr>
          <w:p w14:paraId="2BC27E68" w14:textId="77777777" w:rsidR="00B8143D" w:rsidRPr="00B8143D" w:rsidRDefault="00B8143D" w:rsidP="00F401B8">
            <w:pPr>
              <w:spacing w:after="0" w:line="240" w:lineRule="auto"/>
            </w:pPr>
          </w:p>
        </w:tc>
        <w:tc>
          <w:tcPr>
            <w:tcW w:w="1199" w:type="dxa"/>
            <w:vMerge/>
            <w:shd w:val="clear" w:color="auto" w:fill="auto"/>
          </w:tcPr>
          <w:p w14:paraId="5F782030" w14:textId="77777777" w:rsidR="00B8143D" w:rsidRPr="00B8143D" w:rsidRDefault="00B8143D" w:rsidP="00F401B8">
            <w:pPr>
              <w:spacing w:after="0" w:line="240" w:lineRule="auto"/>
            </w:pPr>
          </w:p>
        </w:tc>
        <w:tc>
          <w:tcPr>
            <w:tcW w:w="1006" w:type="dxa"/>
            <w:shd w:val="clear" w:color="auto" w:fill="auto"/>
          </w:tcPr>
          <w:p w14:paraId="1E77CB6C" w14:textId="373D5DD5" w:rsidR="00B8143D" w:rsidRPr="00B8143D" w:rsidRDefault="00B8143D" w:rsidP="00F401B8">
            <w:pPr>
              <w:spacing w:after="0" w:line="240" w:lineRule="auto"/>
            </w:pPr>
            <w:r w:rsidRPr="00E47799">
              <w:rPr>
                <w:bCs/>
                <w:sz w:val="16"/>
              </w:rPr>
              <w:t>Accessibility and information (Article 9)</w:t>
            </w:r>
            <w:r w:rsidR="00227322" w:rsidRPr="00E47799">
              <w:rPr>
                <w:bCs/>
                <w:sz w:val="16"/>
              </w:rPr>
              <w:t xml:space="preserve"> – </w:t>
            </w:r>
          </w:p>
        </w:tc>
        <w:tc>
          <w:tcPr>
            <w:tcW w:w="879" w:type="dxa"/>
            <w:shd w:val="clear" w:color="auto" w:fill="auto"/>
          </w:tcPr>
          <w:p w14:paraId="74C3BCFB" w14:textId="48458095" w:rsidR="00B8143D" w:rsidRPr="00E47799" w:rsidRDefault="00B8143D" w:rsidP="00F401B8">
            <w:pPr>
              <w:spacing w:after="0" w:line="240" w:lineRule="auto"/>
              <w:rPr>
                <w:bCs/>
              </w:rPr>
            </w:pPr>
            <w:r w:rsidRPr="00E47799">
              <w:rPr>
                <w:bCs/>
                <w:sz w:val="16"/>
              </w:rPr>
              <w:t>Right to assistance (Article 10)</w:t>
            </w:r>
            <w:r w:rsidR="00227322" w:rsidRPr="00E47799">
              <w:rPr>
                <w:bCs/>
                <w:sz w:val="16"/>
              </w:rPr>
              <w:t xml:space="preserve"> – </w:t>
            </w:r>
          </w:p>
        </w:tc>
        <w:tc>
          <w:tcPr>
            <w:tcW w:w="1160" w:type="dxa"/>
            <w:shd w:val="clear" w:color="auto" w:fill="auto"/>
          </w:tcPr>
          <w:p w14:paraId="1435E5B8" w14:textId="7935166F" w:rsidR="00B8143D" w:rsidRPr="00E47799" w:rsidRDefault="00B8143D" w:rsidP="00F401B8">
            <w:pPr>
              <w:spacing w:after="0" w:line="240" w:lineRule="auto"/>
              <w:rPr>
                <w:bCs/>
              </w:rPr>
            </w:pPr>
            <w:r w:rsidRPr="00E47799">
              <w:rPr>
                <w:bCs/>
                <w:sz w:val="16"/>
              </w:rPr>
              <w:t>Compensation of mobility equipment or other specific equipment (Article 15)</w:t>
            </w:r>
            <w:r w:rsidR="00F401B8">
              <w:rPr>
                <w:bCs/>
                <w:sz w:val="16"/>
              </w:rPr>
              <w:t xml:space="preserve"> </w:t>
            </w:r>
          </w:p>
        </w:tc>
        <w:tc>
          <w:tcPr>
            <w:tcW w:w="932" w:type="dxa"/>
            <w:shd w:val="clear" w:color="auto" w:fill="auto"/>
          </w:tcPr>
          <w:p w14:paraId="72BA731F" w14:textId="77777777" w:rsidR="00B8143D" w:rsidRPr="00E47799" w:rsidRDefault="00B8143D" w:rsidP="00F401B8">
            <w:pPr>
              <w:spacing w:after="0" w:line="240" w:lineRule="auto"/>
              <w:rPr>
                <w:bCs/>
                <w:sz w:val="16"/>
              </w:rPr>
            </w:pPr>
            <w:r w:rsidRPr="00E47799">
              <w:rPr>
                <w:bCs/>
                <w:sz w:val="16"/>
              </w:rPr>
              <w:t>Assistance in the event of cancelled or delayed departures (Article 17)</w:t>
            </w:r>
          </w:p>
          <w:p w14:paraId="75DF5DB3" w14:textId="21EB60A3" w:rsidR="00227322" w:rsidRPr="00E47799" w:rsidRDefault="00227322" w:rsidP="00F401B8">
            <w:pPr>
              <w:spacing w:after="0" w:line="240" w:lineRule="auto"/>
              <w:rPr>
                <w:bCs/>
                <w:color w:val="7030A0"/>
              </w:rPr>
            </w:pPr>
          </w:p>
        </w:tc>
        <w:tc>
          <w:tcPr>
            <w:tcW w:w="1228" w:type="dxa"/>
            <w:shd w:val="clear" w:color="auto" w:fill="auto"/>
          </w:tcPr>
          <w:p w14:paraId="151A9C88" w14:textId="77777777" w:rsidR="00B8143D" w:rsidRPr="00E47799" w:rsidRDefault="00B8143D" w:rsidP="00F401B8">
            <w:pPr>
              <w:spacing w:after="0" w:line="240" w:lineRule="auto"/>
              <w:rPr>
                <w:bCs/>
                <w:sz w:val="16"/>
              </w:rPr>
            </w:pPr>
            <w:r w:rsidRPr="00E47799">
              <w:rPr>
                <w:bCs/>
                <w:sz w:val="16"/>
              </w:rPr>
              <w:t>Re-routing and reimbursement in the event of cancelled or delayed departures (Article 18)</w:t>
            </w:r>
          </w:p>
          <w:p w14:paraId="38F3D4AA" w14:textId="5DE70376" w:rsidR="00227322" w:rsidRPr="00E47799" w:rsidRDefault="00227322" w:rsidP="00F401B8">
            <w:pPr>
              <w:spacing w:after="0" w:line="240" w:lineRule="auto"/>
              <w:rPr>
                <w:bCs/>
                <w:color w:val="7030A0"/>
              </w:rPr>
            </w:pPr>
          </w:p>
        </w:tc>
        <w:tc>
          <w:tcPr>
            <w:tcW w:w="1160" w:type="dxa"/>
            <w:shd w:val="clear" w:color="auto" w:fill="auto"/>
          </w:tcPr>
          <w:p w14:paraId="7D324DA1" w14:textId="77777777" w:rsidR="00B8143D" w:rsidRPr="00E47799" w:rsidRDefault="00B8143D" w:rsidP="00F401B8">
            <w:pPr>
              <w:spacing w:after="0" w:line="240" w:lineRule="auto"/>
              <w:rPr>
                <w:bCs/>
                <w:sz w:val="16"/>
              </w:rPr>
            </w:pPr>
            <w:r w:rsidRPr="00E47799">
              <w:rPr>
                <w:bCs/>
                <w:sz w:val="16"/>
              </w:rPr>
              <w:t>Compensation in the event of delay in arrival (Article 19)</w:t>
            </w:r>
          </w:p>
          <w:p w14:paraId="0DD90B75" w14:textId="027CB331" w:rsidR="00227322" w:rsidRPr="00E47799" w:rsidRDefault="00227322" w:rsidP="00F401B8">
            <w:pPr>
              <w:spacing w:after="0" w:line="240" w:lineRule="auto"/>
              <w:rPr>
                <w:bCs/>
                <w:color w:val="7030A0"/>
              </w:rPr>
            </w:pPr>
          </w:p>
        </w:tc>
        <w:tc>
          <w:tcPr>
            <w:tcW w:w="595" w:type="dxa"/>
            <w:shd w:val="clear" w:color="auto" w:fill="auto"/>
          </w:tcPr>
          <w:p w14:paraId="5A99459E" w14:textId="77777777" w:rsidR="00B8143D" w:rsidRPr="00E47799" w:rsidRDefault="00B8143D" w:rsidP="00F401B8">
            <w:pPr>
              <w:spacing w:after="0" w:line="240" w:lineRule="auto"/>
              <w:rPr>
                <w:bCs/>
                <w:sz w:val="16"/>
              </w:rPr>
            </w:pPr>
            <w:r w:rsidRPr="00E47799">
              <w:rPr>
                <w:bCs/>
                <w:sz w:val="16"/>
              </w:rPr>
              <w:t>Other</w:t>
            </w:r>
          </w:p>
          <w:p w14:paraId="4510AE7E" w14:textId="6BD91752" w:rsidR="00227322" w:rsidRPr="00E47799" w:rsidRDefault="00227322" w:rsidP="00F401B8">
            <w:pPr>
              <w:spacing w:after="0" w:line="240" w:lineRule="auto"/>
              <w:rPr>
                <w:bCs/>
                <w:color w:val="7030A0"/>
              </w:rPr>
            </w:pPr>
          </w:p>
        </w:tc>
        <w:tc>
          <w:tcPr>
            <w:tcW w:w="1186" w:type="dxa"/>
            <w:vMerge/>
            <w:shd w:val="clear" w:color="auto" w:fill="auto"/>
          </w:tcPr>
          <w:p w14:paraId="2C02E76C" w14:textId="77777777" w:rsidR="00B8143D" w:rsidRPr="00B8143D" w:rsidRDefault="00B8143D" w:rsidP="00F401B8">
            <w:pPr>
              <w:spacing w:after="0" w:line="240" w:lineRule="auto"/>
            </w:pPr>
          </w:p>
        </w:tc>
      </w:tr>
      <w:tr w:rsidR="00B8143D" w:rsidRPr="00B8143D" w14:paraId="27218C41" w14:textId="77777777" w:rsidTr="00E47799">
        <w:tc>
          <w:tcPr>
            <w:tcW w:w="1141" w:type="dxa"/>
            <w:shd w:val="clear" w:color="auto" w:fill="D9D9D9"/>
          </w:tcPr>
          <w:p w14:paraId="503FE903" w14:textId="77777777" w:rsidR="00B8143D" w:rsidRPr="00B8143D" w:rsidRDefault="00B8143D" w:rsidP="00F401B8">
            <w:pPr>
              <w:spacing w:after="0" w:line="240" w:lineRule="auto"/>
            </w:pPr>
            <w:r w:rsidRPr="00B8143D">
              <w:t>From 1 January to 31 December 2021</w:t>
            </w:r>
          </w:p>
        </w:tc>
        <w:tc>
          <w:tcPr>
            <w:tcW w:w="1199" w:type="dxa"/>
            <w:shd w:val="clear" w:color="auto" w:fill="auto"/>
          </w:tcPr>
          <w:p w14:paraId="3EDB0017" w14:textId="77777777" w:rsidR="00B8143D" w:rsidRPr="00B8143D" w:rsidRDefault="00903631" w:rsidP="00F401B8">
            <w:pPr>
              <w:spacing w:after="0" w:line="240" w:lineRule="auto"/>
            </w:pPr>
            <w:r>
              <w:t>0</w:t>
            </w:r>
          </w:p>
        </w:tc>
        <w:tc>
          <w:tcPr>
            <w:tcW w:w="1006" w:type="dxa"/>
            <w:shd w:val="clear" w:color="auto" w:fill="auto"/>
          </w:tcPr>
          <w:p w14:paraId="729F50B0" w14:textId="77777777" w:rsidR="00B8143D" w:rsidRPr="00B8143D" w:rsidRDefault="00BF5A06" w:rsidP="00F401B8">
            <w:pPr>
              <w:spacing w:after="0" w:line="240" w:lineRule="auto"/>
            </w:pPr>
            <w:r>
              <w:t>/</w:t>
            </w:r>
          </w:p>
        </w:tc>
        <w:tc>
          <w:tcPr>
            <w:tcW w:w="879" w:type="dxa"/>
            <w:shd w:val="clear" w:color="auto" w:fill="auto"/>
          </w:tcPr>
          <w:p w14:paraId="64E76413" w14:textId="77777777" w:rsidR="00B8143D" w:rsidRPr="00B8143D" w:rsidRDefault="00BF5A06" w:rsidP="00F401B8">
            <w:pPr>
              <w:spacing w:after="0" w:line="240" w:lineRule="auto"/>
            </w:pPr>
            <w:r>
              <w:t>/</w:t>
            </w:r>
          </w:p>
        </w:tc>
        <w:tc>
          <w:tcPr>
            <w:tcW w:w="1160" w:type="dxa"/>
            <w:shd w:val="clear" w:color="auto" w:fill="auto"/>
          </w:tcPr>
          <w:p w14:paraId="1BF71BB9" w14:textId="77777777" w:rsidR="00B8143D" w:rsidRPr="00B8143D" w:rsidRDefault="00BF5A06" w:rsidP="00F401B8">
            <w:pPr>
              <w:spacing w:after="0" w:line="240" w:lineRule="auto"/>
            </w:pPr>
            <w:r>
              <w:t>/</w:t>
            </w:r>
          </w:p>
        </w:tc>
        <w:tc>
          <w:tcPr>
            <w:tcW w:w="932" w:type="dxa"/>
            <w:shd w:val="clear" w:color="auto" w:fill="auto"/>
          </w:tcPr>
          <w:p w14:paraId="71EF547B" w14:textId="77777777" w:rsidR="00B8143D" w:rsidRPr="00B8143D" w:rsidRDefault="00BF5A06" w:rsidP="00F401B8">
            <w:pPr>
              <w:spacing w:after="0" w:line="240" w:lineRule="auto"/>
            </w:pPr>
            <w:r>
              <w:t>/</w:t>
            </w:r>
          </w:p>
        </w:tc>
        <w:tc>
          <w:tcPr>
            <w:tcW w:w="1228" w:type="dxa"/>
            <w:shd w:val="clear" w:color="auto" w:fill="auto"/>
          </w:tcPr>
          <w:p w14:paraId="0588EF71" w14:textId="77777777" w:rsidR="00B8143D" w:rsidRPr="00B8143D" w:rsidRDefault="00BF5A06" w:rsidP="00F401B8">
            <w:pPr>
              <w:spacing w:after="0" w:line="240" w:lineRule="auto"/>
            </w:pPr>
            <w:r>
              <w:t>/</w:t>
            </w:r>
          </w:p>
        </w:tc>
        <w:tc>
          <w:tcPr>
            <w:tcW w:w="1160" w:type="dxa"/>
            <w:shd w:val="clear" w:color="auto" w:fill="auto"/>
          </w:tcPr>
          <w:p w14:paraId="71568628" w14:textId="77777777" w:rsidR="00B8143D" w:rsidRPr="00B8143D" w:rsidRDefault="00BF5A06" w:rsidP="00F401B8">
            <w:pPr>
              <w:spacing w:after="0" w:line="240" w:lineRule="auto"/>
            </w:pPr>
            <w:r>
              <w:t>/</w:t>
            </w:r>
          </w:p>
        </w:tc>
        <w:tc>
          <w:tcPr>
            <w:tcW w:w="595" w:type="dxa"/>
            <w:shd w:val="clear" w:color="auto" w:fill="auto"/>
          </w:tcPr>
          <w:p w14:paraId="1F65B102" w14:textId="77777777" w:rsidR="00B8143D" w:rsidRPr="00B8143D" w:rsidRDefault="00BF5A06" w:rsidP="00F401B8">
            <w:pPr>
              <w:spacing w:after="0" w:line="240" w:lineRule="auto"/>
            </w:pPr>
            <w:r>
              <w:t>/</w:t>
            </w:r>
          </w:p>
        </w:tc>
        <w:tc>
          <w:tcPr>
            <w:tcW w:w="1186" w:type="dxa"/>
            <w:shd w:val="clear" w:color="auto" w:fill="auto"/>
          </w:tcPr>
          <w:p w14:paraId="1B44529A" w14:textId="77777777" w:rsidR="00B8143D" w:rsidRPr="00B8143D" w:rsidRDefault="00B8143D" w:rsidP="00F401B8">
            <w:pPr>
              <w:spacing w:after="0" w:line="240" w:lineRule="auto"/>
            </w:pPr>
          </w:p>
        </w:tc>
      </w:tr>
      <w:tr w:rsidR="00B8143D" w:rsidRPr="00B8143D" w14:paraId="283B71D0" w14:textId="77777777" w:rsidTr="00E47799">
        <w:tc>
          <w:tcPr>
            <w:tcW w:w="1141" w:type="dxa"/>
            <w:shd w:val="clear" w:color="auto" w:fill="D9D9D9"/>
          </w:tcPr>
          <w:p w14:paraId="4D0E56D4" w14:textId="77777777" w:rsidR="00B8143D" w:rsidRPr="00B8143D" w:rsidRDefault="00B8143D" w:rsidP="00F401B8">
            <w:pPr>
              <w:spacing w:after="0" w:line="240" w:lineRule="auto"/>
            </w:pPr>
            <w:r w:rsidRPr="00B8143D">
              <w:t xml:space="preserve">From 1 January to 31 December </w:t>
            </w:r>
          </w:p>
          <w:p w14:paraId="3A25EC37" w14:textId="77777777" w:rsidR="00B8143D" w:rsidRPr="00B8143D" w:rsidRDefault="00B8143D" w:rsidP="00F401B8">
            <w:pPr>
              <w:spacing w:after="0" w:line="240" w:lineRule="auto"/>
            </w:pPr>
            <w:r w:rsidRPr="00B8143D">
              <w:t>2022</w:t>
            </w:r>
          </w:p>
        </w:tc>
        <w:tc>
          <w:tcPr>
            <w:tcW w:w="1199" w:type="dxa"/>
            <w:shd w:val="clear" w:color="auto" w:fill="auto"/>
          </w:tcPr>
          <w:p w14:paraId="5BE3D4B8" w14:textId="77777777" w:rsidR="00B8143D" w:rsidRPr="00B8143D" w:rsidRDefault="00903631" w:rsidP="00F401B8">
            <w:pPr>
              <w:spacing w:after="0" w:line="240" w:lineRule="auto"/>
            </w:pPr>
            <w:r>
              <w:t>0</w:t>
            </w:r>
          </w:p>
        </w:tc>
        <w:tc>
          <w:tcPr>
            <w:tcW w:w="1006" w:type="dxa"/>
            <w:shd w:val="clear" w:color="auto" w:fill="auto"/>
          </w:tcPr>
          <w:p w14:paraId="4E646F69" w14:textId="77777777" w:rsidR="00B8143D" w:rsidRPr="00B8143D" w:rsidRDefault="00BF5A06" w:rsidP="00F401B8">
            <w:pPr>
              <w:spacing w:after="0" w:line="240" w:lineRule="auto"/>
            </w:pPr>
            <w:r>
              <w:t>/</w:t>
            </w:r>
          </w:p>
        </w:tc>
        <w:tc>
          <w:tcPr>
            <w:tcW w:w="879" w:type="dxa"/>
            <w:shd w:val="clear" w:color="auto" w:fill="auto"/>
          </w:tcPr>
          <w:p w14:paraId="7E12DD71" w14:textId="77777777" w:rsidR="00B8143D" w:rsidRPr="00B8143D" w:rsidRDefault="00BF5A06" w:rsidP="00F401B8">
            <w:pPr>
              <w:spacing w:after="0" w:line="240" w:lineRule="auto"/>
            </w:pPr>
            <w:r>
              <w:t>/</w:t>
            </w:r>
          </w:p>
        </w:tc>
        <w:tc>
          <w:tcPr>
            <w:tcW w:w="1160" w:type="dxa"/>
            <w:shd w:val="clear" w:color="auto" w:fill="auto"/>
          </w:tcPr>
          <w:p w14:paraId="34C63123" w14:textId="77777777" w:rsidR="00B8143D" w:rsidRPr="00B8143D" w:rsidRDefault="00BF5A06" w:rsidP="00F401B8">
            <w:pPr>
              <w:spacing w:after="0" w:line="240" w:lineRule="auto"/>
            </w:pPr>
            <w:r>
              <w:t>/</w:t>
            </w:r>
          </w:p>
        </w:tc>
        <w:tc>
          <w:tcPr>
            <w:tcW w:w="932" w:type="dxa"/>
            <w:shd w:val="clear" w:color="auto" w:fill="auto"/>
          </w:tcPr>
          <w:p w14:paraId="3257D392" w14:textId="77777777" w:rsidR="00B8143D" w:rsidRPr="00B8143D" w:rsidRDefault="00BF5A06" w:rsidP="00F401B8">
            <w:pPr>
              <w:spacing w:after="0" w:line="240" w:lineRule="auto"/>
            </w:pPr>
            <w:r>
              <w:t>/</w:t>
            </w:r>
          </w:p>
        </w:tc>
        <w:tc>
          <w:tcPr>
            <w:tcW w:w="1228" w:type="dxa"/>
            <w:shd w:val="clear" w:color="auto" w:fill="auto"/>
          </w:tcPr>
          <w:p w14:paraId="6E5C694B" w14:textId="77777777" w:rsidR="00B8143D" w:rsidRPr="00B8143D" w:rsidRDefault="00BF5A06" w:rsidP="00F401B8">
            <w:pPr>
              <w:spacing w:after="0" w:line="240" w:lineRule="auto"/>
            </w:pPr>
            <w:r>
              <w:t>/</w:t>
            </w:r>
          </w:p>
        </w:tc>
        <w:tc>
          <w:tcPr>
            <w:tcW w:w="1160" w:type="dxa"/>
            <w:shd w:val="clear" w:color="auto" w:fill="auto"/>
          </w:tcPr>
          <w:p w14:paraId="6A40599B" w14:textId="77777777" w:rsidR="00B8143D" w:rsidRPr="00B8143D" w:rsidRDefault="00BF5A06" w:rsidP="00F401B8">
            <w:pPr>
              <w:spacing w:after="0" w:line="240" w:lineRule="auto"/>
            </w:pPr>
            <w:r>
              <w:t>/</w:t>
            </w:r>
          </w:p>
        </w:tc>
        <w:tc>
          <w:tcPr>
            <w:tcW w:w="595" w:type="dxa"/>
            <w:shd w:val="clear" w:color="auto" w:fill="auto"/>
          </w:tcPr>
          <w:p w14:paraId="41BA76C9" w14:textId="77777777" w:rsidR="00B8143D" w:rsidRPr="00B8143D" w:rsidRDefault="00BF5A06" w:rsidP="00F401B8">
            <w:pPr>
              <w:spacing w:after="0" w:line="240" w:lineRule="auto"/>
            </w:pPr>
            <w:r>
              <w:t>/</w:t>
            </w:r>
          </w:p>
        </w:tc>
        <w:tc>
          <w:tcPr>
            <w:tcW w:w="1186" w:type="dxa"/>
            <w:shd w:val="clear" w:color="auto" w:fill="auto"/>
          </w:tcPr>
          <w:p w14:paraId="296BD0F1" w14:textId="77777777" w:rsidR="00B8143D" w:rsidRPr="00B8143D" w:rsidRDefault="00B8143D" w:rsidP="00F401B8">
            <w:pPr>
              <w:spacing w:after="0" w:line="240" w:lineRule="auto"/>
            </w:pPr>
          </w:p>
        </w:tc>
      </w:tr>
    </w:tbl>
    <w:p w14:paraId="0B89FE40" w14:textId="77777777" w:rsidR="00232569" w:rsidRDefault="00232569" w:rsidP="00F401B8"/>
    <w:tbl>
      <w:tblPr>
        <w:tblW w:w="1053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199"/>
        <w:gridCol w:w="1006"/>
        <w:gridCol w:w="879"/>
        <w:gridCol w:w="1160"/>
        <w:gridCol w:w="932"/>
        <w:gridCol w:w="1228"/>
        <w:gridCol w:w="1160"/>
        <w:gridCol w:w="595"/>
        <w:gridCol w:w="1232"/>
      </w:tblGrid>
      <w:tr w:rsidR="00B8143D" w:rsidRPr="00B8143D" w14:paraId="32AEC628" w14:textId="77777777" w:rsidTr="00E47799">
        <w:tc>
          <w:tcPr>
            <w:tcW w:w="10532" w:type="dxa"/>
            <w:gridSpan w:val="10"/>
            <w:shd w:val="clear" w:color="auto" w:fill="D9D9D9"/>
          </w:tcPr>
          <w:p w14:paraId="47EB8DE1" w14:textId="17E10FB1" w:rsidR="00B8143D" w:rsidRPr="00B8143D" w:rsidRDefault="00B8143D" w:rsidP="00F401B8">
            <w:pPr>
              <w:spacing w:after="0" w:line="240" w:lineRule="auto"/>
            </w:pPr>
            <w:r w:rsidRPr="00B8143D">
              <w:t>Table 6 – Statistical data of complaints submitted to terminal operators</w:t>
            </w:r>
          </w:p>
        </w:tc>
      </w:tr>
      <w:tr w:rsidR="003B2C6B" w:rsidRPr="00B8143D" w14:paraId="316F4BD3" w14:textId="77777777" w:rsidTr="00E47799">
        <w:trPr>
          <w:trHeight w:val="405"/>
        </w:trPr>
        <w:tc>
          <w:tcPr>
            <w:tcW w:w="1141" w:type="dxa"/>
            <w:vMerge w:val="restart"/>
            <w:shd w:val="clear" w:color="auto" w:fill="D9D9D9"/>
          </w:tcPr>
          <w:p w14:paraId="75F4C911" w14:textId="77777777" w:rsidR="00B8143D" w:rsidRPr="00B8143D" w:rsidRDefault="00B8143D" w:rsidP="00F401B8">
            <w:pPr>
              <w:spacing w:after="0" w:line="240" w:lineRule="auto"/>
            </w:pPr>
          </w:p>
        </w:tc>
        <w:tc>
          <w:tcPr>
            <w:tcW w:w="1199" w:type="dxa"/>
            <w:vMerge w:val="restart"/>
            <w:shd w:val="clear" w:color="auto" w:fill="auto"/>
          </w:tcPr>
          <w:p w14:paraId="4AD27787" w14:textId="77777777" w:rsidR="00B8143D" w:rsidRDefault="00B8143D" w:rsidP="00F401B8">
            <w:pPr>
              <w:spacing w:after="0" w:line="240" w:lineRule="auto"/>
            </w:pPr>
            <w:r w:rsidRPr="00B8143D">
              <w:t>Total number of complaints</w:t>
            </w:r>
          </w:p>
          <w:p w14:paraId="074054AE" w14:textId="3023BDDD" w:rsidR="00227322" w:rsidRPr="00E47799" w:rsidRDefault="00227322" w:rsidP="00F401B8">
            <w:pPr>
              <w:spacing w:after="0" w:line="240" w:lineRule="auto"/>
              <w:rPr>
                <w:color w:val="7030A0"/>
              </w:rPr>
            </w:pPr>
          </w:p>
        </w:tc>
        <w:tc>
          <w:tcPr>
            <w:tcW w:w="6960" w:type="dxa"/>
            <w:gridSpan w:val="7"/>
            <w:shd w:val="clear" w:color="auto" w:fill="auto"/>
          </w:tcPr>
          <w:p w14:paraId="49FD5A7F" w14:textId="77777777" w:rsidR="00B8143D" w:rsidRPr="00B8143D" w:rsidRDefault="00B8143D" w:rsidP="00F401B8">
            <w:pPr>
              <w:spacing w:after="0" w:line="240" w:lineRule="auto"/>
            </w:pPr>
            <w:r w:rsidRPr="00B8143D">
              <w:t>Reason for complaint</w:t>
            </w:r>
          </w:p>
        </w:tc>
        <w:tc>
          <w:tcPr>
            <w:tcW w:w="1232" w:type="dxa"/>
            <w:vMerge w:val="restart"/>
            <w:shd w:val="clear" w:color="auto" w:fill="auto"/>
          </w:tcPr>
          <w:p w14:paraId="17859853" w14:textId="77777777" w:rsidR="00B8143D" w:rsidRPr="00B8143D" w:rsidRDefault="00B8143D" w:rsidP="00F401B8">
            <w:pPr>
              <w:spacing w:after="0" w:line="240" w:lineRule="auto"/>
            </w:pPr>
            <w:r w:rsidRPr="00B8143D">
              <w:t>Comments</w:t>
            </w:r>
          </w:p>
          <w:p w14:paraId="7B3167FD" w14:textId="77777777" w:rsidR="00B8143D" w:rsidRPr="00B8143D" w:rsidRDefault="00B8143D" w:rsidP="00F401B8">
            <w:pPr>
              <w:spacing w:after="0" w:line="240" w:lineRule="auto"/>
            </w:pPr>
          </w:p>
        </w:tc>
      </w:tr>
      <w:tr w:rsidR="00B8143D" w:rsidRPr="00B8143D" w14:paraId="25AC1A22" w14:textId="77777777" w:rsidTr="00E47799">
        <w:trPr>
          <w:trHeight w:val="405"/>
        </w:trPr>
        <w:tc>
          <w:tcPr>
            <w:tcW w:w="1141" w:type="dxa"/>
            <w:vMerge/>
            <w:shd w:val="clear" w:color="auto" w:fill="D9D9D9"/>
          </w:tcPr>
          <w:p w14:paraId="15BC9B52" w14:textId="77777777" w:rsidR="00B8143D" w:rsidRPr="00B8143D" w:rsidRDefault="00B8143D" w:rsidP="00F401B8">
            <w:pPr>
              <w:spacing w:after="0" w:line="240" w:lineRule="auto"/>
            </w:pPr>
          </w:p>
        </w:tc>
        <w:tc>
          <w:tcPr>
            <w:tcW w:w="1199" w:type="dxa"/>
            <w:vMerge/>
            <w:shd w:val="clear" w:color="auto" w:fill="auto"/>
          </w:tcPr>
          <w:p w14:paraId="7F9F5F11" w14:textId="77777777" w:rsidR="00B8143D" w:rsidRPr="00B8143D" w:rsidRDefault="00B8143D" w:rsidP="00F401B8">
            <w:pPr>
              <w:spacing w:after="0" w:line="240" w:lineRule="auto"/>
            </w:pPr>
          </w:p>
        </w:tc>
        <w:tc>
          <w:tcPr>
            <w:tcW w:w="1006" w:type="dxa"/>
            <w:shd w:val="clear" w:color="auto" w:fill="auto"/>
          </w:tcPr>
          <w:p w14:paraId="200F1DEB" w14:textId="77777777" w:rsidR="00B8143D" w:rsidRPr="00B8143D" w:rsidRDefault="00B8143D" w:rsidP="00F401B8">
            <w:pPr>
              <w:spacing w:after="0" w:line="240" w:lineRule="auto"/>
            </w:pPr>
            <w:r w:rsidRPr="00E47799">
              <w:rPr>
                <w:bCs/>
                <w:sz w:val="16"/>
              </w:rPr>
              <w:t>Accessibility and information (Article 9)</w:t>
            </w:r>
          </w:p>
        </w:tc>
        <w:tc>
          <w:tcPr>
            <w:tcW w:w="879" w:type="dxa"/>
            <w:shd w:val="clear" w:color="auto" w:fill="auto"/>
          </w:tcPr>
          <w:p w14:paraId="7EFB74E4" w14:textId="77777777" w:rsidR="00B8143D" w:rsidRPr="00E47799" w:rsidRDefault="00B8143D" w:rsidP="00F401B8">
            <w:pPr>
              <w:spacing w:after="0" w:line="240" w:lineRule="auto"/>
              <w:rPr>
                <w:bCs/>
              </w:rPr>
            </w:pPr>
            <w:r w:rsidRPr="00E47799">
              <w:rPr>
                <w:bCs/>
                <w:sz w:val="16"/>
              </w:rPr>
              <w:t>Right to assistance (Article 10)</w:t>
            </w:r>
          </w:p>
        </w:tc>
        <w:tc>
          <w:tcPr>
            <w:tcW w:w="1160" w:type="dxa"/>
            <w:shd w:val="clear" w:color="auto" w:fill="auto"/>
          </w:tcPr>
          <w:p w14:paraId="0FC05BB2" w14:textId="77777777" w:rsidR="00B8143D" w:rsidRPr="00E47799" w:rsidRDefault="00B8143D" w:rsidP="00F401B8">
            <w:pPr>
              <w:spacing w:after="0" w:line="240" w:lineRule="auto"/>
              <w:rPr>
                <w:bCs/>
              </w:rPr>
            </w:pPr>
            <w:r w:rsidRPr="00E47799">
              <w:rPr>
                <w:bCs/>
                <w:sz w:val="16"/>
              </w:rPr>
              <w:t>Compensation of mobility equipment or other specific equipment (Article 15)</w:t>
            </w:r>
          </w:p>
        </w:tc>
        <w:tc>
          <w:tcPr>
            <w:tcW w:w="932" w:type="dxa"/>
            <w:shd w:val="clear" w:color="auto" w:fill="auto"/>
          </w:tcPr>
          <w:p w14:paraId="618A81B8" w14:textId="77777777" w:rsidR="00B8143D" w:rsidRPr="00E47799" w:rsidRDefault="00B8143D" w:rsidP="00F401B8">
            <w:pPr>
              <w:spacing w:after="0" w:line="240" w:lineRule="auto"/>
              <w:rPr>
                <w:bCs/>
              </w:rPr>
            </w:pPr>
            <w:r w:rsidRPr="00E47799">
              <w:rPr>
                <w:bCs/>
                <w:sz w:val="16"/>
              </w:rPr>
              <w:t>Assistance in the event of cancelled or delayed departures (Article 17)</w:t>
            </w:r>
          </w:p>
        </w:tc>
        <w:tc>
          <w:tcPr>
            <w:tcW w:w="1228" w:type="dxa"/>
            <w:shd w:val="clear" w:color="auto" w:fill="auto"/>
          </w:tcPr>
          <w:p w14:paraId="199F69AE" w14:textId="77777777" w:rsidR="00B8143D" w:rsidRPr="00E47799" w:rsidRDefault="00B8143D" w:rsidP="00F401B8">
            <w:pPr>
              <w:spacing w:after="0" w:line="240" w:lineRule="auto"/>
              <w:rPr>
                <w:bCs/>
              </w:rPr>
            </w:pPr>
            <w:r w:rsidRPr="00E47799">
              <w:rPr>
                <w:bCs/>
                <w:sz w:val="16"/>
              </w:rPr>
              <w:t>Re-routing and reimbursement in the event of cancelled or delayed departures (Article 18)</w:t>
            </w:r>
          </w:p>
        </w:tc>
        <w:tc>
          <w:tcPr>
            <w:tcW w:w="1160" w:type="dxa"/>
            <w:shd w:val="clear" w:color="auto" w:fill="auto"/>
          </w:tcPr>
          <w:p w14:paraId="13A5F907" w14:textId="77777777" w:rsidR="00B8143D" w:rsidRPr="00E47799" w:rsidRDefault="00B8143D" w:rsidP="00F401B8">
            <w:pPr>
              <w:spacing w:after="0" w:line="240" w:lineRule="auto"/>
              <w:rPr>
                <w:bCs/>
              </w:rPr>
            </w:pPr>
            <w:r w:rsidRPr="00E47799">
              <w:rPr>
                <w:bCs/>
                <w:sz w:val="16"/>
              </w:rPr>
              <w:t>Compensation in the event of delay in arrival (Article 19)</w:t>
            </w:r>
          </w:p>
        </w:tc>
        <w:tc>
          <w:tcPr>
            <w:tcW w:w="595" w:type="dxa"/>
            <w:shd w:val="clear" w:color="auto" w:fill="auto"/>
          </w:tcPr>
          <w:p w14:paraId="614F3996" w14:textId="77777777" w:rsidR="00B8143D" w:rsidRPr="00E47799" w:rsidRDefault="00B8143D" w:rsidP="00F401B8">
            <w:pPr>
              <w:spacing w:after="0" w:line="240" w:lineRule="auto"/>
              <w:rPr>
                <w:bCs/>
              </w:rPr>
            </w:pPr>
            <w:r w:rsidRPr="00E47799">
              <w:rPr>
                <w:bCs/>
                <w:sz w:val="16"/>
              </w:rPr>
              <w:t>Other</w:t>
            </w:r>
          </w:p>
        </w:tc>
        <w:tc>
          <w:tcPr>
            <w:tcW w:w="1232" w:type="dxa"/>
            <w:vMerge/>
            <w:shd w:val="clear" w:color="auto" w:fill="auto"/>
          </w:tcPr>
          <w:p w14:paraId="37612A9A" w14:textId="77777777" w:rsidR="00B8143D" w:rsidRPr="00B8143D" w:rsidRDefault="00B8143D" w:rsidP="00F401B8">
            <w:pPr>
              <w:spacing w:after="0" w:line="240" w:lineRule="auto"/>
            </w:pPr>
          </w:p>
        </w:tc>
      </w:tr>
      <w:tr w:rsidR="003B2C6B" w:rsidRPr="00B8143D" w14:paraId="4C1ADDA4" w14:textId="77777777" w:rsidTr="00E47799">
        <w:tc>
          <w:tcPr>
            <w:tcW w:w="1141" w:type="dxa"/>
            <w:shd w:val="clear" w:color="auto" w:fill="D9D9D9"/>
          </w:tcPr>
          <w:p w14:paraId="56734911" w14:textId="77777777" w:rsidR="00B8143D" w:rsidRPr="00B8143D" w:rsidRDefault="00B8143D" w:rsidP="00F401B8">
            <w:pPr>
              <w:spacing w:after="0" w:line="240" w:lineRule="auto"/>
            </w:pPr>
            <w:r w:rsidRPr="00B8143D">
              <w:t>From 1 January to 31 December 2021</w:t>
            </w:r>
          </w:p>
        </w:tc>
        <w:tc>
          <w:tcPr>
            <w:tcW w:w="1199" w:type="dxa"/>
            <w:shd w:val="clear" w:color="auto" w:fill="auto"/>
          </w:tcPr>
          <w:p w14:paraId="1FC6EC4A" w14:textId="77777777" w:rsidR="00B8143D" w:rsidRPr="00B8143D" w:rsidRDefault="00903631" w:rsidP="00F401B8">
            <w:pPr>
              <w:spacing w:after="0" w:line="240" w:lineRule="auto"/>
            </w:pPr>
            <w:r>
              <w:t>0</w:t>
            </w:r>
          </w:p>
        </w:tc>
        <w:tc>
          <w:tcPr>
            <w:tcW w:w="1006" w:type="dxa"/>
            <w:shd w:val="clear" w:color="auto" w:fill="auto"/>
          </w:tcPr>
          <w:p w14:paraId="2D63A7EE" w14:textId="77777777" w:rsidR="00B8143D" w:rsidRPr="00B8143D" w:rsidRDefault="00BF5A06" w:rsidP="00F401B8">
            <w:pPr>
              <w:spacing w:after="0" w:line="240" w:lineRule="auto"/>
            </w:pPr>
            <w:r>
              <w:t>/</w:t>
            </w:r>
          </w:p>
        </w:tc>
        <w:tc>
          <w:tcPr>
            <w:tcW w:w="879" w:type="dxa"/>
            <w:shd w:val="clear" w:color="auto" w:fill="auto"/>
          </w:tcPr>
          <w:p w14:paraId="632E0F27" w14:textId="77777777" w:rsidR="00B8143D" w:rsidRPr="00B8143D" w:rsidRDefault="00BF5A06" w:rsidP="00F401B8">
            <w:pPr>
              <w:spacing w:after="0" w:line="240" w:lineRule="auto"/>
            </w:pPr>
            <w:r>
              <w:t>/</w:t>
            </w:r>
          </w:p>
        </w:tc>
        <w:tc>
          <w:tcPr>
            <w:tcW w:w="1160" w:type="dxa"/>
            <w:shd w:val="clear" w:color="auto" w:fill="auto"/>
          </w:tcPr>
          <w:p w14:paraId="7908461F" w14:textId="77777777" w:rsidR="00B8143D" w:rsidRPr="00B8143D" w:rsidRDefault="00BF5A06" w:rsidP="00F401B8">
            <w:pPr>
              <w:spacing w:after="0" w:line="240" w:lineRule="auto"/>
            </w:pPr>
            <w:r>
              <w:t>/</w:t>
            </w:r>
          </w:p>
        </w:tc>
        <w:tc>
          <w:tcPr>
            <w:tcW w:w="932" w:type="dxa"/>
            <w:shd w:val="clear" w:color="auto" w:fill="auto"/>
          </w:tcPr>
          <w:p w14:paraId="4D77163C" w14:textId="77777777" w:rsidR="00B8143D" w:rsidRPr="00B8143D" w:rsidRDefault="00BF5A06" w:rsidP="00F401B8">
            <w:pPr>
              <w:spacing w:after="0" w:line="240" w:lineRule="auto"/>
            </w:pPr>
            <w:r>
              <w:t>/</w:t>
            </w:r>
          </w:p>
        </w:tc>
        <w:tc>
          <w:tcPr>
            <w:tcW w:w="1228" w:type="dxa"/>
            <w:shd w:val="clear" w:color="auto" w:fill="auto"/>
          </w:tcPr>
          <w:p w14:paraId="6C9CE91D" w14:textId="77777777" w:rsidR="00B8143D" w:rsidRPr="00B8143D" w:rsidRDefault="00BF5A06" w:rsidP="00F401B8">
            <w:pPr>
              <w:spacing w:after="0" w:line="240" w:lineRule="auto"/>
            </w:pPr>
            <w:r>
              <w:t>/</w:t>
            </w:r>
          </w:p>
        </w:tc>
        <w:tc>
          <w:tcPr>
            <w:tcW w:w="1160" w:type="dxa"/>
            <w:shd w:val="clear" w:color="auto" w:fill="auto"/>
          </w:tcPr>
          <w:p w14:paraId="5AA7FE43" w14:textId="77777777" w:rsidR="00B8143D" w:rsidRPr="00B8143D" w:rsidRDefault="00BF5A06" w:rsidP="00F401B8">
            <w:pPr>
              <w:spacing w:after="0" w:line="240" w:lineRule="auto"/>
            </w:pPr>
            <w:r>
              <w:t>/</w:t>
            </w:r>
          </w:p>
        </w:tc>
        <w:tc>
          <w:tcPr>
            <w:tcW w:w="595" w:type="dxa"/>
            <w:shd w:val="clear" w:color="auto" w:fill="auto"/>
          </w:tcPr>
          <w:p w14:paraId="79D22C93" w14:textId="77777777" w:rsidR="00B8143D" w:rsidRPr="00B8143D" w:rsidRDefault="00BF5A06" w:rsidP="00F401B8">
            <w:pPr>
              <w:spacing w:after="0" w:line="240" w:lineRule="auto"/>
            </w:pPr>
            <w:r>
              <w:t>/</w:t>
            </w:r>
          </w:p>
        </w:tc>
        <w:tc>
          <w:tcPr>
            <w:tcW w:w="1232" w:type="dxa"/>
            <w:shd w:val="clear" w:color="auto" w:fill="auto"/>
          </w:tcPr>
          <w:p w14:paraId="0F04F43F" w14:textId="77777777" w:rsidR="00B8143D" w:rsidRPr="00B8143D" w:rsidRDefault="00B8143D" w:rsidP="00F401B8">
            <w:pPr>
              <w:spacing w:after="0" w:line="240" w:lineRule="auto"/>
            </w:pPr>
          </w:p>
        </w:tc>
      </w:tr>
      <w:tr w:rsidR="003B2C6B" w:rsidRPr="00B8143D" w14:paraId="29F536A6" w14:textId="77777777" w:rsidTr="00E47799">
        <w:tc>
          <w:tcPr>
            <w:tcW w:w="1141" w:type="dxa"/>
            <w:shd w:val="clear" w:color="auto" w:fill="D9D9D9"/>
          </w:tcPr>
          <w:p w14:paraId="3DB5C4BB" w14:textId="77777777" w:rsidR="00B8143D" w:rsidRPr="00B8143D" w:rsidRDefault="00B8143D" w:rsidP="00F401B8">
            <w:pPr>
              <w:spacing w:after="0" w:line="240" w:lineRule="auto"/>
            </w:pPr>
            <w:r w:rsidRPr="00B8143D">
              <w:t xml:space="preserve">From 1 January to 31 December </w:t>
            </w:r>
          </w:p>
          <w:p w14:paraId="0148FFD9" w14:textId="77777777" w:rsidR="00B8143D" w:rsidRPr="00B8143D" w:rsidRDefault="00B8143D" w:rsidP="00F401B8">
            <w:pPr>
              <w:spacing w:after="0" w:line="240" w:lineRule="auto"/>
            </w:pPr>
            <w:r w:rsidRPr="00B8143D">
              <w:t>2022</w:t>
            </w:r>
          </w:p>
        </w:tc>
        <w:tc>
          <w:tcPr>
            <w:tcW w:w="1199" w:type="dxa"/>
            <w:shd w:val="clear" w:color="auto" w:fill="auto"/>
          </w:tcPr>
          <w:p w14:paraId="688BC700" w14:textId="77777777" w:rsidR="00B8143D" w:rsidRPr="00B8143D" w:rsidRDefault="00903631" w:rsidP="00F401B8">
            <w:pPr>
              <w:spacing w:after="0" w:line="240" w:lineRule="auto"/>
            </w:pPr>
            <w:r>
              <w:t>0</w:t>
            </w:r>
          </w:p>
        </w:tc>
        <w:tc>
          <w:tcPr>
            <w:tcW w:w="1006" w:type="dxa"/>
            <w:shd w:val="clear" w:color="auto" w:fill="auto"/>
          </w:tcPr>
          <w:p w14:paraId="555E3A6B" w14:textId="77777777" w:rsidR="00B8143D" w:rsidRPr="00B8143D" w:rsidRDefault="00BF5A06" w:rsidP="00F401B8">
            <w:pPr>
              <w:spacing w:after="0" w:line="240" w:lineRule="auto"/>
            </w:pPr>
            <w:r>
              <w:t>/</w:t>
            </w:r>
          </w:p>
        </w:tc>
        <w:tc>
          <w:tcPr>
            <w:tcW w:w="879" w:type="dxa"/>
            <w:shd w:val="clear" w:color="auto" w:fill="auto"/>
          </w:tcPr>
          <w:p w14:paraId="1AF40400" w14:textId="77777777" w:rsidR="00B8143D" w:rsidRPr="00B8143D" w:rsidRDefault="00BF5A06" w:rsidP="00F401B8">
            <w:pPr>
              <w:spacing w:after="0" w:line="240" w:lineRule="auto"/>
            </w:pPr>
            <w:r>
              <w:t>/</w:t>
            </w:r>
          </w:p>
        </w:tc>
        <w:tc>
          <w:tcPr>
            <w:tcW w:w="1160" w:type="dxa"/>
            <w:shd w:val="clear" w:color="auto" w:fill="auto"/>
          </w:tcPr>
          <w:p w14:paraId="1E4A2169" w14:textId="77777777" w:rsidR="00B8143D" w:rsidRPr="00B8143D" w:rsidRDefault="00BF5A06" w:rsidP="00F401B8">
            <w:pPr>
              <w:spacing w:after="0" w:line="240" w:lineRule="auto"/>
            </w:pPr>
            <w:r>
              <w:t>/</w:t>
            </w:r>
          </w:p>
        </w:tc>
        <w:tc>
          <w:tcPr>
            <w:tcW w:w="932" w:type="dxa"/>
            <w:shd w:val="clear" w:color="auto" w:fill="auto"/>
          </w:tcPr>
          <w:p w14:paraId="1CF06F78" w14:textId="77777777" w:rsidR="00B8143D" w:rsidRPr="00B8143D" w:rsidRDefault="00BF5A06" w:rsidP="00F401B8">
            <w:pPr>
              <w:spacing w:after="0" w:line="240" w:lineRule="auto"/>
            </w:pPr>
            <w:r>
              <w:t>/</w:t>
            </w:r>
          </w:p>
        </w:tc>
        <w:tc>
          <w:tcPr>
            <w:tcW w:w="1228" w:type="dxa"/>
            <w:shd w:val="clear" w:color="auto" w:fill="auto"/>
          </w:tcPr>
          <w:p w14:paraId="4EF11C85" w14:textId="77777777" w:rsidR="00B8143D" w:rsidRPr="00B8143D" w:rsidRDefault="00BF5A06" w:rsidP="00F401B8">
            <w:pPr>
              <w:spacing w:after="0" w:line="240" w:lineRule="auto"/>
            </w:pPr>
            <w:r>
              <w:t>/</w:t>
            </w:r>
          </w:p>
        </w:tc>
        <w:tc>
          <w:tcPr>
            <w:tcW w:w="1160" w:type="dxa"/>
            <w:shd w:val="clear" w:color="auto" w:fill="auto"/>
          </w:tcPr>
          <w:p w14:paraId="12DFF090" w14:textId="77777777" w:rsidR="00B8143D" w:rsidRPr="00B8143D" w:rsidRDefault="00BF5A06" w:rsidP="00F401B8">
            <w:pPr>
              <w:spacing w:after="0" w:line="240" w:lineRule="auto"/>
            </w:pPr>
            <w:r>
              <w:t>/</w:t>
            </w:r>
          </w:p>
        </w:tc>
        <w:tc>
          <w:tcPr>
            <w:tcW w:w="595" w:type="dxa"/>
            <w:shd w:val="clear" w:color="auto" w:fill="auto"/>
          </w:tcPr>
          <w:p w14:paraId="341C7A69" w14:textId="77777777" w:rsidR="00B8143D" w:rsidRPr="00B8143D" w:rsidRDefault="00BF5A06" w:rsidP="00F401B8">
            <w:pPr>
              <w:spacing w:after="0" w:line="240" w:lineRule="auto"/>
            </w:pPr>
            <w:r>
              <w:t>/</w:t>
            </w:r>
          </w:p>
        </w:tc>
        <w:tc>
          <w:tcPr>
            <w:tcW w:w="1232" w:type="dxa"/>
            <w:shd w:val="clear" w:color="auto" w:fill="auto"/>
          </w:tcPr>
          <w:p w14:paraId="4390ED87" w14:textId="77777777" w:rsidR="00B8143D" w:rsidRPr="00B8143D" w:rsidRDefault="00B8143D" w:rsidP="00F401B8">
            <w:pPr>
              <w:spacing w:after="0" w:line="240" w:lineRule="auto"/>
            </w:pPr>
          </w:p>
        </w:tc>
      </w:tr>
    </w:tbl>
    <w:p w14:paraId="3F3E59A5" w14:textId="77777777" w:rsidR="00B8143D" w:rsidRDefault="00B8143D" w:rsidP="00F401B8"/>
    <w:tbl>
      <w:tblPr>
        <w:tblW w:w="1057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199"/>
        <w:gridCol w:w="1006"/>
        <w:gridCol w:w="879"/>
        <w:gridCol w:w="1160"/>
        <w:gridCol w:w="932"/>
        <w:gridCol w:w="1228"/>
        <w:gridCol w:w="1160"/>
        <w:gridCol w:w="595"/>
        <w:gridCol w:w="1277"/>
      </w:tblGrid>
      <w:tr w:rsidR="003B2C6B" w:rsidRPr="003B2C6B" w14:paraId="1EF658BD" w14:textId="77777777" w:rsidTr="00E47799">
        <w:tc>
          <w:tcPr>
            <w:tcW w:w="10577" w:type="dxa"/>
            <w:gridSpan w:val="10"/>
            <w:shd w:val="clear" w:color="auto" w:fill="D9D9D9"/>
          </w:tcPr>
          <w:p w14:paraId="5601D287" w14:textId="5F532D67" w:rsidR="003B2C6B" w:rsidRPr="003B2C6B" w:rsidRDefault="003B2C6B" w:rsidP="00F401B8">
            <w:pPr>
              <w:spacing w:after="0" w:line="240" w:lineRule="auto"/>
            </w:pPr>
            <w:r w:rsidRPr="003B2C6B">
              <w:t>Table 7 – Statistical data of complaints submitted to carriers</w:t>
            </w:r>
            <w:r w:rsidR="00F401B8">
              <w:t xml:space="preserve"> </w:t>
            </w:r>
          </w:p>
        </w:tc>
      </w:tr>
      <w:tr w:rsidR="003B2C6B" w:rsidRPr="003B2C6B" w14:paraId="475119BE" w14:textId="77777777" w:rsidTr="00E47799">
        <w:trPr>
          <w:trHeight w:val="405"/>
        </w:trPr>
        <w:tc>
          <w:tcPr>
            <w:tcW w:w="1141" w:type="dxa"/>
            <w:vMerge w:val="restart"/>
            <w:shd w:val="clear" w:color="auto" w:fill="auto"/>
          </w:tcPr>
          <w:p w14:paraId="6BB72060" w14:textId="77777777" w:rsidR="003B2C6B" w:rsidRPr="003B2C6B" w:rsidRDefault="003B2C6B" w:rsidP="00F401B8">
            <w:pPr>
              <w:spacing w:after="0" w:line="240" w:lineRule="auto"/>
            </w:pPr>
          </w:p>
        </w:tc>
        <w:tc>
          <w:tcPr>
            <w:tcW w:w="1199" w:type="dxa"/>
            <w:vMerge w:val="restart"/>
            <w:shd w:val="clear" w:color="auto" w:fill="auto"/>
          </w:tcPr>
          <w:p w14:paraId="6B61FB48" w14:textId="77777777" w:rsidR="003B2C6B" w:rsidRPr="003B2C6B" w:rsidRDefault="003B2C6B" w:rsidP="00F401B8">
            <w:pPr>
              <w:spacing w:after="0" w:line="240" w:lineRule="auto"/>
            </w:pPr>
            <w:r w:rsidRPr="003B2C6B">
              <w:t>Total number of complaints</w:t>
            </w:r>
          </w:p>
        </w:tc>
        <w:tc>
          <w:tcPr>
            <w:tcW w:w="6960" w:type="dxa"/>
            <w:gridSpan w:val="7"/>
            <w:shd w:val="clear" w:color="auto" w:fill="auto"/>
          </w:tcPr>
          <w:p w14:paraId="28F1F577" w14:textId="77777777" w:rsidR="003B2C6B" w:rsidRPr="003B2C6B" w:rsidRDefault="003B2C6B" w:rsidP="00F401B8">
            <w:pPr>
              <w:spacing w:after="0" w:line="240" w:lineRule="auto"/>
            </w:pPr>
            <w:r w:rsidRPr="003B2C6B">
              <w:t>Reason for complaint</w:t>
            </w:r>
          </w:p>
        </w:tc>
        <w:tc>
          <w:tcPr>
            <w:tcW w:w="1277" w:type="dxa"/>
            <w:vMerge w:val="restart"/>
            <w:shd w:val="clear" w:color="auto" w:fill="auto"/>
          </w:tcPr>
          <w:p w14:paraId="656296E4" w14:textId="77777777" w:rsidR="003B2C6B" w:rsidRPr="003B2C6B" w:rsidRDefault="003B2C6B" w:rsidP="00F401B8">
            <w:pPr>
              <w:spacing w:after="0" w:line="240" w:lineRule="auto"/>
            </w:pPr>
            <w:r w:rsidRPr="003B2C6B">
              <w:t>Comments</w:t>
            </w:r>
          </w:p>
          <w:p w14:paraId="12439FAB" w14:textId="77777777" w:rsidR="003B2C6B" w:rsidRPr="003B2C6B" w:rsidRDefault="003B2C6B" w:rsidP="00F401B8">
            <w:pPr>
              <w:spacing w:after="0" w:line="240" w:lineRule="auto"/>
            </w:pPr>
          </w:p>
        </w:tc>
      </w:tr>
      <w:tr w:rsidR="003B2C6B" w:rsidRPr="003B2C6B" w14:paraId="254779F2" w14:textId="77777777" w:rsidTr="00E47799">
        <w:trPr>
          <w:trHeight w:val="405"/>
        </w:trPr>
        <w:tc>
          <w:tcPr>
            <w:tcW w:w="1141" w:type="dxa"/>
            <w:vMerge/>
            <w:shd w:val="clear" w:color="auto" w:fill="auto"/>
          </w:tcPr>
          <w:p w14:paraId="0D5577D3" w14:textId="77777777" w:rsidR="003B2C6B" w:rsidRPr="003B2C6B" w:rsidRDefault="003B2C6B" w:rsidP="00F401B8">
            <w:pPr>
              <w:spacing w:after="0" w:line="240" w:lineRule="auto"/>
            </w:pPr>
          </w:p>
        </w:tc>
        <w:tc>
          <w:tcPr>
            <w:tcW w:w="1199" w:type="dxa"/>
            <w:vMerge/>
            <w:shd w:val="clear" w:color="auto" w:fill="auto"/>
          </w:tcPr>
          <w:p w14:paraId="22E29F6A" w14:textId="77777777" w:rsidR="003B2C6B" w:rsidRPr="003B2C6B" w:rsidRDefault="003B2C6B" w:rsidP="00F401B8">
            <w:pPr>
              <w:spacing w:after="0" w:line="240" w:lineRule="auto"/>
            </w:pPr>
          </w:p>
        </w:tc>
        <w:tc>
          <w:tcPr>
            <w:tcW w:w="1006" w:type="dxa"/>
            <w:shd w:val="clear" w:color="auto" w:fill="auto"/>
          </w:tcPr>
          <w:p w14:paraId="6B0A5D1A" w14:textId="77777777" w:rsidR="003B2C6B" w:rsidRPr="003B2C6B" w:rsidRDefault="003B2C6B" w:rsidP="00F401B8">
            <w:pPr>
              <w:spacing w:after="0" w:line="240" w:lineRule="auto"/>
            </w:pPr>
            <w:r w:rsidRPr="00E47799">
              <w:rPr>
                <w:bCs/>
                <w:sz w:val="16"/>
              </w:rPr>
              <w:t>Accessibility and information (Article 9)</w:t>
            </w:r>
          </w:p>
        </w:tc>
        <w:tc>
          <w:tcPr>
            <w:tcW w:w="879" w:type="dxa"/>
            <w:shd w:val="clear" w:color="auto" w:fill="auto"/>
          </w:tcPr>
          <w:p w14:paraId="07A2A61C" w14:textId="77777777" w:rsidR="003B2C6B" w:rsidRPr="00E47799" w:rsidRDefault="003B2C6B" w:rsidP="00F401B8">
            <w:pPr>
              <w:spacing w:after="0" w:line="240" w:lineRule="auto"/>
              <w:rPr>
                <w:bCs/>
              </w:rPr>
            </w:pPr>
            <w:r w:rsidRPr="00E47799">
              <w:rPr>
                <w:bCs/>
                <w:sz w:val="16"/>
              </w:rPr>
              <w:t>Right to assistance (Article 10)</w:t>
            </w:r>
          </w:p>
        </w:tc>
        <w:tc>
          <w:tcPr>
            <w:tcW w:w="1160" w:type="dxa"/>
            <w:shd w:val="clear" w:color="auto" w:fill="auto"/>
          </w:tcPr>
          <w:p w14:paraId="05CB36CC" w14:textId="77777777" w:rsidR="003B2C6B" w:rsidRPr="00E47799" w:rsidRDefault="003B2C6B" w:rsidP="00F401B8">
            <w:pPr>
              <w:spacing w:after="0" w:line="240" w:lineRule="auto"/>
              <w:rPr>
                <w:bCs/>
              </w:rPr>
            </w:pPr>
            <w:r w:rsidRPr="00E47799">
              <w:rPr>
                <w:bCs/>
                <w:sz w:val="16"/>
              </w:rPr>
              <w:t>Compensation of mobility equipment or other specific equipment (Article 15)</w:t>
            </w:r>
          </w:p>
        </w:tc>
        <w:tc>
          <w:tcPr>
            <w:tcW w:w="932" w:type="dxa"/>
            <w:shd w:val="clear" w:color="auto" w:fill="auto"/>
          </w:tcPr>
          <w:p w14:paraId="6001F38B" w14:textId="77777777" w:rsidR="003B2C6B" w:rsidRPr="00E47799" w:rsidRDefault="003B2C6B" w:rsidP="00F401B8">
            <w:pPr>
              <w:spacing w:after="0" w:line="240" w:lineRule="auto"/>
              <w:rPr>
                <w:bCs/>
              </w:rPr>
            </w:pPr>
            <w:r w:rsidRPr="00E47799">
              <w:rPr>
                <w:bCs/>
                <w:sz w:val="16"/>
              </w:rPr>
              <w:t>Assistance in the event of cancelled or delayed departures (Article 17)</w:t>
            </w:r>
          </w:p>
        </w:tc>
        <w:tc>
          <w:tcPr>
            <w:tcW w:w="1228" w:type="dxa"/>
            <w:shd w:val="clear" w:color="auto" w:fill="auto"/>
          </w:tcPr>
          <w:p w14:paraId="45E9079E" w14:textId="77777777" w:rsidR="003B2C6B" w:rsidRPr="00E47799" w:rsidRDefault="003B2C6B" w:rsidP="00F401B8">
            <w:pPr>
              <w:spacing w:after="0" w:line="240" w:lineRule="auto"/>
              <w:rPr>
                <w:bCs/>
              </w:rPr>
            </w:pPr>
            <w:r w:rsidRPr="00E47799">
              <w:rPr>
                <w:bCs/>
                <w:sz w:val="16"/>
              </w:rPr>
              <w:t>Re-routing and reimbursement in the event of cancelled or delayed departures (Article 18)</w:t>
            </w:r>
          </w:p>
        </w:tc>
        <w:tc>
          <w:tcPr>
            <w:tcW w:w="1160" w:type="dxa"/>
            <w:shd w:val="clear" w:color="auto" w:fill="auto"/>
          </w:tcPr>
          <w:p w14:paraId="17D6165C" w14:textId="77777777" w:rsidR="003B2C6B" w:rsidRPr="00E47799" w:rsidRDefault="003B2C6B" w:rsidP="00F401B8">
            <w:pPr>
              <w:spacing w:after="0" w:line="240" w:lineRule="auto"/>
              <w:rPr>
                <w:bCs/>
              </w:rPr>
            </w:pPr>
            <w:r w:rsidRPr="00E47799">
              <w:rPr>
                <w:bCs/>
                <w:sz w:val="16"/>
              </w:rPr>
              <w:t>Compensation in the event of delay in arrival (Article 19)</w:t>
            </w:r>
          </w:p>
        </w:tc>
        <w:tc>
          <w:tcPr>
            <w:tcW w:w="595" w:type="dxa"/>
            <w:shd w:val="clear" w:color="auto" w:fill="auto"/>
          </w:tcPr>
          <w:p w14:paraId="0B2498B9" w14:textId="77777777" w:rsidR="003B2C6B" w:rsidRPr="00E47799" w:rsidRDefault="003B2C6B" w:rsidP="00F401B8">
            <w:pPr>
              <w:spacing w:after="0" w:line="240" w:lineRule="auto"/>
              <w:rPr>
                <w:bCs/>
              </w:rPr>
            </w:pPr>
            <w:r w:rsidRPr="00E47799">
              <w:rPr>
                <w:bCs/>
                <w:sz w:val="16"/>
              </w:rPr>
              <w:t>Other</w:t>
            </w:r>
          </w:p>
        </w:tc>
        <w:tc>
          <w:tcPr>
            <w:tcW w:w="1277" w:type="dxa"/>
            <w:vMerge/>
            <w:shd w:val="clear" w:color="auto" w:fill="auto"/>
          </w:tcPr>
          <w:p w14:paraId="1603A7C2" w14:textId="77777777" w:rsidR="003B2C6B" w:rsidRPr="003B2C6B" w:rsidRDefault="003B2C6B" w:rsidP="00F401B8">
            <w:pPr>
              <w:spacing w:after="0" w:line="240" w:lineRule="auto"/>
            </w:pPr>
          </w:p>
        </w:tc>
      </w:tr>
      <w:tr w:rsidR="003B2C6B" w:rsidRPr="003B2C6B" w14:paraId="37FD67E7" w14:textId="77777777" w:rsidTr="00E47799">
        <w:tc>
          <w:tcPr>
            <w:tcW w:w="1141" w:type="dxa"/>
            <w:shd w:val="clear" w:color="auto" w:fill="D9D9D9"/>
          </w:tcPr>
          <w:p w14:paraId="421E02CB" w14:textId="77777777" w:rsidR="003B2C6B" w:rsidRPr="003B2C6B" w:rsidRDefault="003B2C6B" w:rsidP="00F401B8">
            <w:pPr>
              <w:spacing w:after="0" w:line="240" w:lineRule="auto"/>
            </w:pPr>
            <w:r w:rsidRPr="003B2C6B">
              <w:t xml:space="preserve">From 1 January </w:t>
            </w:r>
            <w:r w:rsidRPr="003B2C6B">
              <w:lastRenderedPageBreak/>
              <w:t>to 31 December 2021</w:t>
            </w:r>
          </w:p>
        </w:tc>
        <w:tc>
          <w:tcPr>
            <w:tcW w:w="1199" w:type="dxa"/>
            <w:shd w:val="clear" w:color="auto" w:fill="auto"/>
          </w:tcPr>
          <w:p w14:paraId="145E0356" w14:textId="77777777" w:rsidR="003B2C6B" w:rsidRPr="003B2C6B" w:rsidRDefault="00903631" w:rsidP="00F401B8">
            <w:pPr>
              <w:spacing w:after="0" w:line="240" w:lineRule="auto"/>
            </w:pPr>
            <w:r>
              <w:lastRenderedPageBreak/>
              <w:t>0</w:t>
            </w:r>
          </w:p>
        </w:tc>
        <w:tc>
          <w:tcPr>
            <w:tcW w:w="1006" w:type="dxa"/>
            <w:shd w:val="clear" w:color="auto" w:fill="auto"/>
          </w:tcPr>
          <w:p w14:paraId="75B2A8B2" w14:textId="77777777" w:rsidR="003B2C6B" w:rsidRPr="003B2C6B" w:rsidRDefault="00BF5A06" w:rsidP="00F401B8">
            <w:pPr>
              <w:spacing w:after="0" w:line="240" w:lineRule="auto"/>
            </w:pPr>
            <w:r>
              <w:t>/</w:t>
            </w:r>
          </w:p>
        </w:tc>
        <w:tc>
          <w:tcPr>
            <w:tcW w:w="879" w:type="dxa"/>
            <w:shd w:val="clear" w:color="auto" w:fill="auto"/>
          </w:tcPr>
          <w:p w14:paraId="61FEA62E" w14:textId="77777777" w:rsidR="003B2C6B" w:rsidRPr="003B2C6B" w:rsidRDefault="00BF5A06" w:rsidP="00F401B8">
            <w:pPr>
              <w:spacing w:after="0" w:line="240" w:lineRule="auto"/>
            </w:pPr>
            <w:r>
              <w:t>/</w:t>
            </w:r>
          </w:p>
        </w:tc>
        <w:tc>
          <w:tcPr>
            <w:tcW w:w="1160" w:type="dxa"/>
            <w:shd w:val="clear" w:color="auto" w:fill="auto"/>
          </w:tcPr>
          <w:p w14:paraId="013A13BF" w14:textId="77777777" w:rsidR="003B2C6B" w:rsidRPr="003B2C6B" w:rsidRDefault="00BF5A06" w:rsidP="00F401B8">
            <w:pPr>
              <w:spacing w:after="0" w:line="240" w:lineRule="auto"/>
            </w:pPr>
            <w:r>
              <w:t>/</w:t>
            </w:r>
          </w:p>
        </w:tc>
        <w:tc>
          <w:tcPr>
            <w:tcW w:w="932" w:type="dxa"/>
            <w:shd w:val="clear" w:color="auto" w:fill="auto"/>
          </w:tcPr>
          <w:p w14:paraId="2C14427B" w14:textId="77777777" w:rsidR="003B2C6B" w:rsidRPr="003B2C6B" w:rsidRDefault="00BF5A06" w:rsidP="00F401B8">
            <w:pPr>
              <w:spacing w:after="0" w:line="240" w:lineRule="auto"/>
            </w:pPr>
            <w:r>
              <w:t>/</w:t>
            </w:r>
          </w:p>
        </w:tc>
        <w:tc>
          <w:tcPr>
            <w:tcW w:w="1228" w:type="dxa"/>
            <w:shd w:val="clear" w:color="auto" w:fill="auto"/>
          </w:tcPr>
          <w:p w14:paraId="20473617" w14:textId="77777777" w:rsidR="003B2C6B" w:rsidRPr="003B2C6B" w:rsidRDefault="00BF5A06" w:rsidP="00F401B8">
            <w:pPr>
              <w:spacing w:after="0" w:line="240" w:lineRule="auto"/>
            </w:pPr>
            <w:r>
              <w:t>/</w:t>
            </w:r>
          </w:p>
        </w:tc>
        <w:tc>
          <w:tcPr>
            <w:tcW w:w="1160" w:type="dxa"/>
            <w:shd w:val="clear" w:color="auto" w:fill="auto"/>
          </w:tcPr>
          <w:p w14:paraId="66F2C152" w14:textId="77777777" w:rsidR="003B2C6B" w:rsidRPr="003B2C6B" w:rsidRDefault="00BF5A06" w:rsidP="00F401B8">
            <w:pPr>
              <w:spacing w:after="0" w:line="240" w:lineRule="auto"/>
            </w:pPr>
            <w:r>
              <w:t>/</w:t>
            </w:r>
          </w:p>
        </w:tc>
        <w:tc>
          <w:tcPr>
            <w:tcW w:w="595" w:type="dxa"/>
            <w:shd w:val="clear" w:color="auto" w:fill="auto"/>
          </w:tcPr>
          <w:p w14:paraId="09EF4863" w14:textId="77777777" w:rsidR="003B2C6B" w:rsidRPr="003B2C6B" w:rsidRDefault="00BF5A06" w:rsidP="00F401B8">
            <w:pPr>
              <w:spacing w:after="0" w:line="240" w:lineRule="auto"/>
            </w:pPr>
            <w:r>
              <w:t>/</w:t>
            </w:r>
          </w:p>
        </w:tc>
        <w:tc>
          <w:tcPr>
            <w:tcW w:w="1277" w:type="dxa"/>
            <w:shd w:val="clear" w:color="auto" w:fill="auto"/>
          </w:tcPr>
          <w:p w14:paraId="3BB8B4D0" w14:textId="77777777" w:rsidR="003B2C6B" w:rsidRPr="003B2C6B" w:rsidRDefault="003B2C6B" w:rsidP="00F401B8">
            <w:pPr>
              <w:spacing w:after="0" w:line="240" w:lineRule="auto"/>
            </w:pPr>
          </w:p>
        </w:tc>
      </w:tr>
      <w:tr w:rsidR="003B2C6B" w:rsidRPr="003B2C6B" w14:paraId="3D70FA5C" w14:textId="77777777" w:rsidTr="00E47799">
        <w:tc>
          <w:tcPr>
            <w:tcW w:w="1141" w:type="dxa"/>
            <w:shd w:val="clear" w:color="auto" w:fill="D9D9D9"/>
          </w:tcPr>
          <w:p w14:paraId="0F87E8AE" w14:textId="77777777" w:rsidR="003B2C6B" w:rsidRPr="003B2C6B" w:rsidRDefault="003B2C6B" w:rsidP="00F401B8">
            <w:pPr>
              <w:spacing w:after="0" w:line="240" w:lineRule="auto"/>
            </w:pPr>
            <w:r w:rsidRPr="003B2C6B">
              <w:t xml:space="preserve">From 1 January to 31 December </w:t>
            </w:r>
          </w:p>
          <w:p w14:paraId="6BF613EE" w14:textId="77777777" w:rsidR="003B2C6B" w:rsidRPr="003B2C6B" w:rsidRDefault="003B2C6B" w:rsidP="00F401B8">
            <w:pPr>
              <w:spacing w:after="0" w:line="240" w:lineRule="auto"/>
            </w:pPr>
            <w:r w:rsidRPr="003B2C6B">
              <w:t>2022</w:t>
            </w:r>
          </w:p>
        </w:tc>
        <w:tc>
          <w:tcPr>
            <w:tcW w:w="1199" w:type="dxa"/>
            <w:shd w:val="clear" w:color="auto" w:fill="auto"/>
          </w:tcPr>
          <w:p w14:paraId="5A677E8E" w14:textId="77777777" w:rsidR="003B2C6B" w:rsidRPr="003B2C6B" w:rsidRDefault="00903631" w:rsidP="00F401B8">
            <w:pPr>
              <w:spacing w:after="0" w:line="240" w:lineRule="auto"/>
            </w:pPr>
            <w:r>
              <w:t>0</w:t>
            </w:r>
          </w:p>
        </w:tc>
        <w:tc>
          <w:tcPr>
            <w:tcW w:w="1006" w:type="dxa"/>
            <w:shd w:val="clear" w:color="auto" w:fill="auto"/>
          </w:tcPr>
          <w:p w14:paraId="4F6EF968" w14:textId="77777777" w:rsidR="003B2C6B" w:rsidRPr="003B2C6B" w:rsidRDefault="00BF5A06" w:rsidP="00F401B8">
            <w:pPr>
              <w:spacing w:after="0" w:line="240" w:lineRule="auto"/>
            </w:pPr>
            <w:r>
              <w:t>/</w:t>
            </w:r>
          </w:p>
        </w:tc>
        <w:tc>
          <w:tcPr>
            <w:tcW w:w="879" w:type="dxa"/>
            <w:shd w:val="clear" w:color="auto" w:fill="auto"/>
          </w:tcPr>
          <w:p w14:paraId="6F62F33B" w14:textId="77777777" w:rsidR="003B2C6B" w:rsidRPr="003B2C6B" w:rsidRDefault="00BF5A06" w:rsidP="00F401B8">
            <w:pPr>
              <w:spacing w:after="0" w:line="240" w:lineRule="auto"/>
            </w:pPr>
            <w:r>
              <w:t>/</w:t>
            </w:r>
          </w:p>
        </w:tc>
        <w:tc>
          <w:tcPr>
            <w:tcW w:w="1160" w:type="dxa"/>
            <w:shd w:val="clear" w:color="auto" w:fill="auto"/>
          </w:tcPr>
          <w:p w14:paraId="421A0037" w14:textId="77777777" w:rsidR="003B2C6B" w:rsidRPr="003B2C6B" w:rsidRDefault="00BF5A06" w:rsidP="00F401B8">
            <w:pPr>
              <w:spacing w:after="0" w:line="240" w:lineRule="auto"/>
            </w:pPr>
            <w:r>
              <w:t>/</w:t>
            </w:r>
          </w:p>
        </w:tc>
        <w:tc>
          <w:tcPr>
            <w:tcW w:w="932" w:type="dxa"/>
            <w:shd w:val="clear" w:color="auto" w:fill="auto"/>
          </w:tcPr>
          <w:p w14:paraId="7A871977" w14:textId="77777777" w:rsidR="003B2C6B" w:rsidRPr="003B2C6B" w:rsidRDefault="00BF5A06" w:rsidP="00F401B8">
            <w:pPr>
              <w:spacing w:after="0" w:line="240" w:lineRule="auto"/>
            </w:pPr>
            <w:r>
              <w:t>/</w:t>
            </w:r>
          </w:p>
        </w:tc>
        <w:tc>
          <w:tcPr>
            <w:tcW w:w="1228" w:type="dxa"/>
            <w:shd w:val="clear" w:color="auto" w:fill="auto"/>
          </w:tcPr>
          <w:p w14:paraId="2BE8E21E" w14:textId="77777777" w:rsidR="003B2C6B" w:rsidRPr="003B2C6B" w:rsidRDefault="00BF5A06" w:rsidP="00F401B8">
            <w:pPr>
              <w:spacing w:after="0" w:line="240" w:lineRule="auto"/>
            </w:pPr>
            <w:r>
              <w:t>/</w:t>
            </w:r>
          </w:p>
        </w:tc>
        <w:tc>
          <w:tcPr>
            <w:tcW w:w="1160" w:type="dxa"/>
            <w:shd w:val="clear" w:color="auto" w:fill="auto"/>
          </w:tcPr>
          <w:p w14:paraId="2037645A" w14:textId="77777777" w:rsidR="003B2C6B" w:rsidRPr="003B2C6B" w:rsidRDefault="00BF5A06" w:rsidP="00F401B8">
            <w:pPr>
              <w:spacing w:after="0" w:line="240" w:lineRule="auto"/>
            </w:pPr>
            <w:r>
              <w:t>/</w:t>
            </w:r>
          </w:p>
        </w:tc>
        <w:tc>
          <w:tcPr>
            <w:tcW w:w="595" w:type="dxa"/>
            <w:shd w:val="clear" w:color="auto" w:fill="auto"/>
          </w:tcPr>
          <w:p w14:paraId="0811A72B" w14:textId="77777777" w:rsidR="003B2C6B" w:rsidRPr="003B2C6B" w:rsidRDefault="00BF5A06" w:rsidP="00F401B8">
            <w:pPr>
              <w:spacing w:after="0" w:line="240" w:lineRule="auto"/>
            </w:pPr>
            <w:r>
              <w:t>/</w:t>
            </w:r>
          </w:p>
        </w:tc>
        <w:tc>
          <w:tcPr>
            <w:tcW w:w="1277" w:type="dxa"/>
            <w:shd w:val="clear" w:color="auto" w:fill="auto"/>
          </w:tcPr>
          <w:p w14:paraId="2846C143" w14:textId="77777777" w:rsidR="003B2C6B" w:rsidRPr="003B2C6B" w:rsidRDefault="003B2C6B" w:rsidP="00F401B8">
            <w:pPr>
              <w:spacing w:after="0" w:line="240" w:lineRule="auto"/>
            </w:pPr>
          </w:p>
        </w:tc>
      </w:tr>
    </w:tbl>
    <w:p w14:paraId="32417F27" w14:textId="77777777" w:rsidR="003B2C6B" w:rsidRDefault="003B2C6B" w:rsidP="00F401B8"/>
    <w:p w14:paraId="4717AF0C" w14:textId="62A4213F" w:rsidR="003B2C6B" w:rsidRDefault="003B2C6B" w:rsidP="00F401B8">
      <w:pPr>
        <w:numPr>
          <w:ilvl w:val="0"/>
          <w:numId w:val="1"/>
        </w:numPr>
        <w:rPr>
          <w:rFonts w:ascii="Calibri Light" w:eastAsia="Times New Roman" w:hAnsi="Calibri Light"/>
          <w:b/>
          <w:color w:val="002060"/>
          <w:sz w:val="32"/>
          <w:szCs w:val="32"/>
        </w:rPr>
      </w:pPr>
      <w:r w:rsidRPr="003B2C6B">
        <w:rPr>
          <w:rFonts w:ascii="Calibri Light" w:eastAsia="Times New Roman" w:hAnsi="Calibri Light"/>
          <w:b/>
          <w:color w:val="002060"/>
          <w:sz w:val="32"/>
          <w:szCs w:val="32"/>
        </w:rPr>
        <w:t>Sanctions and penalties</w:t>
      </w:r>
      <w:r w:rsidR="00F401B8">
        <w:rPr>
          <w:rFonts w:ascii="Calibri Light" w:eastAsia="Times New Roman" w:hAnsi="Calibri Light"/>
          <w:b/>
          <w:color w:val="002060"/>
          <w:sz w:val="32"/>
          <w:szCs w:val="32"/>
        </w:rPr>
        <w:t xml:space="preserve"> </w:t>
      </w:r>
    </w:p>
    <w:p w14:paraId="72A338AC" w14:textId="53C67CBB" w:rsidR="003B2C6B" w:rsidRPr="00227322" w:rsidRDefault="003B2C6B" w:rsidP="00F401B8">
      <w:pPr>
        <w:rPr>
          <w:rFonts w:eastAsia="Times New Roman" w:cs="Calibri"/>
          <w:b/>
          <w:color w:val="7030A0"/>
          <w:u w:val="single"/>
        </w:rPr>
      </w:pPr>
      <w:r w:rsidRPr="003B2C6B">
        <w:rPr>
          <w:rFonts w:eastAsia="Times New Roman" w:cs="Calibri"/>
          <w:b/>
          <w:u w:val="single"/>
        </w:rPr>
        <w:t>Information on the procedure to impose the sanction and penalty</w:t>
      </w:r>
      <w:r w:rsidR="00F401B8">
        <w:rPr>
          <w:rFonts w:eastAsia="Times New Roman" w:cs="Calibri"/>
          <w:b/>
          <w:u w:val="single"/>
        </w:rPr>
        <w:t xml:space="preserve"> </w:t>
      </w:r>
    </w:p>
    <w:p w14:paraId="7AC20C1A" w14:textId="43C4E040" w:rsidR="003B2C6B" w:rsidRDefault="003B2C6B" w:rsidP="00F401B8">
      <w:pPr>
        <w:jc w:val="both"/>
        <w:rPr>
          <w:color w:val="808080"/>
        </w:rPr>
      </w:pPr>
      <w:r w:rsidRPr="003B2C6B">
        <w:rPr>
          <w:color w:val="808080"/>
        </w:rPr>
        <w:t xml:space="preserve">Article 28 of Regulation (EU) 1177/2010 provides that “The Member States </w:t>
      </w:r>
      <w:r w:rsidRPr="003B2C6B">
        <w:rPr>
          <w:b/>
          <w:color w:val="808080"/>
        </w:rPr>
        <w:t>shall lay down rules on penalties applicable to infringements of the provisions of this Regulation and shall take all the measures necessary to ensure that they are implemented</w:t>
      </w:r>
      <w:r w:rsidRPr="003B2C6B">
        <w:rPr>
          <w:color w:val="808080"/>
        </w:rPr>
        <w:t xml:space="preserve">. The penalties provided for shall be effective, proportionate and dissuasive. Member States shall notify those rules and measures to the Commission by 18 December 2012 and shall notify it without delay of any subsequent amendment affecting them. A description of the national regime for penalties and sanctions and any amendments to the initial rules on this. </w:t>
      </w:r>
      <w:r w:rsidR="00F401B8">
        <w:rPr>
          <w:color w:val="808080"/>
        </w:rPr>
        <w:t xml:space="preserve"> </w:t>
      </w:r>
    </w:p>
    <w:p w14:paraId="1B29A00E" w14:textId="7B9AFB4C" w:rsidR="000E4960" w:rsidRPr="000E4960" w:rsidRDefault="000E4960" w:rsidP="000E4960">
      <w:pPr>
        <w:spacing w:after="0" w:line="240" w:lineRule="auto"/>
        <w:jc w:val="both"/>
      </w:pPr>
      <w:bookmarkStart w:id="3" w:name="_Hlk135138639"/>
      <w:r w:rsidRPr="000E4960">
        <w:t xml:space="preserve">The penalties were established by the Decree for the enforcement of Regulation 1177/2010/EU concerning the rights of passengers when traveling by sea and inland navigation (Official Gazette RS, No. 49/2013), which entered into force on 8 June 2013, and have not changed to this day. </w:t>
      </w:r>
      <w:bookmarkEnd w:id="3"/>
      <w:r w:rsidRPr="000E4960">
        <w:t>Based on Article 6 of the mentioned Decree the Slovenian NEB’s may impose penalties on perpetrators in accordance with the below:</w:t>
      </w:r>
    </w:p>
    <w:p w14:paraId="7F2F20BA" w14:textId="3BED0854" w:rsidR="000E4960" w:rsidRPr="000E4960" w:rsidRDefault="000E4960" w:rsidP="000E4960">
      <w:pPr>
        <w:pStyle w:val="odstavek"/>
        <w:shd w:val="clear" w:color="auto" w:fill="FFFFFF"/>
        <w:spacing w:before="24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A carrier, travel agent, travel organizer or terminal operator who is a legal entity shall be fined between 2,000 and 30,000 euros for an offense if:</w:t>
      </w:r>
    </w:p>
    <w:p w14:paraId="4E078937" w14:textId="71EB78EB" w:rsidR="000E4960" w:rsidRPr="000E4960" w:rsidRDefault="000E4960" w:rsidP="000E4960">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issue a ticket to the passenger (first paragraph of Article 4 of Regulation 1177/2010/EU),</w:t>
      </w:r>
    </w:p>
    <w:p w14:paraId="1227D062" w14:textId="718AB978" w:rsidR="000E4960" w:rsidRPr="000E4960" w:rsidRDefault="000E4960" w:rsidP="000E4960">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the contractual terms and tariffs are offered on the basis of direct or indirect discrimination (second paragraph of Article 4 of Regulation 1177/2010/EU),</w:t>
      </w:r>
    </w:p>
    <w:p w14:paraId="1C720B6E" w14:textId="71FA1239" w:rsidR="000E4960" w:rsidRPr="000E4960" w:rsidRDefault="000E4960" w:rsidP="000E4960">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refuses to accept a reservation, issue a ticket or board a passenger due to a disability or reduced mobility, or if he offers a reservation and a ticket with additional costs or under unequal conditions to other passengers (Article 7 of Regulation 1177/2010/EU),</w:t>
      </w:r>
    </w:p>
    <w:p w14:paraId="5E2D4DE8" w14:textId="219A08A0" w:rsidR="000E4960" w:rsidRPr="000E4960" w:rsidRDefault="000E4960" w:rsidP="000E4960">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provide exceptions or special travel conditions to the passenger due to disability or reduced mobility (Article 8 of Regulation 1177/2010/EU),</w:t>
      </w:r>
    </w:p>
    <w:p w14:paraId="0B129A0C" w14:textId="2D49959A" w:rsidR="000E4960" w:rsidRPr="000E4960" w:rsidRDefault="000E4960" w:rsidP="000E4960">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establish non-discriminatory access conditions for disabled persons or persons with reduced mobility (first paragraph of Article 9 of Regulation 1177/2010/EU),</w:t>
      </w:r>
    </w:p>
    <w:p w14:paraId="63AC6CE3" w14:textId="7AFD069D"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publicly publish the terms of access in physical form or on the Internet or upon request (second, third and fourth paragraph of Article 9 of Regulation 1177/2010/EU),</w:t>
      </w:r>
    </w:p>
    <w:p w14:paraId="68DA38F3" w14:textId="57F3B4C9"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provide free assistance to disabled persons and persons with reduced mobility (Articles 10 and 11 and Annexes II and III of Regulation 1177/2010/EU),</w:t>
      </w:r>
    </w:p>
    <w:p w14:paraId="16C79F1E" w14:textId="3B6B77AF"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take all measures related to notifications (Article 12 of Regulation 1177/2010/EU),</w:t>
      </w:r>
    </w:p>
    <w:p w14:paraId="032FF767" w14:textId="24DB474C"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set and publish quality standards for aid (Article 13 of Regulation 1177/2010/EU),</w:t>
      </w:r>
    </w:p>
    <w:p w14:paraId="6232D20E" w14:textId="0B4AF678"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specify training procedures regarding disability (Article 14 of Regulation 1177/2010/EU),</w:t>
      </w:r>
    </w:p>
    <w:p w14:paraId="52B1404C" w14:textId="55DE147D"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in the event of cancellation or delay in departure, passengers are not notified in the prescribed manner (Article 16 of Regulation 1177/2010/EU),</w:t>
      </w:r>
    </w:p>
    <w:p w14:paraId="74FC92F3" w14:textId="43C4D068"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lastRenderedPageBreak/>
        <w:t>does not provide assistance in case of cancellation or delay (Article 17 of Regulation 1177/2010/EU),</w:t>
      </w:r>
    </w:p>
    <w:p w14:paraId="189E7156" w14:textId="707C0D2E"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offer a change of route or reimbursement of costs in the event of cancellation or delay (Article 18 of Regulation 1177/2010/EU),</w:t>
      </w:r>
    </w:p>
    <w:p w14:paraId="116EA9DD" w14:textId="62129106"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pay the compensation for the ticket in the prescribed manner (Article 19 of Regulation 1177/2010/EU),</w:t>
      </w:r>
    </w:p>
    <w:p w14:paraId="5D7750E9" w14:textId="7D5281FF"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provide passengers with adequate information about travel and passenger rights (Articles 22 and 23 of Regulation 1177/2010/EU),</w:t>
      </w:r>
    </w:p>
    <w:p w14:paraId="4567DB60" w14:textId="61520646" w:rsidR="000E4960" w:rsidRPr="000E4960" w:rsidRDefault="000E4960" w:rsidP="00452421">
      <w:pPr>
        <w:pStyle w:val="alineazaodstavkom"/>
        <w:numPr>
          <w:ilvl w:val="0"/>
          <w:numId w:val="4"/>
        </w:numPr>
        <w:shd w:val="clear" w:color="auto" w:fill="FFFFFF"/>
        <w:spacing w:before="0" w:beforeAutospacing="0" w:after="0" w:afterAutospacing="0"/>
        <w:jc w:val="both"/>
        <w:rPr>
          <w:rFonts w:ascii="Calibri" w:eastAsia="Calibri" w:hAnsi="Calibri"/>
          <w:sz w:val="22"/>
          <w:szCs w:val="22"/>
          <w:lang w:val="en-US" w:eastAsia="en-US"/>
        </w:rPr>
      </w:pPr>
      <w:r w:rsidRPr="000E4960">
        <w:rPr>
          <w:rFonts w:ascii="Calibri" w:eastAsia="Calibri" w:hAnsi="Calibri"/>
          <w:sz w:val="22"/>
          <w:szCs w:val="22"/>
          <w:lang w:val="en-US" w:eastAsia="en-US"/>
        </w:rPr>
        <w:t>does not have an established mechanism for processing passenger applications (Article 24 of Regulation 1177/2010/EU).</w:t>
      </w:r>
    </w:p>
    <w:p w14:paraId="45942409" w14:textId="77777777" w:rsidR="000E4960" w:rsidRDefault="000E4960" w:rsidP="00452421">
      <w:pPr>
        <w:spacing w:after="0" w:line="240" w:lineRule="auto"/>
        <w:jc w:val="both"/>
        <w:rPr>
          <w:color w:val="FF0000"/>
        </w:rPr>
      </w:pPr>
    </w:p>
    <w:p w14:paraId="7FB937D9" w14:textId="77777777" w:rsidR="000E4960" w:rsidRPr="000E4960" w:rsidRDefault="000E4960" w:rsidP="000E4960">
      <w:pPr>
        <w:spacing w:after="0" w:line="240" w:lineRule="auto"/>
        <w:jc w:val="both"/>
      </w:pPr>
      <w:r w:rsidRPr="000E4960">
        <w:t>2. A fine ranging from 5,000 to 50,000 euros shall be imposed on a legal person that is considered a medium-sized company according to the law governing commercial companies in case they commit a minor offense referred to as stated in point 1.</w:t>
      </w:r>
    </w:p>
    <w:p w14:paraId="7FA06A87" w14:textId="77777777" w:rsidR="000E4960" w:rsidRPr="000E4960" w:rsidRDefault="000E4960" w:rsidP="000E4960">
      <w:pPr>
        <w:spacing w:after="0" w:line="240" w:lineRule="auto"/>
        <w:jc w:val="both"/>
      </w:pPr>
    </w:p>
    <w:p w14:paraId="4823B00F" w14:textId="77777777" w:rsidR="000E4960" w:rsidRPr="000E4960" w:rsidRDefault="000E4960" w:rsidP="000E4960">
      <w:pPr>
        <w:spacing w:after="0" w:line="240" w:lineRule="auto"/>
        <w:jc w:val="both"/>
      </w:pPr>
      <w:r w:rsidRPr="000E4960">
        <w:t>3. A fine ranging from 10,000 to 80,000 euros shall be imposed on a legal person that, according to the law governing commercial companies, is considered a large commercial company, in case they commit a minor offense referred to as stated in point 1.</w:t>
      </w:r>
    </w:p>
    <w:p w14:paraId="1C260266" w14:textId="77777777" w:rsidR="000E4960" w:rsidRPr="000E4960" w:rsidRDefault="000E4960" w:rsidP="000E4960">
      <w:pPr>
        <w:spacing w:after="0" w:line="240" w:lineRule="auto"/>
        <w:jc w:val="both"/>
      </w:pPr>
    </w:p>
    <w:p w14:paraId="7936B973" w14:textId="77777777" w:rsidR="000E4960" w:rsidRPr="000E4960" w:rsidRDefault="000E4960" w:rsidP="000E4960">
      <w:pPr>
        <w:spacing w:after="0" w:line="240" w:lineRule="auto"/>
        <w:jc w:val="both"/>
      </w:pPr>
      <w:r w:rsidRPr="000E4960">
        <w:t>4. A fine ranging from 1,500 to 15,000 euros shall be imposed on an individual sole trader or an individual who perform independent activities in case they commit the minor offense referred to as stated in point 1.</w:t>
      </w:r>
    </w:p>
    <w:p w14:paraId="43756C09" w14:textId="77777777" w:rsidR="000E4960" w:rsidRPr="000E4960" w:rsidRDefault="000E4960" w:rsidP="000E4960">
      <w:pPr>
        <w:spacing w:after="0" w:line="240" w:lineRule="auto"/>
        <w:jc w:val="both"/>
      </w:pPr>
    </w:p>
    <w:p w14:paraId="0ABE6778" w14:textId="77777777" w:rsidR="000E4960" w:rsidRPr="000E4960" w:rsidRDefault="000E4960" w:rsidP="000E4960">
      <w:pPr>
        <w:spacing w:after="0" w:line="240" w:lineRule="auto"/>
        <w:jc w:val="both"/>
      </w:pPr>
      <w:r w:rsidRPr="000E4960">
        <w:t>5. A responsible person of such entities listed in points 1, 2, 3 and 4, who commits a minor offense referred to as stated in point 1 shall also be fined from 1,000 to 5,000 euros.</w:t>
      </w:r>
    </w:p>
    <w:p w14:paraId="777278CD" w14:textId="77777777" w:rsidR="000E4960" w:rsidRPr="00227322" w:rsidRDefault="000E4960" w:rsidP="00F401B8">
      <w:pPr>
        <w:jc w:val="both"/>
        <w:rPr>
          <w:color w:val="7030A0"/>
        </w:rPr>
      </w:pPr>
    </w:p>
    <w:p w14:paraId="31286552" w14:textId="3BEB782F" w:rsidR="003B2C6B" w:rsidRPr="00227322" w:rsidRDefault="003B2C6B" w:rsidP="00F401B8">
      <w:pPr>
        <w:rPr>
          <w:b/>
          <w:color w:val="7030A0"/>
          <w:u w:val="single"/>
        </w:rPr>
      </w:pPr>
      <w:r w:rsidRPr="005C5BF3">
        <w:rPr>
          <w:b/>
          <w:u w:val="single"/>
        </w:rPr>
        <w:t xml:space="preserve">Information and statistics on sanctions </w:t>
      </w:r>
      <w:r>
        <w:rPr>
          <w:b/>
          <w:u w:val="single"/>
        </w:rPr>
        <w:t>and penalties</w:t>
      </w:r>
      <w:r w:rsidR="00F401B8">
        <w:rPr>
          <w:b/>
          <w:u w:val="single"/>
        </w:rPr>
        <w:t xml:space="preserve"> </w:t>
      </w:r>
      <w:r w:rsidR="00227322" w:rsidRPr="00227322">
        <w:rPr>
          <w:b/>
          <w:color w:val="7030A0"/>
          <w:u w:val="single"/>
        </w:rPr>
        <w:t xml:space="preserve"> </w:t>
      </w:r>
    </w:p>
    <w:p w14:paraId="75C3D2E7" w14:textId="77777777" w:rsidR="003B2C6B" w:rsidRPr="003B2C6B" w:rsidRDefault="003B2C6B" w:rsidP="00F401B8">
      <w:pPr>
        <w:rPr>
          <w:color w:val="808080"/>
        </w:rPr>
      </w:pPr>
      <w:r w:rsidRPr="003B2C6B">
        <w:rPr>
          <w:color w:val="808080"/>
        </w:rPr>
        <w:t>Information on sanctions and penalties imposed in the reporting period and potential corrections by carrier, port or terminal operator.</w:t>
      </w:r>
    </w:p>
    <w:p w14:paraId="747ED922" w14:textId="77777777" w:rsidR="003B2C6B" w:rsidRDefault="003B2C6B" w:rsidP="00F401B8">
      <w:pPr>
        <w:rPr>
          <w:color w:val="808080"/>
        </w:rPr>
      </w:pPr>
      <w:r w:rsidRPr="003B2C6B">
        <w:rPr>
          <w:color w:val="808080"/>
        </w:rPr>
        <w:t>Analysis on the number of sanctions in comparison with other years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1"/>
        <w:gridCol w:w="2424"/>
        <w:gridCol w:w="2298"/>
        <w:gridCol w:w="2475"/>
      </w:tblGrid>
      <w:tr w:rsidR="003B2C6B" w:rsidRPr="006024A0" w14:paraId="62379D69" w14:textId="77777777" w:rsidTr="004C6A67">
        <w:tc>
          <w:tcPr>
            <w:tcW w:w="9288" w:type="dxa"/>
            <w:gridSpan w:val="4"/>
            <w:shd w:val="clear" w:color="auto" w:fill="D9D9D9"/>
          </w:tcPr>
          <w:p w14:paraId="21F8D607" w14:textId="562F916F" w:rsidR="003B2C6B" w:rsidRPr="00E47799" w:rsidRDefault="003B2C6B" w:rsidP="00F401B8">
            <w:pPr>
              <w:rPr>
                <w:b/>
                <w:bCs/>
                <w:color w:val="C00000"/>
              </w:rPr>
            </w:pPr>
            <w:r w:rsidRPr="00E47799">
              <w:rPr>
                <w:b/>
                <w:bCs/>
              </w:rPr>
              <w:t>Table 8 – Statistics on national sanctions and penalties inflicted</w:t>
            </w:r>
            <w:r w:rsidR="00227322" w:rsidRPr="00E47799">
              <w:rPr>
                <w:b/>
                <w:bCs/>
              </w:rPr>
              <w:t xml:space="preserve"> </w:t>
            </w:r>
          </w:p>
        </w:tc>
      </w:tr>
      <w:tr w:rsidR="003B2C6B" w:rsidRPr="006024A0" w14:paraId="770CCD6E" w14:textId="77777777" w:rsidTr="004C6A67">
        <w:tc>
          <w:tcPr>
            <w:tcW w:w="2091" w:type="dxa"/>
            <w:shd w:val="clear" w:color="auto" w:fill="D9D9D9"/>
          </w:tcPr>
          <w:p w14:paraId="0A9EC14E" w14:textId="77777777" w:rsidR="003B2C6B" w:rsidRPr="00E47799" w:rsidRDefault="003B2C6B" w:rsidP="00F401B8">
            <w:pPr>
              <w:jc w:val="both"/>
              <w:rPr>
                <w:b/>
                <w:bCs/>
              </w:rPr>
            </w:pPr>
          </w:p>
        </w:tc>
        <w:tc>
          <w:tcPr>
            <w:tcW w:w="2424" w:type="dxa"/>
            <w:shd w:val="clear" w:color="auto" w:fill="D9D9D9"/>
          </w:tcPr>
          <w:p w14:paraId="076A7FFE" w14:textId="519844B9" w:rsidR="003B2C6B" w:rsidRPr="00E47799" w:rsidRDefault="003B2C6B" w:rsidP="00F401B8">
            <w:pPr>
              <w:jc w:val="both"/>
              <w:rPr>
                <w:b/>
              </w:rPr>
            </w:pPr>
            <w:r w:rsidRPr="00E47799">
              <w:rPr>
                <w:b/>
              </w:rPr>
              <w:t>Number of sanctions imposed</w:t>
            </w:r>
            <w:r w:rsidR="00227322" w:rsidRPr="00E47799">
              <w:rPr>
                <w:b/>
              </w:rPr>
              <w:t xml:space="preserve"> </w:t>
            </w:r>
          </w:p>
        </w:tc>
        <w:tc>
          <w:tcPr>
            <w:tcW w:w="2298" w:type="dxa"/>
            <w:shd w:val="clear" w:color="auto" w:fill="D9D9D9"/>
          </w:tcPr>
          <w:p w14:paraId="1BBCDEA9" w14:textId="59913C2E" w:rsidR="003B2C6B" w:rsidRPr="00E47799" w:rsidRDefault="003B2C6B" w:rsidP="00F401B8">
            <w:pPr>
              <w:jc w:val="both"/>
              <w:rPr>
                <w:b/>
              </w:rPr>
            </w:pPr>
            <w:r w:rsidRPr="00E47799">
              <w:rPr>
                <w:b/>
              </w:rPr>
              <w:t>Type of sanction imposed</w:t>
            </w:r>
            <w:r w:rsidR="00227322" w:rsidRPr="00E47799">
              <w:rPr>
                <w:b/>
              </w:rPr>
              <w:t xml:space="preserve"> </w:t>
            </w:r>
          </w:p>
        </w:tc>
        <w:tc>
          <w:tcPr>
            <w:tcW w:w="2475" w:type="dxa"/>
            <w:shd w:val="clear" w:color="auto" w:fill="D9D9D9"/>
          </w:tcPr>
          <w:p w14:paraId="37B6B364" w14:textId="1F2ED42E" w:rsidR="003B2C6B" w:rsidRPr="00E47799" w:rsidRDefault="003B2C6B" w:rsidP="00F401B8">
            <w:pPr>
              <w:jc w:val="both"/>
              <w:rPr>
                <w:b/>
              </w:rPr>
            </w:pPr>
            <w:r w:rsidRPr="00E47799">
              <w:rPr>
                <w:b/>
              </w:rPr>
              <w:t>Penalty or fine amount</w:t>
            </w:r>
            <w:r w:rsidR="00F401B8">
              <w:rPr>
                <w:b/>
              </w:rPr>
              <w:t xml:space="preserve"> </w:t>
            </w:r>
          </w:p>
        </w:tc>
      </w:tr>
      <w:tr w:rsidR="003B2C6B" w:rsidRPr="006024A0" w14:paraId="61076775" w14:textId="77777777" w:rsidTr="004C6A67">
        <w:tc>
          <w:tcPr>
            <w:tcW w:w="2091" w:type="dxa"/>
            <w:shd w:val="clear" w:color="auto" w:fill="D9D9D9"/>
          </w:tcPr>
          <w:p w14:paraId="4131E774" w14:textId="77777777" w:rsidR="003B2C6B" w:rsidRPr="00E47799" w:rsidRDefault="003B2C6B" w:rsidP="00F401B8">
            <w:pPr>
              <w:jc w:val="both"/>
              <w:rPr>
                <w:b/>
                <w:bCs/>
              </w:rPr>
            </w:pPr>
            <w:r w:rsidRPr="00E47799">
              <w:rPr>
                <w:b/>
                <w:bCs/>
              </w:rPr>
              <w:t>From 1 January to 31 December 2021</w:t>
            </w:r>
          </w:p>
        </w:tc>
        <w:tc>
          <w:tcPr>
            <w:tcW w:w="2424" w:type="dxa"/>
            <w:shd w:val="clear" w:color="auto" w:fill="FFFFFF"/>
          </w:tcPr>
          <w:p w14:paraId="32891599" w14:textId="77777777" w:rsidR="003B2C6B" w:rsidRPr="005C5BF3" w:rsidRDefault="00BF5A06" w:rsidP="00F401B8">
            <w:pPr>
              <w:jc w:val="both"/>
            </w:pPr>
            <w:r>
              <w:t>0</w:t>
            </w:r>
          </w:p>
        </w:tc>
        <w:tc>
          <w:tcPr>
            <w:tcW w:w="2298" w:type="dxa"/>
            <w:shd w:val="clear" w:color="auto" w:fill="FFFFFF"/>
          </w:tcPr>
          <w:p w14:paraId="500E5ADC" w14:textId="77777777" w:rsidR="003B2C6B" w:rsidRPr="005C5BF3" w:rsidRDefault="00BF5A06" w:rsidP="00F401B8">
            <w:pPr>
              <w:jc w:val="both"/>
            </w:pPr>
            <w:r>
              <w:t>/</w:t>
            </w:r>
          </w:p>
        </w:tc>
        <w:tc>
          <w:tcPr>
            <w:tcW w:w="2475" w:type="dxa"/>
            <w:shd w:val="clear" w:color="auto" w:fill="FFFFFF"/>
          </w:tcPr>
          <w:p w14:paraId="51C08050" w14:textId="77777777" w:rsidR="003B2C6B" w:rsidRPr="005C5BF3" w:rsidRDefault="00BF5A06" w:rsidP="00F401B8">
            <w:pPr>
              <w:jc w:val="both"/>
            </w:pPr>
            <w:r>
              <w:t>/</w:t>
            </w:r>
          </w:p>
        </w:tc>
      </w:tr>
      <w:tr w:rsidR="003B2C6B" w:rsidRPr="006024A0" w14:paraId="29D282D6" w14:textId="77777777" w:rsidTr="004C6A67">
        <w:tc>
          <w:tcPr>
            <w:tcW w:w="2091" w:type="dxa"/>
            <w:shd w:val="clear" w:color="auto" w:fill="D9D9D9"/>
          </w:tcPr>
          <w:p w14:paraId="7418F102" w14:textId="77777777" w:rsidR="003B2C6B" w:rsidRPr="00E47799" w:rsidRDefault="003B2C6B" w:rsidP="00F401B8">
            <w:pPr>
              <w:jc w:val="both"/>
              <w:rPr>
                <w:b/>
                <w:bCs/>
              </w:rPr>
            </w:pPr>
            <w:r w:rsidRPr="00E47799">
              <w:rPr>
                <w:b/>
                <w:bCs/>
              </w:rPr>
              <w:t>From 1 January to 31 December 2022</w:t>
            </w:r>
          </w:p>
        </w:tc>
        <w:tc>
          <w:tcPr>
            <w:tcW w:w="2424" w:type="dxa"/>
            <w:shd w:val="clear" w:color="auto" w:fill="FFFFFF"/>
          </w:tcPr>
          <w:p w14:paraId="7BE2BD14" w14:textId="77777777" w:rsidR="003B2C6B" w:rsidRPr="005C5BF3" w:rsidRDefault="00BF5A06" w:rsidP="00F401B8">
            <w:pPr>
              <w:jc w:val="both"/>
            </w:pPr>
            <w:r>
              <w:t>0</w:t>
            </w:r>
          </w:p>
        </w:tc>
        <w:tc>
          <w:tcPr>
            <w:tcW w:w="2298" w:type="dxa"/>
            <w:shd w:val="clear" w:color="auto" w:fill="FFFFFF"/>
          </w:tcPr>
          <w:p w14:paraId="447CA313" w14:textId="77777777" w:rsidR="003B2C6B" w:rsidRPr="005C5BF3" w:rsidRDefault="00BF5A06" w:rsidP="00F401B8">
            <w:pPr>
              <w:jc w:val="both"/>
            </w:pPr>
            <w:r>
              <w:t>/</w:t>
            </w:r>
          </w:p>
        </w:tc>
        <w:tc>
          <w:tcPr>
            <w:tcW w:w="2475" w:type="dxa"/>
            <w:shd w:val="clear" w:color="auto" w:fill="FFFFFF"/>
          </w:tcPr>
          <w:p w14:paraId="7C88DEA6" w14:textId="77777777" w:rsidR="003B2C6B" w:rsidRPr="005C5BF3" w:rsidRDefault="00BF5A06" w:rsidP="00F401B8">
            <w:pPr>
              <w:jc w:val="both"/>
            </w:pPr>
            <w:r>
              <w:t>/</w:t>
            </w:r>
          </w:p>
        </w:tc>
      </w:tr>
    </w:tbl>
    <w:p w14:paraId="0BF22164" w14:textId="77777777" w:rsidR="003B2C6B" w:rsidRDefault="003B2C6B" w:rsidP="00F401B8">
      <w:pPr>
        <w:rPr>
          <w:rFonts w:eastAsia="Times New Roman" w:cs="Calibri"/>
          <w:b/>
          <w:u w:val="single"/>
        </w:rPr>
      </w:pPr>
    </w:p>
    <w:p w14:paraId="5076E5FC" w14:textId="7D0C1E96" w:rsidR="009B39E6" w:rsidRPr="00760DC9" w:rsidRDefault="009B39E6" w:rsidP="00F401B8">
      <w:pPr>
        <w:numPr>
          <w:ilvl w:val="0"/>
          <w:numId w:val="1"/>
        </w:numPr>
        <w:rPr>
          <w:rFonts w:ascii="Calibri Light" w:eastAsia="Times New Roman" w:hAnsi="Calibri Light"/>
          <w:b/>
          <w:color w:val="7030A0"/>
          <w:sz w:val="32"/>
          <w:szCs w:val="32"/>
        </w:rPr>
      </w:pPr>
      <w:r w:rsidRPr="009B39E6">
        <w:rPr>
          <w:rFonts w:ascii="Calibri Light" w:eastAsia="Times New Roman" w:hAnsi="Calibri Light"/>
          <w:b/>
          <w:color w:val="002060"/>
          <w:sz w:val="32"/>
          <w:szCs w:val="32"/>
        </w:rPr>
        <w:t>Actions taken to implement and monitor the Regulation</w:t>
      </w:r>
      <w:r w:rsidR="00F401B8">
        <w:rPr>
          <w:rFonts w:ascii="Calibri Light" w:eastAsia="Times New Roman" w:hAnsi="Calibri Light"/>
          <w:b/>
          <w:color w:val="002060"/>
          <w:sz w:val="32"/>
          <w:szCs w:val="32"/>
        </w:rPr>
        <w:t xml:space="preserve"> </w:t>
      </w:r>
    </w:p>
    <w:p w14:paraId="7C61D427" w14:textId="3FC702C7" w:rsidR="009B39E6" w:rsidRPr="00760DC9" w:rsidRDefault="009B39E6" w:rsidP="00F401B8">
      <w:pPr>
        <w:jc w:val="both"/>
        <w:rPr>
          <w:rFonts w:ascii="Calibri Light" w:eastAsia="Times New Roman" w:hAnsi="Calibri Light"/>
          <w:b/>
          <w:color w:val="7030A0"/>
          <w:sz w:val="32"/>
          <w:szCs w:val="32"/>
        </w:rPr>
      </w:pPr>
      <w:r w:rsidRPr="00432B06">
        <w:rPr>
          <w:b/>
          <w:u w:val="single"/>
        </w:rPr>
        <w:t>Implementation and monitoring of Article 9 and 10 related to accessibility and</w:t>
      </w:r>
      <w:r>
        <w:rPr>
          <w:b/>
          <w:u w:val="single"/>
        </w:rPr>
        <w:t xml:space="preserve"> information and right to assistance</w:t>
      </w:r>
      <w:r w:rsidR="00F401B8">
        <w:rPr>
          <w:b/>
          <w:u w:val="single"/>
        </w:rPr>
        <w:t xml:space="preserve"> </w:t>
      </w:r>
    </w:p>
    <w:p w14:paraId="4A098943" w14:textId="349E1788" w:rsidR="00760DC9" w:rsidRPr="00760DC9" w:rsidRDefault="009B39E6" w:rsidP="00F401B8">
      <w:pPr>
        <w:pStyle w:val="Brezrazmikov"/>
        <w:jc w:val="both"/>
        <w:rPr>
          <w:color w:val="7030A0"/>
        </w:rPr>
      </w:pPr>
      <w:r w:rsidRPr="00760DC9">
        <w:rPr>
          <w:color w:val="808080"/>
        </w:rPr>
        <w:lastRenderedPageBreak/>
        <w:t>Explain how the NEB monitors the non-discriminatory access condition, as well as on the accessible information. Also describe how the right to assistance is implemented.</w:t>
      </w:r>
      <w:r w:rsidR="00760DC9">
        <w:rPr>
          <w:color w:val="808080"/>
        </w:rPr>
        <w:t xml:space="preserve"> </w:t>
      </w:r>
      <w:proofErr w:type="gramStart"/>
      <w:r w:rsidR="00760DC9" w:rsidRPr="009B39E6">
        <w:rPr>
          <w:color w:val="808080"/>
        </w:rPr>
        <w:t>E.g.</w:t>
      </w:r>
      <w:proofErr w:type="gramEnd"/>
      <w:r w:rsidR="00760DC9" w:rsidRPr="009B39E6">
        <w:rPr>
          <w:color w:val="808080"/>
        </w:rPr>
        <w:t xml:space="preserve"> through annual meetings, expert groups, or on-site monitoring? Does the NEB provide guidelines?</w:t>
      </w:r>
    </w:p>
    <w:p w14:paraId="6AE39B04" w14:textId="77777777" w:rsidR="009B39E6" w:rsidRPr="009B39E6" w:rsidRDefault="009B39E6" w:rsidP="00F401B8">
      <w:pPr>
        <w:pStyle w:val="Brezrazmikov"/>
        <w:jc w:val="both"/>
        <w:rPr>
          <w:color w:val="808080"/>
        </w:rPr>
      </w:pPr>
    </w:p>
    <w:p w14:paraId="38BED3D3" w14:textId="7DD0154B" w:rsidR="00760DC9" w:rsidRPr="00760DC9" w:rsidRDefault="009B39E6" w:rsidP="00F401B8">
      <w:pPr>
        <w:pStyle w:val="HTML-oblikovano"/>
        <w:jc w:val="both"/>
        <w:rPr>
          <w:rFonts w:ascii="Calibri" w:eastAsia="Calibri" w:hAnsi="Calibri" w:cs="Times New Roman"/>
          <w:color w:val="7030A0"/>
          <w:sz w:val="22"/>
          <w:szCs w:val="22"/>
          <w:lang w:val="en-US" w:eastAsia="en-US"/>
        </w:rPr>
      </w:pPr>
      <w:r w:rsidRPr="00760DC9">
        <w:rPr>
          <w:rFonts w:ascii="Calibri" w:eastAsia="Calibri" w:hAnsi="Calibri" w:cs="Times New Roman"/>
          <w:color w:val="808080"/>
          <w:sz w:val="22"/>
          <w:szCs w:val="22"/>
          <w:lang w:val="en-US" w:eastAsia="en-US"/>
        </w:rPr>
        <w:t>Does the NEB maintain a record of terminal and carrier web pages on the access requirements provided? Do you inspect terminals and vessels to ensure that these access requirements are physically posted and available to all?</w:t>
      </w:r>
      <w:r w:rsidR="00760DC9" w:rsidRPr="00760DC9">
        <w:rPr>
          <w:rFonts w:ascii="Calibri" w:eastAsia="Calibri" w:hAnsi="Calibri" w:cs="Times New Roman"/>
          <w:color w:val="7030A0"/>
          <w:sz w:val="22"/>
          <w:szCs w:val="22"/>
          <w:lang w:val="en-US" w:eastAsia="en-US"/>
        </w:rPr>
        <w:t xml:space="preserve"> </w:t>
      </w:r>
      <w:r w:rsidR="00F401B8">
        <w:rPr>
          <w:rFonts w:ascii="Calibri" w:eastAsia="Calibri" w:hAnsi="Calibri" w:cs="Times New Roman"/>
          <w:color w:val="7030A0"/>
          <w:sz w:val="22"/>
          <w:szCs w:val="22"/>
          <w:lang w:val="en-US" w:eastAsia="en-US"/>
        </w:rPr>
        <w:t xml:space="preserve"> </w:t>
      </w:r>
    </w:p>
    <w:p w14:paraId="0BD12ABC" w14:textId="77777777" w:rsidR="009B39E6" w:rsidRPr="009B39E6" w:rsidRDefault="009B39E6" w:rsidP="00F401B8">
      <w:pPr>
        <w:pStyle w:val="Brezrazmikov"/>
        <w:jc w:val="both"/>
        <w:rPr>
          <w:color w:val="808080"/>
        </w:rPr>
      </w:pPr>
    </w:p>
    <w:p w14:paraId="7261230B" w14:textId="77777777" w:rsidR="009B39E6" w:rsidRDefault="009B39E6" w:rsidP="00F401B8">
      <w:pPr>
        <w:pStyle w:val="Brezrazmikov"/>
        <w:jc w:val="both"/>
        <w:rPr>
          <w:bCs/>
          <w:color w:val="808080"/>
        </w:rPr>
      </w:pPr>
      <w:r w:rsidRPr="009B39E6">
        <w:rPr>
          <w:bCs/>
          <w:color w:val="808080"/>
        </w:rPr>
        <w:t>What do you in particular look for when assessing accessibility of ports and vessels and information?</w:t>
      </w:r>
    </w:p>
    <w:p w14:paraId="3D6E478D" w14:textId="77777777" w:rsidR="00760DC9" w:rsidRPr="00760DC9" w:rsidRDefault="00760DC9" w:rsidP="00F401B8">
      <w:pPr>
        <w:pStyle w:val="HTML-oblikovano"/>
        <w:rPr>
          <w:rFonts w:ascii="Calibri" w:eastAsia="Calibri" w:hAnsi="Calibri" w:cs="Times New Roman"/>
          <w:color w:val="7030A0"/>
          <w:sz w:val="22"/>
          <w:szCs w:val="22"/>
          <w:lang w:val="en-US" w:eastAsia="en-US"/>
        </w:rPr>
      </w:pPr>
    </w:p>
    <w:p w14:paraId="4ABBC7C9" w14:textId="408427DC" w:rsidR="00760DC9" w:rsidRPr="00760DC9" w:rsidRDefault="009B39E6" w:rsidP="00F401B8">
      <w:pPr>
        <w:pStyle w:val="HTML-oblikovano"/>
        <w:jc w:val="both"/>
        <w:rPr>
          <w:rFonts w:ascii="Calibri" w:eastAsia="Calibri" w:hAnsi="Calibri" w:cs="Times New Roman"/>
          <w:color w:val="7030A0"/>
          <w:sz w:val="22"/>
          <w:szCs w:val="22"/>
          <w:lang w:val="en-US" w:eastAsia="en-US"/>
        </w:rPr>
      </w:pPr>
      <w:r w:rsidRPr="00760DC9">
        <w:rPr>
          <w:rFonts w:ascii="Calibri" w:eastAsia="Calibri" w:hAnsi="Calibri" w:cs="Times New Roman"/>
          <w:color w:val="808080"/>
          <w:sz w:val="22"/>
          <w:szCs w:val="22"/>
          <w:lang w:val="en-US" w:eastAsia="en-US"/>
        </w:rPr>
        <w:t>Did all carriers and terminal operators follow the requirements set out in Article 9 to a satisfactory level?</w:t>
      </w:r>
      <w:r w:rsidR="00F401B8">
        <w:rPr>
          <w:rFonts w:ascii="Calibri" w:eastAsia="Calibri" w:hAnsi="Calibri" w:cs="Times New Roman"/>
          <w:color w:val="808080"/>
          <w:sz w:val="22"/>
          <w:szCs w:val="22"/>
          <w:lang w:val="en-US" w:eastAsia="en-US"/>
        </w:rPr>
        <w:t xml:space="preserve"> </w:t>
      </w:r>
    </w:p>
    <w:p w14:paraId="20EC4283" w14:textId="77777777" w:rsidR="00760DC9" w:rsidRDefault="00760DC9" w:rsidP="00F401B8">
      <w:pPr>
        <w:pStyle w:val="Brezrazmikov"/>
        <w:jc w:val="both"/>
        <w:rPr>
          <w:bCs/>
          <w:color w:val="808080"/>
        </w:rPr>
      </w:pPr>
    </w:p>
    <w:p w14:paraId="0F62863C" w14:textId="0B28A674" w:rsidR="006B6EA2" w:rsidRPr="001F0A16" w:rsidRDefault="000E4960" w:rsidP="00F401B8">
      <w:pPr>
        <w:pStyle w:val="Brezrazmikov"/>
        <w:jc w:val="both"/>
      </w:pPr>
      <w:r w:rsidRPr="001F0A16">
        <w:t>Mar</w:t>
      </w:r>
      <w:r w:rsidR="001F0A16" w:rsidRPr="001F0A16">
        <w:t>k</w:t>
      </w:r>
      <w:r w:rsidRPr="001F0A16">
        <w:t>et Inspectorate</w:t>
      </w:r>
      <w:r w:rsidR="006B6EA2" w:rsidRPr="001F0A16">
        <w:t xml:space="preserve"> does not maintain a record of terminal and carrier web pages on the access requirements provided and has no information or reclamation that carriers and terminal operators do not follow the access rules and do not provide free assistance to disabled persons and persons with reduced mobility in ports. The provisions of Article 9 of Regulation 1177/2010/EU are monitored and implemented by Slovenian Maritime Administration, as follows:</w:t>
      </w:r>
    </w:p>
    <w:p w14:paraId="22FEC935" w14:textId="77777777" w:rsidR="006B6EA2" w:rsidRPr="001F0A16" w:rsidRDefault="006B6EA2" w:rsidP="00F401B8">
      <w:pPr>
        <w:pStyle w:val="Brezrazmikov"/>
        <w:jc w:val="both"/>
        <w:rPr>
          <w:bCs/>
        </w:rPr>
      </w:pPr>
    </w:p>
    <w:p w14:paraId="22C062EC" w14:textId="77777777" w:rsidR="00BF5A06" w:rsidRPr="001F0A16" w:rsidRDefault="00BF5A06" w:rsidP="00F401B8">
      <w:pPr>
        <w:spacing w:after="0" w:line="240" w:lineRule="auto"/>
        <w:jc w:val="both"/>
      </w:pPr>
      <w:r w:rsidRPr="001F0A16">
        <w:t xml:space="preserve">Slovenian Maritime Administration is not designated as the enforcement body for the tasks stipulated in Article 10, but it is designated as the enforcement body for the tasks stipulated in Articles 9(1) and 9(2) of regulation 1177/2010/EU. Therefore, it implements and monitors the mentioned provisions. </w:t>
      </w:r>
      <w:bookmarkStart w:id="4" w:name="_Hlk135139241"/>
      <w:r w:rsidRPr="001F0A16">
        <w:t xml:space="preserve">According to that, Slovenian Maritime Administration carries out the inspections of carriers and terminal operators and handles passengers' complaints related to infringements regarding non-discriminatory access conditions for the transportation of disabled persons and persons with reduced mobility, as well as accompanying persons. This also goes to the terms of access, which need to be publicly available in all the relevant languages. </w:t>
      </w:r>
      <w:bookmarkEnd w:id="4"/>
    </w:p>
    <w:p w14:paraId="499FCE93" w14:textId="77777777" w:rsidR="00BF5A06" w:rsidRPr="001F0A16" w:rsidRDefault="00BF5A06" w:rsidP="00F401B8">
      <w:pPr>
        <w:spacing w:after="0" w:line="240" w:lineRule="auto"/>
        <w:jc w:val="both"/>
      </w:pPr>
    </w:p>
    <w:p w14:paraId="12C4CB40" w14:textId="560B7A74" w:rsidR="00BF5A06" w:rsidRPr="001F0A16" w:rsidRDefault="00BF5A06" w:rsidP="00F401B8">
      <w:pPr>
        <w:spacing w:after="0" w:line="240" w:lineRule="auto"/>
        <w:jc w:val="both"/>
      </w:pPr>
      <w:r w:rsidRPr="001F0A16">
        <w:t xml:space="preserve">Luka Koper is a large commercial port that operates a passenger terminal with cruise ships calling to which Regulation 1177/2010/EU applies. Only foreign cruise ships berth here and only passengers in transit are on board. In order to ensure non-discriminatory conditions of access, we </w:t>
      </w:r>
      <w:r w:rsidRPr="00912CB1">
        <w:t>met</w:t>
      </w:r>
      <w:r w:rsidRPr="001F0A16">
        <w:t xml:space="preserve"> with representatives of the Luka Koper passenger terminal. </w:t>
      </w:r>
    </w:p>
    <w:p w14:paraId="22B614AB" w14:textId="77777777" w:rsidR="00BF5A06" w:rsidRPr="001F0A16" w:rsidRDefault="00BF5A06" w:rsidP="00F401B8">
      <w:pPr>
        <w:spacing w:after="0" w:line="240" w:lineRule="auto"/>
        <w:jc w:val="both"/>
      </w:pPr>
      <w:r w:rsidRPr="001F0A16">
        <w:t xml:space="preserve">The operator of the passenger terminal in the Port of Koper has in place a non-discriminatory access condition for the transport of disabled persons and persons with reduced mobility as well as the accompanying persons. They have procedures in place to inform ship agents and carriers of the arrangements in place for this purpose. Upon the carrier’s request, they provide additional shore-based personnel for assistance to passengers with special needs. In addition, buses for the disabled and people with reduced mobility are available for passengers on shore excursions. Furthermore, appropriate information regarding the access conditions is also published on the websites of the operator of the passenger terminal.  </w:t>
      </w:r>
    </w:p>
    <w:p w14:paraId="3E43A35C" w14:textId="77777777" w:rsidR="00BF5A06" w:rsidRPr="001F0A16" w:rsidRDefault="00BF5A06" w:rsidP="00F401B8">
      <w:pPr>
        <w:spacing w:after="0" w:line="240" w:lineRule="auto"/>
        <w:jc w:val="both"/>
      </w:pPr>
    </w:p>
    <w:p w14:paraId="43DEE5F3" w14:textId="19CA11DC" w:rsidR="00BF5A06" w:rsidRPr="001F0A16" w:rsidRDefault="00F401B8" w:rsidP="00F401B8">
      <w:pPr>
        <w:spacing w:after="0" w:line="240" w:lineRule="auto"/>
        <w:jc w:val="both"/>
      </w:pPr>
      <w:r w:rsidRPr="001F0A16">
        <w:t>W</w:t>
      </w:r>
      <w:r w:rsidR="00BF5A06" w:rsidRPr="001F0A16">
        <w:t xml:space="preserve">e also carry out on-site monitoring at other smaller ports, when necessary, in the case of pre-season ship’s passenger transport announcements. In 2021 and 2022 only in the port of </w:t>
      </w:r>
      <w:proofErr w:type="spellStart"/>
      <w:r w:rsidR="00BF5A06" w:rsidRPr="001F0A16">
        <w:t>Piran</w:t>
      </w:r>
      <w:proofErr w:type="spellEnd"/>
      <w:r w:rsidR="00BF5A06" w:rsidRPr="001F0A16">
        <w:t xml:space="preserve"> some high-speed craft, not registered under the Slovenian flag, transported passengers on the route between Italy, Slovenia, and Croatia during the summer season. Slovenian Maritime Administration carried out the inspection on both, the vessels as well as the operator of the port. </w:t>
      </w:r>
    </w:p>
    <w:p w14:paraId="592879D6" w14:textId="77777777" w:rsidR="00BF5A06" w:rsidRPr="001F0A16" w:rsidRDefault="00BF5A06" w:rsidP="00F401B8">
      <w:pPr>
        <w:spacing w:after="0" w:line="240" w:lineRule="auto"/>
        <w:jc w:val="both"/>
      </w:pPr>
    </w:p>
    <w:p w14:paraId="00D6E96D" w14:textId="77777777" w:rsidR="00BF5A06" w:rsidRPr="001F0A16" w:rsidRDefault="00BF5A06" w:rsidP="00F401B8">
      <w:pPr>
        <w:spacing w:after="0" w:line="240" w:lineRule="auto"/>
        <w:jc w:val="both"/>
      </w:pPr>
      <w:r w:rsidRPr="001F0A16">
        <w:t xml:space="preserve">It was established that the accesses to the mentioned vessels and the passages into the ship's spaces are suitable and that the vessels, within the framework of their technical capabilities, meet the criteria for the transportation of persons with reduced mobility. The vessels complied with the requirements regarding non-discriminatory conditions of access. They have put in place arrangements to ensure that they assist free of charge to disabled persons from their arrival </w:t>
      </w:r>
      <w:r w:rsidRPr="001F0A16">
        <w:lastRenderedPageBreak/>
        <w:t>announcement at the port to the seat on the ship and the same when disembarking. The same goes for accessing the toilet facilities and in other cases when disabled persons need help. In case of damage or loss, they also offer a temporary replacement of mobility equipment, particularly of a wheelchair.</w:t>
      </w:r>
    </w:p>
    <w:p w14:paraId="4FC5B68A" w14:textId="77777777" w:rsidR="00BF5A06" w:rsidRPr="001F0A16" w:rsidRDefault="00BF5A06" w:rsidP="00F401B8">
      <w:pPr>
        <w:spacing w:after="0" w:line="240" w:lineRule="auto"/>
      </w:pPr>
    </w:p>
    <w:p w14:paraId="6EF8B1F6" w14:textId="77777777" w:rsidR="00BF5A06" w:rsidRPr="001F0A16" w:rsidRDefault="00BF5A06" w:rsidP="00F401B8">
      <w:pPr>
        <w:spacing w:after="0" w:line="240" w:lineRule="auto"/>
        <w:jc w:val="both"/>
      </w:pPr>
      <w:r w:rsidRPr="001F0A16">
        <w:t xml:space="preserve">The port of </w:t>
      </w:r>
      <w:proofErr w:type="spellStart"/>
      <w:r w:rsidRPr="001F0A16">
        <w:t>Piran</w:t>
      </w:r>
      <w:proofErr w:type="spellEnd"/>
      <w:r w:rsidRPr="001F0A16">
        <w:t xml:space="preserve"> has an appropriate waiting area with relevant markings for disabled persons, intended for people in wheelchairs. There is a bench, too, which is intended for people with reduced mobility without wheelchairs. Along with a toilet facility appropriate for their use. The information board states when the high-speed crafts voyages are scheduled. Relevant information on how they provide access conditions for disabled persons is published on the port’s website. During the seasonal time when transports are carried out, relevant information regarding the conditions of access is also published on the websites of the shipping agents and the shipping companies.</w:t>
      </w:r>
    </w:p>
    <w:p w14:paraId="55D009E6" w14:textId="77777777" w:rsidR="00BF5A06" w:rsidRPr="001F0A16" w:rsidRDefault="00BF5A06" w:rsidP="00F401B8">
      <w:pPr>
        <w:spacing w:after="0" w:line="240" w:lineRule="auto"/>
      </w:pPr>
    </w:p>
    <w:p w14:paraId="2918AD2C" w14:textId="77777777" w:rsidR="00BF5A06" w:rsidRPr="001F0A16" w:rsidRDefault="00BF5A06" w:rsidP="00F401B8">
      <w:pPr>
        <w:spacing w:after="0" w:line="240" w:lineRule="auto"/>
        <w:jc w:val="both"/>
      </w:pPr>
      <w:r w:rsidRPr="001F0A16">
        <w:t>In general, carriers and terminal operators satisfactorily complied with the requirements set in Articles 9(1) and 9(2) of regulation 1177/2010/EU.</w:t>
      </w:r>
    </w:p>
    <w:p w14:paraId="32B84B0D" w14:textId="77777777" w:rsidR="00BF5A06" w:rsidRPr="00BF5A06" w:rsidRDefault="00BF5A06" w:rsidP="00F401B8">
      <w:pPr>
        <w:jc w:val="both"/>
        <w:rPr>
          <w:b/>
          <w:bCs/>
          <w:color w:val="808080"/>
        </w:rPr>
      </w:pPr>
    </w:p>
    <w:p w14:paraId="6323F1EF" w14:textId="161126FD" w:rsidR="009B39E6" w:rsidRPr="00760DC9" w:rsidRDefault="009B39E6" w:rsidP="00F401B8">
      <w:pPr>
        <w:rPr>
          <w:b/>
          <w:color w:val="7030A0"/>
          <w:u w:val="single"/>
        </w:rPr>
      </w:pPr>
      <w:r w:rsidRPr="00432B06">
        <w:rPr>
          <w:b/>
          <w:u w:val="single"/>
        </w:rPr>
        <w:t xml:space="preserve">Implementation and monitoring of </w:t>
      </w:r>
      <w:r w:rsidRPr="00F401B8">
        <w:rPr>
          <w:b/>
          <w:u w:val="single"/>
        </w:rPr>
        <w:t>Article 13</w:t>
      </w:r>
      <w:r w:rsidRPr="00432B06">
        <w:rPr>
          <w:b/>
          <w:u w:val="single"/>
        </w:rPr>
        <w:t xml:space="preserve"> on quality standard for</w:t>
      </w:r>
      <w:r>
        <w:rPr>
          <w:b/>
          <w:u w:val="single"/>
        </w:rPr>
        <w:t xml:space="preserve"> assistance</w:t>
      </w:r>
      <w:r w:rsidR="00F401B8">
        <w:rPr>
          <w:b/>
          <w:u w:val="single"/>
        </w:rPr>
        <w:t xml:space="preserve"> </w:t>
      </w:r>
    </w:p>
    <w:p w14:paraId="75055136" w14:textId="77777777" w:rsidR="009B39E6" w:rsidRPr="009B39E6" w:rsidRDefault="009B39E6" w:rsidP="00F401B8">
      <w:pPr>
        <w:pStyle w:val="Brezrazmikov"/>
        <w:jc w:val="both"/>
        <w:rPr>
          <w:color w:val="808080"/>
        </w:rPr>
      </w:pPr>
      <w:r w:rsidRPr="009B39E6">
        <w:rPr>
          <w:color w:val="808080"/>
        </w:rPr>
        <w:t>Explain how the NEB monitors that terminal operators and carriers operating terminals or passenger services with a total of more than 100.000 commercial passenger movements have set quality standards and have determined resources for meeting those standards.</w:t>
      </w:r>
    </w:p>
    <w:p w14:paraId="68097A54" w14:textId="77777777" w:rsidR="009B39E6" w:rsidRPr="009B39E6" w:rsidRDefault="009B39E6" w:rsidP="00F401B8">
      <w:pPr>
        <w:pStyle w:val="Brezrazmikov"/>
        <w:jc w:val="both"/>
        <w:rPr>
          <w:color w:val="808080"/>
        </w:rPr>
      </w:pPr>
      <w:proofErr w:type="gramStart"/>
      <w:r w:rsidRPr="009B39E6">
        <w:rPr>
          <w:color w:val="808080"/>
        </w:rPr>
        <w:t>E.g.</w:t>
      </w:r>
      <w:proofErr w:type="gramEnd"/>
      <w:r w:rsidRPr="009B39E6">
        <w:rPr>
          <w:color w:val="808080"/>
        </w:rPr>
        <w:t xml:space="preserve"> through annual meetings with operators, via desk-research or on on-site monitoring.</w:t>
      </w:r>
    </w:p>
    <w:p w14:paraId="4EA6D024" w14:textId="77777777" w:rsidR="009B39E6" w:rsidRPr="009B39E6" w:rsidRDefault="009B39E6" w:rsidP="00F401B8">
      <w:pPr>
        <w:pStyle w:val="Brezrazmikov"/>
        <w:jc w:val="both"/>
        <w:rPr>
          <w:color w:val="808080"/>
        </w:rPr>
      </w:pPr>
      <w:r w:rsidRPr="009B39E6">
        <w:rPr>
          <w:color w:val="808080"/>
        </w:rPr>
        <w:t>What does the NEB in particular look for when assessing the quality standards?</w:t>
      </w:r>
    </w:p>
    <w:p w14:paraId="708BD6EF" w14:textId="77777777" w:rsidR="009B39E6" w:rsidRDefault="009B39E6" w:rsidP="00F401B8">
      <w:pPr>
        <w:pStyle w:val="Brezrazmikov"/>
        <w:jc w:val="both"/>
        <w:rPr>
          <w:color w:val="808080"/>
        </w:rPr>
      </w:pPr>
      <w:r w:rsidRPr="009B39E6">
        <w:rPr>
          <w:color w:val="808080"/>
        </w:rPr>
        <w:t>Did all carriers and terminal operators follow the article to a satisfactory level?</w:t>
      </w:r>
    </w:p>
    <w:p w14:paraId="4F835FC1" w14:textId="77777777" w:rsidR="00760DC9" w:rsidRPr="00760DC9" w:rsidRDefault="00760DC9" w:rsidP="00F401B8">
      <w:pPr>
        <w:pStyle w:val="Brezrazmikov"/>
        <w:jc w:val="both"/>
        <w:rPr>
          <w:color w:val="7030A0"/>
        </w:rPr>
      </w:pPr>
    </w:p>
    <w:p w14:paraId="0CEA6797" w14:textId="680F7BCC" w:rsidR="001F0A16" w:rsidRPr="001F0A16" w:rsidRDefault="001F0A16" w:rsidP="001F0A16">
      <w:pPr>
        <w:spacing w:after="0" w:line="240" w:lineRule="auto"/>
        <w:jc w:val="both"/>
        <w:rPr>
          <w:rFonts w:cs="Calibri"/>
          <w:lang w:val="en-GB"/>
        </w:rPr>
      </w:pPr>
      <w:r w:rsidRPr="001F0A16">
        <w:rPr>
          <w:rFonts w:cs="Calibri"/>
          <w:lang w:val="en-GB"/>
        </w:rPr>
        <w:t>During the previous year or years, terminal operators and carriers operating terminals or passenger services did not have a total of more than 100.000 commercial passenger movements. Therefore, there has been no activity in this area.</w:t>
      </w:r>
    </w:p>
    <w:p w14:paraId="350D33FA" w14:textId="77777777" w:rsidR="001F0A16" w:rsidRDefault="001F0A16" w:rsidP="00F401B8">
      <w:pPr>
        <w:rPr>
          <w:b/>
          <w:u w:val="single"/>
        </w:rPr>
      </w:pPr>
    </w:p>
    <w:p w14:paraId="5485094A" w14:textId="7DF4440F" w:rsidR="009B39E6" w:rsidRPr="00760DC9" w:rsidRDefault="009B39E6" w:rsidP="00F401B8">
      <w:pPr>
        <w:rPr>
          <w:b/>
          <w:color w:val="7030A0"/>
          <w:u w:val="single"/>
        </w:rPr>
      </w:pPr>
      <w:r w:rsidRPr="00432B06">
        <w:rPr>
          <w:b/>
          <w:u w:val="single"/>
        </w:rPr>
        <w:t xml:space="preserve">Implementation and monitoring </w:t>
      </w:r>
      <w:r w:rsidRPr="0011583C">
        <w:rPr>
          <w:b/>
          <w:u w:val="single"/>
        </w:rPr>
        <w:t>of Article 14</w:t>
      </w:r>
      <w:r w:rsidRPr="00432B06">
        <w:rPr>
          <w:b/>
          <w:u w:val="single"/>
        </w:rPr>
        <w:t xml:space="preserve"> on training and</w:t>
      </w:r>
      <w:r>
        <w:rPr>
          <w:b/>
          <w:u w:val="single"/>
        </w:rPr>
        <w:t xml:space="preserve"> instructions</w:t>
      </w:r>
      <w:r w:rsidR="0011583C">
        <w:rPr>
          <w:b/>
          <w:u w:val="single"/>
        </w:rPr>
        <w:t xml:space="preserve"> </w:t>
      </w:r>
    </w:p>
    <w:p w14:paraId="0EC2338D" w14:textId="77777777" w:rsidR="009B39E6" w:rsidRPr="009B39E6" w:rsidRDefault="009B39E6" w:rsidP="0011583C">
      <w:pPr>
        <w:pStyle w:val="Brezrazmikov"/>
        <w:jc w:val="both"/>
        <w:rPr>
          <w:color w:val="808080"/>
        </w:rPr>
      </w:pPr>
      <w:r w:rsidRPr="009B39E6">
        <w:rPr>
          <w:color w:val="808080"/>
        </w:rPr>
        <w:t>Explain how the NEB monitors that disability-related training procedures, including instructions, are provided to the personnel, or any other third party, of carriers and terminal operators? Does the NEB have particular data on the given trainings?</w:t>
      </w:r>
    </w:p>
    <w:p w14:paraId="4B406FA1" w14:textId="77777777" w:rsidR="009B39E6" w:rsidRPr="009B39E6" w:rsidRDefault="009B39E6" w:rsidP="0011583C">
      <w:pPr>
        <w:pStyle w:val="Brezrazmikov"/>
        <w:jc w:val="both"/>
        <w:rPr>
          <w:bCs/>
          <w:color w:val="808080"/>
        </w:rPr>
      </w:pPr>
      <w:r w:rsidRPr="009B39E6">
        <w:rPr>
          <w:bCs/>
          <w:color w:val="808080"/>
        </w:rPr>
        <w:t>What does the NEB in particular look for when assessing the training procedures?</w:t>
      </w:r>
    </w:p>
    <w:p w14:paraId="0207514D" w14:textId="77777777" w:rsidR="009B39E6" w:rsidRDefault="009B39E6" w:rsidP="0011583C">
      <w:pPr>
        <w:pStyle w:val="Brezrazmikov"/>
        <w:jc w:val="both"/>
        <w:rPr>
          <w:bCs/>
          <w:color w:val="808080"/>
        </w:rPr>
      </w:pPr>
      <w:r w:rsidRPr="009B39E6">
        <w:rPr>
          <w:bCs/>
          <w:color w:val="808080"/>
        </w:rPr>
        <w:t>Did all carriers and terminal operators follow the article to a satisfactory level?</w:t>
      </w:r>
    </w:p>
    <w:p w14:paraId="4FA92B13" w14:textId="77777777" w:rsidR="00760DC9" w:rsidRPr="009B39E6" w:rsidRDefault="00760DC9" w:rsidP="00F401B8">
      <w:pPr>
        <w:pStyle w:val="Brezrazmikov"/>
        <w:rPr>
          <w:bCs/>
          <w:color w:val="808080"/>
        </w:rPr>
      </w:pPr>
    </w:p>
    <w:p w14:paraId="58BB15F7" w14:textId="04563E13" w:rsidR="009B39E6" w:rsidRDefault="001F0A16" w:rsidP="001F0A16">
      <w:pPr>
        <w:jc w:val="both"/>
        <w:rPr>
          <w:rFonts w:cs="Calibri"/>
          <w:lang w:val="en-GB"/>
        </w:rPr>
      </w:pPr>
      <w:r w:rsidRPr="001F0A16">
        <w:rPr>
          <w:rFonts w:cs="Calibri"/>
          <w:lang w:val="en-GB"/>
        </w:rPr>
        <w:t>Currently we are in the process of finalising a training program for assistance to persons with reduced mobility. Program is being prepared by the Slovenian Maritime Faculty in cooperation with organisations representative of disabled persons. It will be verified and approved by the Slovenian Maritime Administration. This training program will be basis for training of all persons in contact with persons with reduced mobility</w:t>
      </w:r>
    </w:p>
    <w:p w14:paraId="7B981153" w14:textId="77777777" w:rsidR="001F0A16" w:rsidRPr="001F0A16" w:rsidRDefault="001F0A16" w:rsidP="001F0A16">
      <w:pPr>
        <w:jc w:val="both"/>
        <w:rPr>
          <w:b/>
          <w:u w:val="single"/>
        </w:rPr>
      </w:pPr>
    </w:p>
    <w:p w14:paraId="1C46804C" w14:textId="03C1BE3C" w:rsidR="009B39E6" w:rsidRDefault="009B39E6" w:rsidP="0011583C">
      <w:pPr>
        <w:jc w:val="both"/>
        <w:rPr>
          <w:b/>
          <w:u w:val="single"/>
        </w:rPr>
      </w:pPr>
      <w:r>
        <w:rPr>
          <w:b/>
          <w:u w:val="single"/>
        </w:rPr>
        <w:t>I</w:t>
      </w:r>
      <w:r w:rsidRPr="00432B06">
        <w:rPr>
          <w:b/>
          <w:u w:val="single"/>
        </w:rPr>
        <w:t>mplementation and monitoring of Article 16 and 17 on information and assistance in the event of a cancelled or delayed departures</w:t>
      </w:r>
    </w:p>
    <w:p w14:paraId="57B495BC" w14:textId="77777777" w:rsidR="009B39E6" w:rsidRPr="009B39E6" w:rsidRDefault="009B39E6" w:rsidP="0011583C">
      <w:pPr>
        <w:pStyle w:val="Brezrazmikov"/>
        <w:jc w:val="both"/>
        <w:rPr>
          <w:color w:val="808080"/>
        </w:rPr>
      </w:pPr>
      <w:r w:rsidRPr="009B39E6">
        <w:rPr>
          <w:color w:val="808080"/>
        </w:rPr>
        <w:t>Explain how the NEB monitors that the passenger receives the information set for in accordance with Article 16.</w:t>
      </w:r>
    </w:p>
    <w:p w14:paraId="45E13AFE" w14:textId="77777777" w:rsidR="009B39E6" w:rsidRPr="009B39E6" w:rsidRDefault="009B39E6" w:rsidP="0011583C">
      <w:pPr>
        <w:pStyle w:val="Brezrazmikov"/>
        <w:jc w:val="both"/>
        <w:rPr>
          <w:color w:val="808080"/>
        </w:rPr>
      </w:pPr>
      <w:r w:rsidRPr="009B39E6">
        <w:rPr>
          <w:color w:val="808080"/>
        </w:rPr>
        <w:t>How does the NEB ensure that sufficient assistance is provided in such circumstances?</w:t>
      </w:r>
      <w:r w:rsidRPr="009B39E6">
        <w:rPr>
          <w:color w:val="808080"/>
        </w:rPr>
        <w:br/>
        <w:t xml:space="preserve">E.g. has the NEB provided guidance to NEBs? Has the NEB requested samples of the information? </w:t>
      </w:r>
    </w:p>
    <w:p w14:paraId="6CA0F91D" w14:textId="77777777" w:rsidR="009B39E6" w:rsidRDefault="009B39E6" w:rsidP="0011583C">
      <w:pPr>
        <w:pStyle w:val="Brezrazmikov"/>
        <w:jc w:val="both"/>
        <w:rPr>
          <w:color w:val="808080"/>
        </w:rPr>
      </w:pPr>
      <w:r w:rsidRPr="009B39E6">
        <w:rPr>
          <w:color w:val="808080"/>
        </w:rPr>
        <w:lastRenderedPageBreak/>
        <w:t>Is the NEB aware of any problems carriers have faced when providing information or assistance?</w:t>
      </w:r>
    </w:p>
    <w:p w14:paraId="05253DE5" w14:textId="77777777" w:rsidR="00760DC9" w:rsidRDefault="00760DC9" w:rsidP="00F401B8">
      <w:pPr>
        <w:pStyle w:val="Brezrazmikov"/>
        <w:rPr>
          <w:color w:val="808080"/>
        </w:rPr>
      </w:pPr>
    </w:p>
    <w:p w14:paraId="2D22A5F8" w14:textId="1FFA8C1E" w:rsidR="009B39E6" w:rsidRDefault="001F0A16" w:rsidP="001F0A16">
      <w:pPr>
        <w:jc w:val="both"/>
      </w:pPr>
      <w:r w:rsidRPr="001F0A16">
        <w:t>During the reporting period, there were no reports of cancellation or delayed departure notifications and assistance in the event of cancellations or delays in departures. Therefore, there was no direct monitoring in this area. Monitoring would have been initiated in the event of a report or receipt of information of non-compliance with this provision.</w:t>
      </w:r>
    </w:p>
    <w:p w14:paraId="69DE218E" w14:textId="77777777" w:rsidR="001F0A16" w:rsidRPr="001F0A16" w:rsidRDefault="001F0A16" w:rsidP="001F0A16">
      <w:pPr>
        <w:jc w:val="both"/>
      </w:pPr>
    </w:p>
    <w:p w14:paraId="2545D952" w14:textId="67077462" w:rsidR="009B39E6" w:rsidRPr="00760DC9" w:rsidRDefault="009B39E6" w:rsidP="00F401B8">
      <w:pPr>
        <w:rPr>
          <w:b/>
          <w:color w:val="7030A0"/>
          <w:u w:val="single"/>
        </w:rPr>
      </w:pPr>
      <w:r w:rsidRPr="00432B06">
        <w:rPr>
          <w:b/>
          <w:u w:val="single"/>
        </w:rPr>
        <w:t>Implementation and monitoring of Article 23 on information on passenger</w:t>
      </w:r>
      <w:r>
        <w:rPr>
          <w:b/>
          <w:u w:val="single"/>
        </w:rPr>
        <w:t xml:space="preserve"> rights</w:t>
      </w:r>
      <w:r w:rsidR="0011583C">
        <w:rPr>
          <w:b/>
          <w:u w:val="single"/>
        </w:rPr>
        <w:t xml:space="preserve"> </w:t>
      </w:r>
    </w:p>
    <w:p w14:paraId="03AEEF27" w14:textId="77777777" w:rsidR="009B39E6" w:rsidRDefault="009B39E6" w:rsidP="0011583C">
      <w:pPr>
        <w:pStyle w:val="Brezrazmikov"/>
        <w:jc w:val="both"/>
        <w:rPr>
          <w:color w:val="808080"/>
        </w:rPr>
      </w:pPr>
      <w:r w:rsidRPr="009B39E6">
        <w:rPr>
          <w:color w:val="808080"/>
        </w:rPr>
        <w:t>Explain how the NEB monitors that the passenger receives information on their passenger rights. Has the NEB provided guidance on this? With which mean does the carrier, port or terminal operator inform? How is it ensured that the information is accessible? Does the NEB do inspections on this?</w:t>
      </w:r>
    </w:p>
    <w:p w14:paraId="0F184D1E" w14:textId="77777777" w:rsidR="00760DC9" w:rsidRDefault="00760DC9" w:rsidP="00F401B8">
      <w:pPr>
        <w:pStyle w:val="Brezrazmikov"/>
        <w:rPr>
          <w:color w:val="808080"/>
        </w:rPr>
      </w:pPr>
    </w:p>
    <w:p w14:paraId="1874AF90" w14:textId="7774B909" w:rsidR="001F0A16" w:rsidRPr="001F0A16" w:rsidRDefault="001F0A16" w:rsidP="001F0A16">
      <w:pPr>
        <w:pStyle w:val="Brezrazmikov"/>
        <w:jc w:val="both"/>
      </w:pPr>
      <w:r w:rsidRPr="001F0A16">
        <w:t xml:space="preserve">The </w:t>
      </w:r>
      <w:r w:rsidR="00452421">
        <w:t>NEB’s</w:t>
      </w:r>
      <w:r w:rsidRPr="001F0A16">
        <w:t xml:space="preserve"> did not directly monitor but followed the available public information. Passengers' rights and instructions are published on https://www.gov.si/zbirke/storitve/prijava-krsitve-pravic-potnikov/.</w:t>
      </w:r>
    </w:p>
    <w:p w14:paraId="72D15C7F" w14:textId="77777777" w:rsidR="001C7E3E" w:rsidRPr="00BF5A06" w:rsidRDefault="001C7E3E" w:rsidP="00F401B8">
      <w:pPr>
        <w:spacing w:after="0" w:line="240" w:lineRule="auto"/>
        <w:rPr>
          <w:color w:val="FF0000"/>
        </w:rPr>
      </w:pPr>
    </w:p>
    <w:p w14:paraId="19765489" w14:textId="5C0987A1" w:rsidR="009B39E6" w:rsidRPr="00760DC9" w:rsidRDefault="009B39E6" w:rsidP="00F401B8">
      <w:pPr>
        <w:rPr>
          <w:b/>
          <w:color w:val="7030A0"/>
          <w:u w:val="single"/>
        </w:rPr>
      </w:pPr>
      <w:r w:rsidRPr="00432B06">
        <w:rPr>
          <w:b/>
          <w:u w:val="single"/>
        </w:rPr>
        <w:t xml:space="preserve">Implementation and monitoring </w:t>
      </w:r>
      <w:r w:rsidRPr="0011583C">
        <w:rPr>
          <w:b/>
          <w:u w:val="single"/>
        </w:rPr>
        <w:t>of Article 24</w:t>
      </w:r>
      <w:r w:rsidRPr="00432B06">
        <w:rPr>
          <w:b/>
          <w:u w:val="single"/>
        </w:rPr>
        <w:t xml:space="preserve"> on complaints</w:t>
      </w:r>
    </w:p>
    <w:p w14:paraId="6B95BA86" w14:textId="77777777" w:rsidR="009B39E6" w:rsidRPr="009B39E6" w:rsidRDefault="009B39E6" w:rsidP="0011583C">
      <w:pPr>
        <w:pStyle w:val="Brezrazmikov"/>
        <w:jc w:val="both"/>
        <w:rPr>
          <w:color w:val="808080"/>
        </w:rPr>
      </w:pPr>
      <w:r w:rsidRPr="009B39E6">
        <w:rPr>
          <w:color w:val="808080"/>
        </w:rPr>
        <w:t>Explain how the NEB monitors that the carriers and terminal operators have set up an accessible complaint-handling mechanism.</w:t>
      </w:r>
    </w:p>
    <w:p w14:paraId="6A218DB4" w14:textId="77777777" w:rsidR="009B39E6" w:rsidRDefault="009B39E6" w:rsidP="0011583C">
      <w:pPr>
        <w:pStyle w:val="Brezrazmikov"/>
        <w:jc w:val="both"/>
        <w:rPr>
          <w:color w:val="808080"/>
        </w:rPr>
      </w:pPr>
      <w:proofErr w:type="gramStart"/>
      <w:r w:rsidRPr="009B39E6">
        <w:rPr>
          <w:color w:val="808080"/>
        </w:rPr>
        <w:t>E.g.</w:t>
      </w:r>
      <w:proofErr w:type="gramEnd"/>
      <w:r w:rsidRPr="009B39E6">
        <w:rPr>
          <w:color w:val="808080"/>
        </w:rPr>
        <w:t xml:space="preserve"> by mystery shopping-methods or by desk research or by monitoring carriers or terminal operators’ websites.</w:t>
      </w:r>
    </w:p>
    <w:p w14:paraId="2670FF7A" w14:textId="77777777" w:rsidR="001F0A16" w:rsidRDefault="001F0A16" w:rsidP="001F0A16"/>
    <w:p w14:paraId="331F4CCE" w14:textId="3676FC58" w:rsidR="001F0A16" w:rsidRDefault="001F0A16" w:rsidP="001F0A16">
      <w:r w:rsidRPr="001F0A16">
        <w:t>During the reporting period, there were no reports on whether carriers and terminal operators have an accessible complaints handling mechanism in place. Therefore, there was no direct monitoring in this area. Monitoring would have been initiated in the event of a report or receipt of information of non-compliance with this provision.</w:t>
      </w:r>
    </w:p>
    <w:p w14:paraId="7EF12D89" w14:textId="77777777" w:rsidR="001F0A16" w:rsidRPr="001F0A16" w:rsidRDefault="001F0A16" w:rsidP="001F0A16"/>
    <w:p w14:paraId="0AB465F1" w14:textId="166E496A" w:rsidR="009B39E6" w:rsidRPr="00760DC9" w:rsidRDefault="009B39E6" w:rsidP="00F401B8">
      <w:pPr>
        <w:numPr>
          <w:ilvl w:val="0"/>
          <w:numId w:val="1"/>
        </w:numPr>
        <w:rPr>
          <w:rFonts w:ascii="Calibri Light" w:eastAsia="Times New Roman" w:hAnsi="Calibri Light"/>
          <w:b/>
          <w:color w:val="7030A0"/>
          <w:sz w:val="32"/>
          <w:szCs w:val="32"/>
        </w:rPr>
      </w:pPr>
      <w:r w:rsidRPr="009B39E6">
        <w:rPr>
          <w:rFonts w:ascii="Calibri Light" w:eastAsia="Times New Roman" w:hAnsi="Calibri Light"/>
          <w:b/>
          <w:color w:val="002060"/>
          <w:sz w:val="32"/>
          <w:szCs w:val="32"/>
        </w:rPr>
        <w:t>Conclusion and evolutions observed since the previous reporting</w:t>
      </w:r>
      <w:r w:rsidR="0011583C">
        <w:rPr>
          <w:rFonts w:ascii="Calibri Light" w:eastAsia="Times New Roman" w:hAnsi="Calibri Light"/>
          <w:b/>
          <w:color w:val="002060"/>
          <w:sz w:val="32"/>
          <w:szCs w:val="32"/>
        </w:rPr>
        <w:t xml:space="preserve"> </w:t>
      </w:r>
    </w:p>
    <w:p w14:paraId="45B77969" w14:textId="77777777" w:rsidR="009B39E6" w:rsidRDefault="009B39E6" w:rsidP="0011583C">
      <w:pPr>
        <w:pStyle w:val="Brezrazmikov"/>
        <w:jc w:val="both"/>
        <w:rPr>
          <w:b/>
          <w:color w:val="808080"/>
        </w:rPr>
      </w:pPr>
      <w:r w:rsidRPr="009B39E6">
        <w:rPr>
          <w:color w:val="808080"/>
        </w:rPr>
        <w:t>In comparison with the previous bi-annual reports provided by your NEB,</w:t>
      </w:r>
      <w:r w:rsidRPr="009B39E6">
        <w:rPr>
          <w:b/>
          <w:color w:val="808080"/>
        </w:rPr>
        <w:t xml:space="preserve"> identify any positive / negative evolution concerning the enforcement of Regulation (EU) 1177/2010. </w:t>
      </w:r>
    </w:p>
    <w:p w14:paraId="11DF3533" w14:textId="77777777" w:rsidR="001C7E3E" w:rsidRDefault="001C7E3E" w:rsidP="00F401B8">
      <w:pPr>
        <w:pStyle w:val="Brezrazmikov"/>
        <w:rPr>
          <w:bCs/>
          <w:color w:val="0070C0"/>
          <w:lang w:val="en"/>
        </w:rPr>
      </w:pPr>
    </w:p>
    <w:p w14:paraId="3B08A046" w14:textId="4C291CAD" w:rsidR="001C7E3E" w:rsidRPr="00896901" w:rsidRDefault="00896901" w:rsidP="00896901">
      <w:pPr>
        <w:pStyle w:val="Brezrazmikov"/>
        <w:jc w:val="both"/>
        <w:rPr>
          <w:bCs/>
        </w:rPr>
      </w:pPr>
      <w:r w:rsidRPr="00896901">
        <w:rPr>
          <w:bCs/>
        </w:rPr>
        <w:t>Compared to previous bi-annual reports, we note that cooperation between the competent authorities and terminal operators and shipowners' agents is improving, resulting in better implementation of the Regulation.</w:t>
      </w:r>
    </w:p>
    <w:p w14:paraId="4D8E6B3E" w14:textId="77777777" w:rsidR="009B39E6" w:rsidRPr="009B39E6" w:rsidRDefault="009B39E6" w:rsidP="00F401B8">
      <w:pPr>
        <w:rPr>
          <w:rFonts w:ascii="Calibri Light" w:eastAsia="Times New Roman" w:hAnsi="Calibri Light"/>
          <w:b/>
          <w:color w:val="002060"/>
          <w:sz w:val="32"/>
          <w:szCs w:val="32"/>
        </w:rPr>
      </w:pPr>
    </w:p>
    <w:sectPr w:rsidR="009B39E6" w:rsidRPr="009B39E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1A1F" w14:textId="77777777" w:rsidR="000E4960" w:rsidRDefault="000E4960" w:rsidP="00615B0F">
      <w:pPr>
        <w:spacing w:after="0" w:line="240" w:lineRule="auto"/>
      </w:pPr>
      <w:r>
        <w:separator/>
      </w:r>
    </w:p>
  </w:endnote>
  <w:endnote w:type="continuationSeparator" w:id="0">
    <w:p w14:paraId="1614B357" w14:textId="77777777" w:rsidR="000E4960" w:rsidRDefault="000E4960" w:rsidP="0061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28301"/>
      <w:docPartObj>
        <w:docPartGallery w:val="Page Numbers (Bottom of Page)"/>
        <w:docPartUnique/>
      </w:docPartObj>
    </w:sdtPr>
    <w:sdtEndPr/>
    <w:sdtContent>
      <w:p w14:paraId="703010F3" w14:textId="507893BE" w:rsidR="000E4960" w:rsidRDefault="000E4960">
        <w:pPr>
          <w:pStyle w:val="Noga"/>
          <w:jc w:val="right"/>
        </w:pPr>
        <w:r>
          <w:fldChar w:fldCharType="begin"/>
        </w:r>
        <w:r>
          <w:instrText>PAGE   \* MERGEFORMAT</w:instrText>
        </w:r>
        <w:r>
          <w:fldChar w:fldCharType="separate"/>
        </w:r>
        <w:r w:rsidR="001702C0" w:rsidRPr="001702C0">
          <w:rPr>
            <w:noProof/>
            <w:lang w:val="sl-SI"/>
          </w:rPr>
          <w:t>10</w:t>
        </w:r>
        <w:r>
          <w:fldChar w:fldCharType="end"/>
        </w:r>
      </w:p>
    </w:sdtContent>
  </w:sdt>
  <w:p w14:paraId="097B389A" w14:textId="77777777" w:rsidR="000E4960" w:rsidRDefault="000E49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1AA9" w14:textId="77777777" w:rsidR="000E4960" w:rsidRDefault="000E4960" w:rsidP="00615B0F">
      <w:pPr>
        <w:spacing w:after="0" w:line="240" w:lineRule="auto"/>
      </w:pPr>
      <w:r>
        <w:separator/>
      </w:r>
    </w:p>
  </w:footnote>
  <w:footnote w:type="continuationSeparator" w:id="0">
    <w:p w14:paraId="235424F2" w14:textId="77777777" w:rsidR="000E4960" w:rsidRDefault="000E4960" w:rsidP="00615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31A6D"/>
    <w:multiLevelType w:val="hybridMultilevel"/>
    <w:tmpl w:val="012C7282"/>
    <w:lvl w:ilvl="0" w:tplc="DA1AD6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3137A"/>
    <w:multiLevelType w:val="hybridMultilevel"/>
    <w:tmpl w:val="BE6CCCBC"/>
    <w:lvl w:ilvl="0" w:tplc="0C601A9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64006"/>
    <w:multiLevelType w:val="hybridMultilevel"/>
    <w:tmpl w:val="FFA859A8"/>
    <w:lvl w:ilvl="0" w:tplc="B07E3EEA">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78BC1FE0"/>
    <w:multiLevelType w:val="hybridMultilevel"/>
    <w:tmpl w:val="191831B4"/>
    <w:lvl w:ilvl="0" w:tplc="B7B2AB80">
      <w:start w:val="1"/>
      <w:numFmt w:val="upperRoman"/>
      <w:lvlText w:val="%1-"/>
      <w:lvlJc w:val="left"/>
      <w:pPr>
        <w:ind w:left="720" w:hanging="720"/>
      </w:pPr>
      <w:rPr>
        <w:rFonts w:hint="default"/>
        <w:color w:val="002060"/>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8185292">
    <w:abstractNumId w:val="3"/>
  </w:num>
  <w:num w:numId="2" w16cid:durableId="1275139499">
    <w:abstractNumId w:val="1"/>
  </w:num>
  <w:num w:numId="3" w16cid:durableId="1069034054">
    <w:abstractNumId w:val="2"/>
  </w:num>
  <w:num w:numId="4" w16cid:durableId="160002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A2"/>
    <w:rsid w:val="000D1234"/>
    <w:rsid w:val="000E4960"/>
    <w:rsid w:val="00103F01"/>
    <w:rsid w:val="0011583C"/>
    <w:rsid w:val="001702C0"/>
    <w:rsid w:val="001A33DF"/>
    <w:rsid w:val="001C07F5"/>
    <w:rsid w:val="001C7E3E"/>
    <w:rsid w:val="001F0A16"/>
    <w:rsid w:val="0022195C"/>
    <w:rsid w:val="00227322"/>
    <w:rsid w:val="00232569"/>
    <w:rsid w:val="002D121C"/>
    <w:rsid w:val="002E010A"/>
    <w:rsid w:val="0034180C"/>
    <w:rsid w:val="0039074A"/>
    <w:rsid w:val="003B2C6B"/>
    <w:rsid w:val="003C750E"/>
    <w:rsid w:val="003F3C8C"/>
    <w:rsid w:val="00401B44"/>
    <w:rsid w:val="00452421"/>
    <w:rsid w:val="00473252"/>
    <w:rsid w:val="00474DA2"/>
    <w:rsid w:val="004C6A67"/>
    <w:rsid w:val="00505776"/>
    <w:rsid w:val="00533FA8"/>
    <w:rsid w:val="00534788"/>
    <w:rsid w:val="00615B0F"/>
    <w:rsid w:val="006345E5"/>
    <w:rsid w:val="006352AB"/>
    <w:rsid w:val="006B6EA2"/>
    <w:rsid w:val="00727016"/>
    <w:rsid w:val="00760DC9"/>
    <w:rsid w:val="00793193"/>
    <w:rsid w:val="00794BE9"/>
    <w:rsid w:val="00802459"/>
    <w:rsid w:val="00854E60"/>
    <w:rsid w:val="00863BE9"/>
    <w:rsid w:val="00896901"/>
    <w:rsid w:val="008F2768"/>
    <w:rsid w:val="00903631"/>
    <w:rsid w:val="00912CB1"/>
    <w:rsid w:val="009B39E6"/>
    <w:rsid w:val="009E1999"/>
    <w:rsid w:val="00A05169"/>
    <w:rsid w:val="00A47F79"/>
    <w:rsid w:val="00B4174B"/>
    <w:rsid w:val="00B66530"/>
    <w:rsid w:val="00B666C0"/>
    <w:rsid w:val="00B80282"/>
    <w:rsid w:val="00B8143D"/>
    <w:rsid w:val="00BD770A"/>
    <w:rsid w:val="00BF5A06"/>
    <w:rsid w:val="00C13095"/>
    <w:rsid w:val="00C35F2F"/>
    <w:rsid w:val="00C8462C"/>
    <w:rsid w:val="00CB31D9"/>
    <w:rsid w:val="00CB7EFE"/>
    <w:rsid w:val="00CE3A83"/>
    <w:rsid w:val="00DE63CF"/>
    <w:rsid w:val="00E47799"/>
    <w:rsid w:val="00EE634C"/>
    <w:rsid w:val="00F401B8"/>
    <w:rsid w:val="00FC0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52D3"/>
  <w15:docId w15:val="{C0793C70-78D4-4EE8-8C0D-1CB36EC6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3193"/>
    <w:pPr>
      <w:spacing w:after="160" w:line="259" w:lineRule="auto"/>
    </w:pPr>
    <w:rPr>
      <w:rFonts w:ascii="Calibri" w:hAnsi="Calibri"/>
      <w:sz w:val="22"/>
      <w:szCs w:val="22"/>
      <w:lang w:val="en-US" w:eastAsia="en-US"/>
    </w:rPr>
  </w:style>
  <w:style w:type="paragraph" w:styleId="Naslov1">
    <w:name w:val="heading 1"/>
    <w:basedOn w:val="Navaden"/>
    <w:next w:val="Navaden"/>
    <w:link w:val="Naslov1Znak"/>
    <w:uiPriority w:val="9"/>
    <w:qFormat/>
    <w:rsid w:val="00793193"/>
    <w:pPr>
      <w:keepNext/>
      <w:keepLines/>
      <w:spacing w:before="240" w:after="0"/>
      <w:outlineLvl w:val="0"/>
    </w:pPr>
    <w:rPr>
      <w:rFonts w:ascii="Calibri Light" w:eastAsia="Times New Roman" w:hAnsi="Calibri Light"/>
      <w:color w:val="2E74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93193"/>
    <w:pPr>
      <w:spacing w:after="0" w:line="240" w:lineRule="auto"/>
      <w:contextualSpacing/>
    </w:pPr>
    <w:rPr>
      <w:rFonts w:ascii="Calibri Light" w:eastAsia="Times New Roman" w:hAnsi="Calibri Light"/>
      <w:spacing w:val="-10"/>
      <w:kern w:val="28"/>
      <w:sz w:val="56"/>
      <w:szCs w:val="56"/>
    </w:rPr>
  </w:style>
  <w:style w:type="character" w:customStyle="1" w:styleId="NaslovZnak">
    <w:name w:val="Naslov Znak"/>
    <w:link w:val="Naslov"/>
    <w:uiPriority w:val="10"/>
    <w:rsid w:val="00793193"/>
    <w:rPr>
      <w:rFonts w:ascii="Calibri Light" w:eastAsia="Times New Roman" w:hAnsi="Calibri Light"/>
      <w:spacing w:val="-10"/>
      <w:kern w:val="28"/>
      <w:sz w:val="56"/>
      <w:szCs w:val="56"/>
      <w:lang w:val="en-US" w:eastAsia="en-US"/>
    </w:rPr>
  </w:style>
  <w:style w:type="character" w:customStyle="1" w:styleId="Naslov1Znak">
    <w:name w:val="Naslov 1 Znak"/>
    <w:link w:val="Naslov1"/>
    <w:uiPriority w:val="9"/>
    <w:rsid w:val="00793193"/>
    <w:rPr>
      <w:rFonts w:ascii="Calibri Light" w:eastAsia="Times New Roman" w:hAnsi="Calibri Light"/>
      <w:color w:val="2E74B5"/>
      <w:sz w:val="32"/>
      <w:szCs w:val="32"/>
      <w:lang w:val="en-US" w:eastAsia="en-US"/>
    </w:rPr>
  </w:style>
  <w:style w:type="paragraph" w:styleId="Odstavekseznama">
    <w:name w:val="List Paragraph"/>
    <w:basedOn w:val="Navaden"/>
    <w:uiPriority w:val="34"/>
    <w:qFormat/>
    <w:rsid w:val="006352AB"/>
    <w:pPr>
      <w:ind w:left="720"/>
      <w:contextualSpacing/>
    </w:pPr>
  </w:style>
  <w:style w:type="table" w:customStyle="1" w:styleId="Navadnatabela11">
    <w:name w:val="Navadna tabela 11"/>
    <w:basedOn w:val="Navadnatabela"/>
    <w:uiPriority w:val="41"/>
    <w:rsid w:val="006345E5"/>
    <w:rPr>
      <w:rFonts w:ascii="Calibri" w:hAnsi="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Navadnatabela"/>
    <w:uiPriority w:val="41"/>
    <w:rsid w:val="006345E5"/>
    <w:rPr>
      <w:rFonts w:ascii="Calibri" w:hAnsi="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Navadnatabela"/>
    <w:uiPriority w:val="41"/>
    <w:rsid w:val="00B4174B"/>
    <w:rPr>
      <w:rFonts w:ascii="Calibri" w:hAnsi="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mrea">
    <w:name w:val="Table Grid"/>
    <w:basedOn w:val="Navadnatabela"/>
    <w:uiPriority w:val="39"/>
    <w:rsid w:val="00B4174B"/>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B4174B"/>
    <w:rPr>
      <w:color w:val="0563C1"/>
      <w:u w:val="single"/>
    </w:rPr>
  </w:style>
  <w:style w:type="table" w:customStyle="1" w:styleId="Tabelamrea1">
    <w:name w:val="Tabela – mreža1"/>
    <w:basedOn w:val="Navadnatabela"/>
    <w:next w:val="Tabelamrea"/>
    <w:uiPriority w:val="39"/>
    <w:rsid w:val="00B8143D"/>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B8143D"/>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3B2C6B"/>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9B39E6"/>
    <w:rPr>
      <w:rFonts w:ascii="Calibri" w:hAnsi="Calibri"/>
      <w:sz w:val="22"/>
      <w:szCs w:val="22"/>
      <w:lang w:val="en-US" w:eastAsia="en-US"/>
    </w:rPr>
  </w:style>
  <w:style w:type="paragraph" w:styleId="HTML-oblikovano">
    <w:name w:val="HTML Preformatted"/>
    <w:basedOn w:val="Navaden"/>
    <w:link w:val="HTML-oblikovanoZnak"/>
    <w:uiPriority w:val="99"/>
    <w:semiHidden/>
    <w:unhideWhenUsed/>
    <w:rsid w:val="0076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link w:val="HTML-oblikovano"/>
    <w:uiPriority w:val="99"/>
    <w:semiHidden/>
    <w:rsid w:val="00760DC9"/>
    <w:rPr>
      <w:rFonts w:ascii="Courier New" w:eastAsia="Times New Roman" w:hAnsi="Courier New" w:cs="Courier New"/>
    </w:rPr>
  </w:style>
  <w:style w:type="character" w:customStyle="1" w:styleId="y2iqfc">
    <w:name w:val="y2iqfc"/>
    <w:rsid w:val="00760DC9"/>
  </w:style>
  <w:style w:type="paragraph" w:styleId="Noga">
    <w:name w:val="footer"/>
    <w:basedOn w:val="Navaden"/>
    <w:link w:val="NogaZnak"/>
    <w:uiPriority w:val="99"/>
    <w:unhideWhenUsed/>
    <w:rsid w:val="00760DC9"/>
    <w:pPr>
      <w:tabs>
        <w:tab w:val="center" w:pos="4680"/>
        <w:tab w:val="right" w:pos="9360"/>
      </w:tabs>
      <w:spacing w:after="0" w:line="240" w:lineRule="auto"/>
    </w:pPr>
  </w:style>
  <w:style w:type="character" w:customStyle="1" w:styleId="NogaZnak">
    <w:name w:val="Noga Znak"/>
    <w:link w:val="Noga"/>
    <w:uiPriority w:val="99"/>
    <w:rsid w:val="00760DC9"/>
    <w:rPr>
      <w:rFonts w:ascii="Calibri" w:hAnsi="Calibri"/>
      <w:sz w:val="22"/>
      <w:szCs w:val="22"/>
      <w:lang w:val="en-US" w:eastAsia="en-US"/>
    </w:rPr>
  </w:style>
  <w:style w:type="character" w:styleId="SledenaHiperpovezava">
    <w:name w:val="FollowedHyperlink"/>
    <w:uiPriority w:val="99"/>
    <w:semiHidden/>
    <w:unhideWhenUsed/>
    <w:rsid w:val="0022195C"/>
    <w:rPr>
      <w:color w:val="800080"/>
      <w:u w:val="single"/>
    </w:rPr>
  </w:style>
  <w:style w:type="paragraph" w:styleId="Glava">
    <w:name w:val="header"/>
    <w:basedOn w:val="Navaden"/>
    <w:link w:val="GlavaZnak"/>
    <w:uiPriority w:val="99"/>
    <w:unhideWhenUsed/>
    <w:rsid w:val="00615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615B0F"/>
    <w:rPr>
      <w:rFonts w:ascii="Calibri" w:hAnsi="Calibri"/>
      <w:sz w:val="22"/>
      <w:szCs w:val="22"/>
      <w:lang w:val="en-US" w:eastAsia="en-US"/>
    </w:rPr>
  </w:style>
  <w:style w:type="paragraph" w:styleId="Besedilooblaka">
    <w:name w:val="Balloon Text"/>
    <w:basedOn w:val="Navaden"/>
    <w:link w:val="BesedilooblakaZnak"/>
    <w:uiPriority w:val="99"/>
    <w:semiHidden/>
    <w:unhideWhenUsed/>
    <w:rsid w:val="00615B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5B0F"/>
    <w:rPr>
      <w:rFonts w:ascii="Tahoma" w:hAnsi="Tahoma" w:cs="Tahoma"/>
      <w:sz w:val="16"/>
      <w:szCs w:val="16"/>
      <w:lang w:val="en-US" w:eastAsia="en-US"/>
    </w:rPr>
  </w:style>
  <w:style w:type="paragraph" w:customStyle="1" w:styleId="odstavek">
    <w:name w:val="odstavek"/>
    <w:basedOn w:val="Navaden"/>
    <w:rsid w:val="000E4960"/>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alineazaodstavkom">
    <w:name w:val="alineazaodstavkom"/>
    <w:basedOn w:val="Navaden"/>
    <w:rsid w:val="000E4960"/>
    <w:pPr>
      <w:spacing w:before="100" w:beforeAutospacing="1" w:after="100" w:afterAutospacing="1" w:line="240" w:lineRule="auto"/>
    </w:pPr>
    <w:rPr>
      <w:rFonts w:ascii="Times New Roman" w:eastAsia="Times New Roman" w:hAnsi="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569">
      <w:bodyDiv w:val="1"/>
      <w:marLeft w:val="0"/>
      <w:marRight w:val="0"/>
      <w:marTop w:val="0"/>
      <w:marBottom w:val="0"/>
      <w:divBdr>
        <w:top w:val="none" w:sz="0" w:space="0" w:color="auto"/>
        <w:left w:val="none" w:sz="0" w:space="0" w:color="auto"/>
        <w:bottom w:val="none" w:sz="0" w:space="0" w:color="auto"/>
        <w:right w:val="none" w:sz="0" w:space="0" w:color="auto"/>
      </w:divBdr>
    </w:div>
    <w:div w:id="84352761">
      <w:bodyDiv w:val="1"/>
      <w:marLeft w:val="0"/>
      <w:marRight w:val="0"/>
      <w:marTop w:val="0"/>
      <w:marBottom w:val="0"/>
      <w:divBdr>
        <w:top w:val="none" w:sz="0" w:space="0" w:color="auto"/>
        <w:left w:val="none" w:sz="0" w:space="0" w:color="auto"/>
        <w:bottom w:val="none" w:sz="0" w:space="0" w:color="auto"/>
        <w:right w:val="none" w:sz="0" w:space="0" w:color="auto"/>
      </w:divBdr>
    </w:div>
    <w:div w:id="106200212">
      <w:bodyDiv w:val="1"/>
      <w:marLeft w:val="0"/>
      <w:marRight w:val="0"/>
      <w:marTop w:val="0"/>
      <w:marBottom w:val="0"/>
      <w:divBdr>
        <w:top w:val="none" w:sz="0" w:space="0" w:color="auto"/>
        <w:left w:val="none" w:sz="0" w:space="0" w:color="auto"/>
        <w:bottom w:val="none" w:sz="0" w:space="0" w:color="auto"/>
        <w:right w:val="none" w:sz="0" w:space="0" w:color="auto"/>
      </w:divBdr>
    </w:div>
    <w:div w:id="229652625">
      <w:bodyDiv w:val="1"/>
      <w:marLeft w:val="0"/>
      <w:marRight w:val="0"/>
      <w:marTop w:val="0"/>
      <w:marBottom w:val="0"/>
      <w:divBdr>
        <w:top w:val="none" w:sz="0" w:space="0" w:color="auto"/>
        <w:left w:val="none" w:sz="0" w:space="0" w:color="auto"/>
        <w:bottom w:val="none" w:sz="0" w:space="0" w:color="auto"/>
        <w:right w:val="none" w:sz="0" w:space="0" w:color="auto"/>
      </w:divBdr>
    </w:div>
    <w:div w:id="298220859">
      <w:bodyDiv w:val="1"/>
      <w:marLeft w:val="0"/>
      <w:marRight w:val="0"/>
      <w:marTop w:val="0"/>
      <w:marBottom w:val="0"/>
      <w:divBdr>
        <w:top w:val="none" w:sz="0" w:space="0" w:color="auto"/>
        <w:left w:val="none" w:sz="0" w:space="0" w:color="auto"/>
        <w:bottom w:val="none" w:sz="0" w:space="0" w:color="auto"/>
        <w:right w:val="none" w:sz="0" w:space="0" w:color="auto"/>
      </w:divBdr>
    </w:div>
    <w:div w:id="307587345">
      <w:bodyDiv w:val="1"/>
      <w:marLeft w:val="0"/>
      <w:marRight w:val="0"/>
      <w:marTop w:val="0"/>
      <w:marBottom w:val="0"/>
      <w:divBdr>
        <w:top w:val="none" w:sz="0" w:space="0" w:color="auto"/>
        <w:left w:val="none" w:sz="0" w:space="0" w:color="auto"/>
        <w:bottom w:val="none" w:sz="0" w:space="0" w:color="auto"/>
        <w:right w:val="none" w:sz="0" w:space="0" w:color="auto"/>
      </w:divBdr>
    </w:div>
    <w:div w:id="368725966">
      <w:bodyDiv w:val="1"/>
      <w:marLeft w:val="0"/>
      <w:marRight w:val="0"/>
      <w:marTop w:val="0"/>
      <w:marBottom w:val="0"/>
      <w:divBdr>
        <w:top w:val="none" w:sz="0" w:space="0" w:color="auto"/>
        <w:left w:val="none" w:sz="0" w:space="0" w:color="auto"/>
        <w:bottom w:val="none" w:sz="0" w:space="0" w:color="auto"/>
        <w:right w:val="none" w:sz="0" w:space="0" w:color="auto"/>
      </w:divBdr>
    </w:div>
    <w:div w:id="443623954">
      <w:bodyDiv w:val="1"/>
      <w:marLeft w:val="0"/>
      <w:marRight w:val="0"/>
      <w:marTop w:val="0"/>
      <w:marBottom w:val="0"/>
      <w:divBdr>
        <w:top w:val="none" w:sz="0" w:space="0" w:color="auto"/>
        <w:left w:val="none" w:sz="0" w:space="0" w:color="auto"/>
        <w:bottom w:val="none" w:sz="0" w:space="0" w:color="auto"/>
        <w:right w:val="none" w:sz="0" w:space="0" w:color="auto"/>
      </w:divBdr>
    </w:div>
    <w:div w:id="480117627">
      <w:bodyDiv w:val="1"/>
      <w:marLeft w:val="0"/>
      <w:marRight w:val="0"/>
      <w:marTop w:val="0"/>
      <w:marBottom w:val="0"/>
      <w:divBdr>
        <w:top w:val="none" w:sz="0" w:space="0" w:color="auto"/>
        <w:left w:val="none" w:sz="0" w:space="0" w:color="auto"/>
        <w:bottom w:val="none" w:sz="0" w:space="0" w:color="auto"/>
        <w:right w:val="none" w:sz="0" w:space="0" w:color="auto"/>
      </w:divBdr>
    </w:div>
    <w:div w:id="616452422">
      <w:bodyDiv w:val="1"/>
      <w:marLeft w:val="0"/>
      <w:marRight w:val="0"/>
      <w:marTop w:val="0"/>
      <w:marBottom w:val="0"/>
      <w:divBdr>
        <w:top w:val="none" w:sz="0" w:space="0" w:color="auto"/>
        <w:left w:val="none" w:sz="0" w:space="0" w:color="auto"/>
        <w:bottom w:val="none" w:sz="0" w:space="0" w:color="auto"/>
        <w:right w:val="none" w:sz="0" w:space="0" w:color="auto"/>
      </w:divBdr>
    </w:div>
    <w:div w:id="703751225">
      <w:bodyDiv w:val="1"/>
      <w:marLeft w:val="0"/>
      <w:marRight w:val="0"/>
      <w:marTop w:val="0"/>
      <w:marBottom w:val="0"/>
      <w:divBdr>
        <w:top w:val="none" w:sz="0" w:space="0" w:color="auto"/>
        <w:left w:val="none" w:sz="0" w:space="0" w:color="auto"/>
        <w:bottom w:val="none" w:sz="0" w:space="0" w:color="auto"/>
        <w:right w:val="none" w:sz="0" w:space="0" w:color="auto"/>
      </w:divBdr>
    </w:div>
    <w:div w:id="731927631">
      <w:bodyDiv w:val="1"/>
      <w:marLeft w:val="0"/>
      <w:marRight w:val="0"/>
      <w:marTop w:val="0"/>
      <w:marBottom w:val="0"/>
      <w:divBdr>
        <w:top w:val="none" w:sz="0" w:space="0" w:color="auto"/>
        <w:left w:val="none" w:sz="0" w:space="0" w:color="auto"/>
        <w:bottom w:val="none" w:sz="0" w:space="0" w:color="auto"/>
        <w:right w:val="none" w:sz="0" w:space="0" w:color="auto"/>
      </w:divBdr>
    </w:div>
    <w:div w:id="768040411">
      <w:bodyDiv w:val="1"/>
      <w:marLeft w:val="0"/>
      <w:marRight w:val="0"/>
      <w:marTop w:val="0"/>
      <w:marBottom w:val="0"/>
      <w:divBdr>
        <w:top w:val="none" w:sz="0" w:space="0" w:color="auto"/>
        <w:left w:val="none" w:sz="0" w:space="0" w:color="auto"/>
        <w:bottom w:val="none" w:sz="0" w:space="0" w:color="auto"/>
        <w:right w:val="none" w:sz="0" w:space="0" w:color="auto"/>
      </w:divBdr>
    </w:div>
    <w:div w:id="811556350">
      <w:bodyDiv w:val="1"/>
      <w:marLeft w:val="0"/>
      <w:marRight w:val="0"/>
      <w:marTop w:val="0"/>
      <w:marBottom w:val="0"/>
      <w:divBdr>
        <w:top w:val="none" w:sz="0" w:space="0" w:color="auto"/>
        <w:left w:val="none" w:sz="0" w:space="0" w:color="auto"/>
        <w:bottom w:val="none" w:sz="0" w:space="0" w:color="auto"/>
        <w:right w:val="none" w:sz="0" w:space="0" w:color="auto"/>
      </w:divBdr>
    </w:div>
    <w:div w:id="845486099">
      <w:bodyDiv w:val="1"/>
      <w:marLeft w:val="0"/>
      <w:marRight w:val="0"/>
      <w:marTop w:val="0"/>
      <w:marBottom w:val="0"/>
      <w:divBdr>
        <w:top w:val="none" w:sz="0" w:space="0" w:color="auto"/>
        <w:left w:val="none" w:sz="0" w:space="0" w:color="auto"/>
        <w:bottom w:val="none" w:sz="0" w:space="0" w:color="auto"/>
        <w:right w:val="none" w:sz="0" w:space="0" w:color="auto"/>
      </w:divBdr>
    </w:div>
    <w:div w:id="854342367">
      <w:bodyDiv w:val="1"/>
      <w:marLeft w:val="0"/>
      <w:marRight w:val="0"/>
      <w:marTop w:val="0"/>
      <w:marBottom w:val="0"/>
      <w:divBdr>
        <w:top w:val="none" w:sz="0" w:space="0" w:color="auto"/>
        <w:left w:val="none" w:sz="0" w:space="0" w:color="auto"/>
        <w:bottom w:val="none" w:sz="0" w:space="0" w:color="auto"/>
        <w:right w:val="none" w:sz="0" w:space="0" w:color="auto"/>
      </w:divBdr>
    </w:div>
    <w:div w:id="966736542">
      <w:bodyDiv w:val="1"/>
      <w:marLeft w:val="0"/>
      <w:marRight w:val="0"/>
      <w:marTop w:val="0"/>
      <w:marBottom w:val="0"/>
      <w:divBdr>
        <w:top w:val="none" w:sz="0" w:space="0" w:color="auto"/>
        <w:left w:val="none" w:sz="0" w:space="0" w:color="auto"/>
        <w:bottom w:val="none" w:sz="0" w:space="0" w:color="auto"/>
        <w:right w:val="none" w:sz="0" w:space="0" w:color="auto"/>
      </w:divBdr>
    </w:div>
    <w:div w:id="1077749340">
      <w:bodyDiv w:val="1"/>
      <w:marLeft w:val="0"/>
      <w:marRight w:val="0"/>
      <w:marTop w:val="0"/>
      <w:marBottom w:val="0"/>
      <w:divBdr>
        <w:top w:val="none" w:sz="0" w:space="0" w:color="auto"/>
        <w:left w:val="none" w:sz="0" w:space="0" w:color="auto"/>
        <w:bottom w:val="none" w:sz="0" w:space="0" w:color="auto"/>
        <w:right w:val="none" w:sz="0" w:space="0" w:color="auto"/>
      </w:divBdr>
    </w:div>
    <w:div w:id="1113209833">
      <w:bodyDiv w:val="1"/>
      <w:marLeft w:val="0"/>
      <w:marRight w:val="0"/>
      <w:marTop w:val="0"/>
      <w:marBottom w:val="0"/>
      <w:divBdr>
        <w:top w:val="none" w:sz="0" w:space="0" w:color="auto"/>
        <w:left w:val="none" w:sz="0" w:space="0" w:color="auto"/>
        <w:bottom w:val="none" w:sz="0" w:space="0" w:color="auto"/>
        <w:right w:val="none" w:sz="0" w:space="0" w:color="auto"/>
      </w:divBdr>
    </w:div>
    <w:div w:id="1113550635">
      <w:bodyDiv w:val="1"/>
      <w:marLeft w:val="0"/>
      <w:marRight w:val="0"/>
      <w:marTop w:val="0"/>
      <w:marBottom w:val="0"/>
      <w:divBdr>
        <w:top w:val="none" w:sz="0" w:space="0" w:color="auto"/>
        <w:left w:val="none" w:sz="0" w:space="0" w:color="auto"/>
        <w:bottom w:val="none" w:sz="0" w:space="0" w:color="auto"/>
        <w:right w:val="none" w:sz="0" w:space="0" w:color="auto"/>
      </w:divBdr>
    </w:div>
    <w:div w:id="1329410000">
      <w:bodyDiv w:val="1"/>
      <w:marLeft w:val="0"/>
      <w:marRight w:val="0"/>
      <w:marTop w:val="0"/>
      <w:marBottom w:val="0"/>
      <w:divBdr>
        <w:top w:val="none" w:sz="0" w:space="0" w:color="auto"/>
        <w:left w:val="none" w:sz="0" w:space="0" w:color="auto"/>
        <w:bottom w:val="none" w:sz="0" w:space="0" w:color="auto"/>
        <w:right w:val="none" w:sz="0" w:space="0" w:color="auto"/>
      </w:divBdr>
    </w:div>
    <w:div w:id="1394769153">
      <w:bodyDiv w:val="1"/>
      <w:marLeft w:val="0"/>
      <w:marRight w:val="0"/>
      <w:marTop w:val="0"/>
      <w:marBottom w:val="0"/>
      <w:divBdr>
        <w:top w:val="none" w:sz="0" w:space="0" w:color="auto"/>
        <w:left w:val="none" w:sz="0" w:space="0" w:color="auto"/>
        <w:bottom w:val="none" w:sz="0" w:space="0" w:color="auto"/>
        <w:right w:val="none" w:sz="0" w:space="0" w:color="auto"/>
      </w:divBdr>
    </w:div>
    <w:div w:id="1457990800">
      <w:bodyDiv w:val="1"/>
      <w:marLeft w:val="0"/>
      <w:marRight w:val="0"/>
      <w:marTop w:val="0"/>
      <w:marBottom w:val="0"/>
      <w:divBdr>
        <w:top w:val="none" w:sz="0" w:space="0" w:color="auto"/>
        <w:left w:val="none" w:sz="0" w:space="0" w:color="auto"/>
        <w:bottom w:val="none" w:sz="0" w:space="0" w:color="auto"/>
        <w:right w:val="none" w:sz="0" w:space="0" w:color="auto"/>
      </w:divBdr>
    </w:div>
    <w:div w:id="1479957039">
      <w:bodyDiv w:val="1"/>
      <w:marLeft w:val="0"/>
      <w:marRight w:val="0"/>
      <w:marTop w:val="0"/>
      <w:marBottom w:val="0"/>
      <w:divBdr>
        <w:top w:val="none" w:sz="0" w:space="0" w:color="auto"/>
        <w:left w:val="none" w:sz="0" w:space="0" w:color="auto"/>
        <w:bottom w:val="none" w:sz="0" w:space="0" w:color="auto"/>
        <w:right w:val="none" w:sz="0" w:space="0" w:color="auto"/>
      </w:divBdr>
    </w:div>
    <w:div w:id="1499422414">
      <w:bodyDiv w:val="1"/>
      <w:marLeft w:val="0"/>
      <w:marRight w:val="0"/>
      <w:marTop w:val="0"/>
      <w:marBottom w:val="0"/>
      <w:divBdr>
        <w:top w:val="none" w:sz="0" w:space="0" w:color="auto"/>
        <w:left w:val="none" w:sz="0" w:space="0" w:color="auto"/>
        <w:bottom w:val="none" w:sz="0" w:space="0" w:color="auto"/>
        <w:right w:val="none" w:sz="0" w:space="0" w:color="auto"/>
      </w:divBdr>
    </w:div>
    <w:div w:id="1507524745">
      <w:bodyDiv w:val="1"/>
      <w:marLeft w:val="0"/>
      <w:marRight w:val="0"/>
      <w:marTop w:val="0"/>
      <w:marBottom w:val="0"/>
      <w:divBdr>
        <w:top w:val="none" w:sz="0" w:space="0" w:color="auto"/>
        <w:left w:val="none" w:sz="0" w:space="0" w:color="auto"/>
        <w:bottom w:val="none" w:sz="0" w:space="0" w:color="auto"/>
        <w:right w:val="none" w:sz="0" w:space="0" w:color="auto"/>
      </w:divBdr>
    </w:div>
    <w:div w:id="1578131955">
      <w:bodyDiv w:val="1"/>
      <w:marLeft w:val="0"/>
      <w:marRight w:val="0"/>
      <w:marTop w:val="0"/>
      <w:marBottom w:val="0"/>
      <w:divBdr>
        <w:top w:val="none" w:sz="0" w:space="0" w:color="auto"/>
        <w:left w:val="none" w:sz="0" w:space="0" w:color="auto"/>
        <w:bottom w:val="none" w:sz="0" w:space="0" w:color="auto"/>
        <w:right w:val="none" w:sz="0" w:space="0" w:color="auto"/>
      </w:divBdr>
    </w:div>
    <w:div w:id="1616061692">
      <w:bodyDiv w:val="1"/>
      <w:marLeft w:val="0"/>
      <w:marRight w:val="0"/>
      <w:marTop w:val="0"/>
      <w:marBottom w:val="0"/>
      <w:divBdr>
        <w:top w:val="none" w:sz="0" w:space="0" w:color="auto"/>
        <w:left w:val="none" w:sz="0" w:space="0" w:color="auto"/>
        <w:bottom w:val="none" w:sz="0" w:space="0" w:color="auto"/>
        <w:right w:val="none" w:sz="0" w:space="0" w:color="auto"/>
      </w:divBdr>
    </w:div>
    <w:div w:id="1669939638">
      <w:bodyDiv w:val="1"/>
      <w:marLeft w:val="0"/>
      <w:marRight w:val="0"/>
      <w:marTop w:val="0"/>
      <w:marBottom w:val="0"/>
      <w:divBdr>
        <w:top w:val="none" w:sz="0" w:space="0" w:color="auto"/>
        <w:left w:val="none" w:sz="0" w:space="0" w:color="auto"/>
        <w:bottom w:val="none" w:sz="0" w:space="0" w:color="auto"/>
        <w:right w:val="none" w:sz="0" w:space="0" w:color="auto"/>
      </w:divBdr>
    </w:div>
    <w:div w:id="1702051100">
      <w:bodyDiv w:val="1"/>
      <w:marLeft w:val="0"/>
      <w:marRight w:val="0"/>
      <w:marTop w:val="0"/>
      <w:marBottom w:val="0"/>
      <w:divBdr>
        <w:top w:val="none" w:sz="0" w:space="0" w:color="auto"/>
        <w:left w:val="none" w:sz="0" w:space="0" w:color="auto"/>
        <w:bottom w:val="none" w:sz="0" w:space="0" w:color="auto"/>
        <w:right w:val="none" w:sz="0" w:space="0" w:color="auto"/>
      </w:divBdr>
    </w:div>
    <w:div w:id="1906866060">
      <w:bodyDiv w:val="1"/>
      <w:marLeft w:val="0"/>
      <w:marRight w:val="0"/>
      <w:marTop w:val="0"/>
      <w:marBottom w:val="0"/>
      <w:divBdr>
        <w:top w:val="none" w:sz="0" w:space="0" w:color="auto"/>
        <w:left w:val="none" w:sz="0" w:space="0" w:color="auto"/>
        <w:bottom w:val="none" w:sz="0" w:space="0" w:color="auto"/>
        <w:right w:val="none" w:sz="0" w:space="0" w:color="auto"/>
      </w:divBdr>
    </w:div>
    <w:div w:id="2003266976">
      <w:bodyDiv w:val="1"/>
      <w:marLeft w:val="0"/>
      <w:marRight w:val="0"/>
      <w:marTop w:val="0"/>
      <w:marBottom w:val="0"/>
      <w:divBdr>
        <w:top w:val="none" w:sz="0" w:space="0" w:color="auto"/>
        <w:left w:val="none" w:sz="0" w:space="0" w:color="auto"/>
        <w:bottom w:val="none" w:sz="0" w:space="0" w:color="auto"/>
        <w:right w:val="none" w:sz="0" w:space="0" w:color="auto"/>
      </w:divBdr>
    </w:div>
    <w:div w:id="2024554722">
      <w:bodyDiv w:val="1"/>
      <w:marLeft w:val="0"/>
      <w:marRight w:val="0"/>
      <w:marTop w:val="0"/>
      <w:marBottom w:val="0"/>
      <w:divBdr>
        <w:top w:val="none" w:sz="0" w:space="0" w:color="auto"/>
        <w:left w:val="none" w:sz="0" w:space="0" w:color="auto"/>
        <w:bottom w:val="none" w:sz="0" w:space="0" w:color="auto"/>
        <w:right w:val="none" w:sz="0" w:space="0" w:color="auto"/>
      </w:divBdr>
    </w:div>
    <w:div w:id="2043627280">
      <w:bodyDiv w:val="1"/>
      <w:marLeft w:val="0"/>
      <w:marRight w:val="0"/>
      <w:marTop w:val="0"/>
      <w:marBottom w:val="0"/>
      <w:divBdr>
        <w:top w:val="none" w:sz="0" w:space="0" w:color="auto"/>
        <w:left w:val="none" w:sz="0" w:space="0" w:color="auto"/>
        <w:bottom w:val="none" w:sz="0" w:space="0" w:color="auto"/>
        <w:right w:val="none" w:sz="0" w:space="0" w:color="auto"/>
      </w:divBdr>
    </w:div>
    <w:div w:id="2143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TIRS/Dokumenti/NavodilaTrznegaInspektorat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storitve/prijava-krsitve-pravic-potnikov/" TargetMode="External"/><Relationship Id="rId5" Type="http://schemas.openxmlformats.org/officeDocument/2006/relationships/webSettings" Target="webSettings.xml"/><Relationship Id="rId10" Type="http://schemas.openxmlformats.org/officeDocument/2006/relationships/hyperlink" Target="https://www.gov.si/zbirke/storitve/prijava-krsitve-pravic-potnikov/" TargetMode="External"/><Relationship Id="rId4" Type="http://schemas.openxmlformats.org/officeDocument/2006/relationships/settings" Target="settings.xml"/><Relationship Id="rId9" Type="http://schemas.openxmlformats.org/officeDocument/2006/relationships/hyperlink" Target="https://www.gov.si/zbirke/storitve/prijava-krsitve-pravic-potnikov/"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1A94-505F-4D45-AB75-277F8C6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21454</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25167</CharactersWithSpaces>
  <SharedDoc>false</SharedDoc>
  <HLinks>
    <vt:vector size="24" baseType="variant">
      <vt:variant>
        <vt:i4>7929906</vt:i4>
      </vt:variant>
      <vt:variant>
        <vt:i4>9</vt:i4>
      </vt:variant>
      <vt:variant>
        <vt:i4>0</vt:i4>
      </vt:variant>
      <vt:variant>
        <vt:i4>5</vt:i4>
      </vt:variant>
      <vt:variant>
        <vt:lpwstr>https://www.gov.si/zbirke/storitve/prijava-krsitve-pravic-potnikov/</vt:lpwstr>
      </vt:variant>
      <vt:variant>
        <vt:lpwstr/>
      </vt:variant>
      <vt:variant>
        <vt:i4>7929906</vt:i4>
      </vt:variant>
      <vt:variant>
        <vt:i4>6</vt:i4>
      </vt:variant>
      <vt:variant>
        <vt:i4>0</vt:i4>
      </vt:variant>
      <vt:variant>
        <vt:i4>5</vt:i4>
      </vt:variant>
      <vt:variant>
        <vt:lpwstr>https://www.gov.si/zbirke/storitve/prijava-krsitve-pravic-potnikov/</vt:lpwstr>
      </vt:variant>
      <vt:variant>
        <vt:lpwstr/>
      </vt:variant>
      <vt:variant>
        <vt:i4>7929906</vt:i4>
      </vt:variant>
      <vt:variant>
        <vt:i4>3</vt:i4>
      </vt:variant>
      <vt:variant>
        <vt:i4>0</vt:i4>
      </vt:variant>
      <vt:variant>
        <vt:i4>5</vt:i4>
      </vt:variant>
      <vt:variant>
        <vt:lpwstr>https://www.gov.si/zbirke/storitve/prijava-krsitve-pravic-potnikov/</vt:lpwstr>
      </vt:variant>
      <vt:variant>
        <vt:lpwstr/>
      </vt:variant>
      <vt:variant>
        <vt:i4>1704009</vt:i4>
      </vt:variant>
      <vt:variant>
        <vt:i4>0</vt:i4>
      </vt:variant>
      <vt:variant>
        <vt:i4>0</vt:i4>
      </vt:variant>
      <vt:variant>
        <vt:i4>5</vt:i4>
      </vt:variant>
      <vt:variant>
        <vt:lpwstr>https://www.gov.si/assets/organi-v-sestavi/TIRS/Dokumenti/NavodilaTrznegaInspektorata.pdf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MJug</dc:creator>
  <cp:lastModifiedBy>Alicija Kepic</cp:lastModifiedBy>
  <cp:revision>3</cp:revision>
  <cp:lastPrinted>2023-05-30T08:27:00Z</cp:lastPrinted>
  <dcterms:created xsi:type="dcterms:W3CDTF">2023-06-01T14:10:00Z</dcterms:created>
  <dcterms:modified xsi:type="dcterms:W3CDTF">2023-08-23T12:08:00Z</dcterms:modified>
</cp:coreProperties>
</file>