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EA8F" w14:textId="77777777" w:rsidR="004C4415" w:rsidRDefault="004C4415" w:rsidP="004C4415">
      <w:pPr>
        <w:spacing w:after="0" w:line="240" w:lineRule="auto"/>
        <w:rPr>
          <w:rFonts w:ascii="Republika" w:eastAsia="Arial" w:hAnsi="Republika" w:cs="Arial"/>
          <w:b/>
          <w:lang w:val="it-IT"/>
        </w:rPr>
      </w:pPr>
    </w:p>
    <w:p w14:paraId="5A2BDF87" w14:textId="77777777" w:rsidR="004C4415" w:rsidRDefault="004C4415" w:rsidP="004C4415">
      <w:pPr>
        <w:spacing w:after="0" w:line="240" w:lineRule="auto"/>
        <w:rPr>
          <w:rFonts w:ascii="Republika" w:eastAsia="Arial" w:hAnsi="Republika" w:cs="Arial"/>
          <w:b/>
          <w:lang w:val="it-IT"/>
        </w:rPr>
      </w:pPr>
    </w:p>
    <w:p w14:paraId="7461DB2E" w14:textId="77777777" w:rsidR="004C4415" w:rsidRDefault="004C4415" w:rsidP="004C4415">
      <w:pPr>
        <w:spacing w:after="0" w:line="240" w:lineRule="auto"/>
        <w:rPr>
          <w:rFonts w:ascii="Republika" w:eastAsia="Arial" w:hAnsi="Republika" w:cs="Arial"/>
          <w:b/>
          <w:lang w:val="it-IT"/>
        </w:rPr>
      </w:pPr>
    </w:p>
    <w:p w14:paraId="3C42EDB0" w14:textId="602B3374" w:rsidR="004C4415" w:rsidRDefault="004C4415" w:rsidP="004C4415">
      <w:pPr>
        <w:spacing w:after="0" w:line="240" w:lineRule="auto"/>
        <w:rPr>
          <w:rFonts w:ascii="Republika" w:eastAsia="Arial" w:hAnsi="Republika" w:cs="Arial"/>
          <w:b/>
          <w:lang w:val="it-IT"/>
        </w:rPr>
      </w:pPr>
      <w:r>
        <w:rPr>
          <w:rFonts w:ascii="Republika" w:eastAsia="Arial" w:hAnsi="Republika" w:cs="Arial"/>
          <w:b/>
          <w:lang w:val="it-IT"/>
        </w:rPr>
        <w:t xml:space="preserve">Indicazioni dell’Ispettorato del mercato </w:t>
      </w:r>
    </w:p>
    <w:p w14:paraId="6EA55B2A" w14:textId="77777777" w:rsidR="004C4415" w:rsidRDefault="004C4415" w:rsidP="004C4415">
      <w:pPr>
        <w:spacing w:after="0" w:line="240" w:lineRule="auto"/>
        <w:rPr>
          <w:rFonts w:ascii="Republika" w:hAnsi="Republika"/>
          <w:lang w:val="it-IT"/>
        </w:rPr>
      </w:pPr>
    </w:p>
    <w:p w14:paraId="58A75F7B" w14:textId="77777777" w:rsidR="004C4415" w:rsidRDefault="004C4415" w:rsidP="004C4415">
      <w:pPr>
        <w:spacing w:after="0" w:line="240" w:lineRule="auto"/>
        <w:rPr>
          <w:rFonts w:ascii="Republika" w:hAnsi="Republika"/>
          <w:lang w:val="it-IT"/>
        </w:rPr>
      </w:pPr>
    </w:p>
    <w:p w14:paraId="2806CA07" w14:textId="77777777" w:rsidR="004C4415" w:rsidRDefault="004C4415" w:rsidP="004C4415">
      <w:pPr>
        <w:spacing w:after="0" w:line="240" w:lineRule="auto"/>
        <w:ind w:left="62" w:hanging="10"/>
        <w:jc w:val="both"/>
        <w:rPr>
          <w:rFonts w:ascii="Republika" w:eastAsia="Arial" w:hAnsi="Republika" w:cs="Arial"/>
          <w:lang w:val="it-IT"/>
        </w:rPr>
      </w:pPr>
      <w:r>
        <w:rPr>
          <w:rFonts w:ascii="Republika" w:eastAsia="Arial" w:hAnsi="Republika" w:cs="Arial"/>
          <w:lang w:val="it-IT"/>
        </w:rPr>
        <w:t xml:space="preserve">In caso di sospetta violazione degli articoli 4, 7, 8, 9, 10, 11, 12, 13, 14, 16, 17, 18, 19, 22, 23 e 24 del Regolamento 1177/2010/UE sui diritti dei passeggeri che viaggiano via mare e per vie navigabili interne: </w:t>
      </w:r>
    </w:p>
    <w:p w14:paraId="278127F1" w14:textId="77777777" w:rsidR="004C4415" w:rsidRDefault="004C4415" w:rsidP="004C4415">
      <w:pPr>
        <w:spacing w:after="0" w:line="240" w:lineRule="auto"/>
        <w:ind w:left="62" w:hanging="10"/>
        <w:jc w:val="both"/>
        <w:rPr>
          <w:rFonts w:ascii="Republika" w:hAnsi="Republika"/>
          <w:lang w:val="it-IT"/>
        </w:rPr>
      </w:pPr>
    </w:p>
    <w:p w14:paraId="20E60146" w14:textId="77777777" w:rsidR="004C4415" w:rsidRDefault="004C4415" w:rsidP="004C4415">
      <w:pPr>
        <w:numPr>
          <w:ilvl w:val="0"/>
          <w:numId w:val="3"/>
        </w:numPr>
        <w:spacing w:after="0" w:line="240" w:lineRule="auto"/>
        <w:jc w:val="both"/>
        <w:rPr>
          <w:rFonts w:ascii="Republika" w:hAnsi="Republika"/>
          <w:lang w:val="it-IT"/>
        </w:rPr>
      </w:pPr>
      <w:r>
        <w:rPr>
          <w:rFonts w:ascii="Republika" w:eastAsia="Arial" w:hAnsi="Republika" w:cs="Arial"/>
          <w:lang w:val="it-IT"/>
        </w:rPr>
        <w:t xml:space="preserve">Un passeggero deve presentare al vettore o a gestore del terminal un reclamo relativo alle violazioni del regolamento 1177/2010/UE e del regolamento di attuazione del regolamento 1177/2010/UE, entro due mesi dalla data in cui il servizio è stato o avrebbe dovuto essere prestato; </w:t>
      </w:r>
    </w:p>
    <w:p w14:paraId="32CBA12A" w14:textId="77777777" w:rsidR="004C4415" w:rsidRDefault="004C4415" w:rsidP="004C4415">
      <w:pPr>
        <w:spacing w:after="0" w:line="240" w:lineRule="auto"/>
        <w:ind w:left="420"/>
        <w:jc w:val="both"/>
        <w:rPr>
          <w:rFonts w:ascii="Republika" w:hAnsi="Republika"/>
          <w:lang w:val="it-IT"/>
        </w:rPr>
      </w:pPr>
    </w:p>
    <w:p w14:paraId="48F28DB7" w14:textId="77777777" w:rsidR="004C4415" w:rsidRDefault="004C4415" w:rsidP="004C4415">
      <w:pPr>
        <w:numPr>
          <w:ilvl w:val="0"/>
          <w:numId w:val="3"/>
        </w:numPr>
        <w:spacing w:after="0" w:line="240" w:lineRule="auto"/>
        <w:jc w:val="both"/>
        <w:rPr>
          <w:rFonts w:ascii="Republika" w:hAnsi="Republika"/>
          <w:lang w:val="it-IT"/>
        </w:rPr>
      </w:pPr>
      <w:r>
        <w:rPr>
          <w:rFonts w:ascii="Republika" w:hAnsi="Republika" w:cs="Arial"/>
          <w:lang w:val="it-IT"/>
        </w:rPr>
        <w:t>Se il passeggero, entro un mese dal ricevimento del reclamo, non ha ricevuto dal vettore o dal gestore del terminal la notifica che il suo reclamo è stato accolto, respinto o è ancora in sospeso, ossia se non ha ricevuto una risposta definitiva entro due mesi dalla ricezione del reclamo;</w:t>
      </w:r>
    </w:p>
    <w:p w14:paraId="1C338DEF" w14:textId="77777777" w:rsidR="004C4415" w:rsidRDefault="004C4415" w:rsidP="004C4415">
      <w:pPr>
        <w:pStyle w:val="Odstavekseznama"/>
        <w:rPr>
          <w:rFonts w:ascii="Republika" w:hAnsi="Republika"/>
          <w:lang w:val="it-IT"/>
        </w:rPr>
      </w:pPr>
    </w:p>
    <w:p w14:paraId="00D8C53F" w14:textId="77777777" w:rsidR="004C4415" w:rsidRDefault="004C4415" w:rsidP="004C4415">
      <w:pPr>
        <w:numPr>
          <w:ilvl w:val="0"/>
          <w:numId w:val="3"/>
        </w:numPr>
        <w:spacing w:after="0" w:line="240" w:lineRule="auto"/>
        <w:jc w:val="both"/>
        <w:rPr>
          <w:rFonts w:ascii="Republika" w:hAnsi="Republika"/>
          <w:lang w:val="it-IT"/>
        </w:rPr>
      </w:pPr>
      <w:r>
        <w:rPr>
          <w:rFonts w:ascii="Republika" w:eastAsia="Arial" w:hAnsi="Republika" w:cs="Arial"/>
          <w:lang w:val="it-IT"/>
        </w:rPr>
        <w:t xml:space="preserve">Se il reclamo non è stato risolto ai sensi dell’articolo 24 del regolamento 1177/2010/UE, il passeggero può presentare una segnalazione all’Ispettorato del mercato della Repubblica di Slovenia, </w:t>
      </w:r>
      <w:proofErr w:type="spellStart"/>
      <w:r>
        <w:rPr>
          <w:rFonts w:ascii="Republika" w:eastAsia="Arial" w:hAnsi="Republika" w:cs="Arial"/>
          <w:lang w:val="it-IT"/>
        </w:rPr>
        <w:t>Dunajska</w:t>
      </w:r>
      <w:proofErr w:type="spellEnd"/>
      <w:r>
        <w:rPr>
          <w:rFonts w:ascii="Republika" w:eastAsia="Arial" w:hAnsi="Republika" w:cs="Arial"/>
          <w:lang w:val="it-IT"/>
        </w:rPr>
        <w:t xml:space="preserve"> 160, 1000 </w:t>
      </w:r>
      <w:proofErr w:type="spellStart"/>
      <w:r>
        <w:rPr>
          <w:rFonts w:ascii="Republika" w:eastAsia="Arial" w:hAnsi="Republika" w:cs="Arial"/>
          <w:lang w:val="it-IT"/>
        </w:rPr>
        <w:t>Ljubljana</w:t>
      </w:r>
      <w:proofErr w:type="spellEnd"/>
      <w:r>
        <w:rPr>
          <w:rFonts w:ascii="Republika" w:eastAsia="Arial" w:hAnsi="Republika" w:cs="Arial"/>
          <w:lang w:val="it-IT"/>
        </w:rPr>
        <w:t xml:space="preserve"> o su </w:t>
      </w:r>
      <w:r>
        <w:rPr>
          <w:rFonts w:ascii="Republika" w:eastAsia="Arial" w:hAnsi="Republika" w:cs="Arial"/>
          <w:color w:val="0000FF"/>
          <w:u w:val="single" w:color="0000FF"/>
          <w:lang w:val="it-IT"/>
        </w:rPr>
        <w:t>gp.tirs@gov.si</w:t>
      </w:r>
      <w:r>
        <w:rPr>
          <w:rFonts w:ascii="Republika" w:eastAsia="Arial" w:hAnsi="Republika" w:cs="Arial"/>
          <w:lang w:val="it-IT"/>
        </w:rPr>
        <w:t xml:space="preserve"> </w:t>
      </w:r>
      <w:r>
        <w:rPr>
          <w:rFonts w:ascii="Republika" w:hAnsi="Republika" w:cs="Arial"/>
          <w:lang w:val="it-IT"/>
        </w:rPr>
        <w:t>allegando la documentazione relativa al reclamo in questione</w:t>
      </w:r>
      <w:r>
        <w:rPr>
          <w:rFonts w:ascii="Republika" w:eastAsia="Arial" w:hAnsi="Republika" w:cs="Arial"/>
          <w:lang w:val="it-IT"/>
        </w:rPr>
        <w:t xml:space="preserve">: </w:t>
      </w:r>
    </w:p>
    <w:p w14:paraId="1713B6F0" w14:textId="77777777" w:rsidR="004C4415" w:rsidRDefault="004C4415" w:rsidP="004C4415">
      <w:pPr>
        <w:numPr>
          <w:ilvl w:val="1"/>
          <w:numId w:val="3"/>
        </w:numPr>
        <w:spacing w:after="0" w:line="240" w:lineRule="auto"/>
        <w:rPr>
          <w:rFonts w:ascii="Republika" w:hAnsi="Republika" w:cs="Arial"/>
          <w:lang w:val="it-IT"/>
        </w:rPr>
      </w:pPr>
      <w:r>
        <w:rPr>
          <w:rFonts w:ascii="Republika" w:hAnsi="Republika" w:cs="Arial"/>
          <w:lang w:val="it-IT"/>
        </w:rPr>
        <w:t>i suoi dati (nome, cognome e recapiti: indirizzo, telefono, e-mail)</w:t>
      </w:r>
      <w:r>
        <w:rPr>
          <w:rFonts w:ascii="Republika" w:eastAsia="Arial" w:hAnsi="Republika" w:cs="Arial"/>
          <w:lang w:val="it-IT"/>
        </w:rPr>
        <w:t xml:space="preserve">, </w:t>
      </w:r>
    </w:p>
    <w:p w14:paraId="6A5DDFBD" w14:textId="77777777" w:rsidR="004C4415" w:rsidRDefault="004C4415" w:rsidP="004C4415">
      <w:pPr>
        <w:numPr>
          <w:ilvl w:val="1"/>
          <w:numId w:val="3"/>
        </w:numPr>
        <w:spacing w:after="0" w:line="240" w:lineRule="auto"/>
        <w:jc w:val="both"/>
        <w:rPr>
          <w:rFonts w:ascii="Republika" w:hAnsi="Republika"/>
          <w:lang w:val="it-IT"/>
        </w:rPr>
      </w:pPr>
      <w:r>
        <w:rPr>
          <w:rFonts w:ascii="Republika" w:hAnsi="Republika" w:cs="Arial"/>
          <w:lang w:val="it-IT"/>
        </w:rPr>
        <w:t>i dati del vettore o del gestore del terminal</w:t>
      </w:r>
      <w:r>
        <w:rPr>
          <w:rFonts w:ascii="Republika" w:eastAsia="Arial" w:hAnsi="Republika" w:cs="Arial"/>
          <w:lang w:val="it-IT"/>
        </w:rPr>
        <w:t xml:space="preserve">, </w:t>
      </w:r>
    </w:p>
    <w:p w14:paraId="2E5D571A" w14:textId="77777777" w:rsidR="004C4415" w:rsidRDefault="004C4415" w:rsidP="004C4415">
      <w:pPr>
        <w:numPr>
          <w:ilvl w:val="1"/>
          <w:numId w:val="3"/>
        </w:numPr>
        <w:spacing w:after="0" w:line="240" w:lineRule="auto"/>
        <w:jc w:val="both"/>
        <w:rPr>
          <w:rFonts w:ascii="Republika" w:hAnsi="Republika"/>
          <w:lang w:val="it-IT"/>
        </w:rPr>
      </w:pPr>
      <w:r>
        <w:rPr>
          <w:rFonts w:ascii="Republika" w:hAnsi="Republika" w:cs="Arial"/>
          <w:lang w:val="it-IT"/>
        </w:rPr>
        <w:t>la data, il luogo e la descrizione della violazione contestata</w:t>
      </w:r>
      <w:r>
        <w:rPr>
          <w:rFonts w:ascii="Republika" w:eastAsia="Arial" w:hAnsi="Republika" w:cs="Arial"/>
          <w:lang w:val="it-IT"/>
        </w:rPr>
        <w:t xml:space="preserve">, </w:t>
      </w:r>
    </w:p>
    <w:p w14:paraId="4DE33EC9" w14:textId="77777777" w:rsidR="004C4415" w:rsidRDefault="004C4415" w:rsidP="004C4415">
      <w:pPr>
        <w:numPr>
          <w:ilvl w:val="1"/>
          <w:numId w:val="3"/>
        </w:numPr>
        <w:spacing w:after="0" w:line="240" w:lineRule="auto"/>
        <w:jc w:val="both"/>
        <w:rPr>
          <w:rFonts w:ascii="Republika" w:hAnsi="Republika"/>
          <w:lang w:val="it-IT"/>
        </w:rPr>
      </w:pPr>
      <w:r>
        <w:rPr>
          <w:rFonts w:ascii="Republika" w:hAnsi="Republika" w:cs="Arial"/>
          <w:lang w:val="it-IT"/>
        </w:rPr>
        <w:t>una copia del reclamo presentato al vettore o al gestore del terminal con l’attestato della notifica</w:t>
      </w:r>
      <w:r>
        <w:rPr>
          <w:rFonts w:ascii="Republika" w:eastAsia="Arial" w:hAnsi="Republika" w:cs="Arial"/>
          <w:lang w:val="it-IT"/>
        </w:rPr>
        <w:t xml:space="preserve">, </w:t>
      </w:r>
    </w:p>
    <w:p w14:paraId="21EC83A8" w14:textId="77777777" w:rsidR="004C4415" w:rsidRDefault="004C4415" w:rsidP="004C4415">
      <w:pPr>
        <w:numPr>
          <w:ilvl w:val="1"/>
          <w:numId w:val="3"/>
        </w:numPr>
        <w:spacing w:after="0" w:line="240" w:lineRule="auto"/>
        <w:rPr>
          <w:rFonts w:ascii="Republika" w:hAnsi="Republika" w:cs="Arial"/>
          <w:lang w:val="it-IT"/>
        </w:rPr>
      </w:pPr>
      <w:r>
        <w:rPr>
          <w:rFonts w:ascii="Republika" w:hAnsi="Republika" w:cs="Arial"/>
          <w:lang w:val="it-IT"/>
        </w:rPr>
        <w:t xml:space="preserve">l’eventuale risposta del vettore o del gestore del terminal, </w:t>
      </w:r>
      <w:proofErr w:type="spellStart"/>
      <w:r>
        <w:rPr>
          <w:rFonts w:ascii="Republika" w:hAnsi="Republika" w:cs="Arial"/>
          <w:lang w:val="it-IT"/>
        </w:rPr>
        <w:t>ovv</w:t>
      </w:r>
      <w:proofErr w:type="spellEnd"/>
      <w:r>
        <w:rPr>
          <w:rFonts w:ascii="Republika" w:hAnsi="Republika" w:cs="Arial"/>
          <w:lang w:val="it-IT"/>
        </w:rPr>
        <w:t>. la data a partire dalla quale non è pervenuta alcuna risposta definitiva</w:t>
      </w:r>
      <w:r>
        <w:rPr>
          <w:rFonts w:ascii="Republika" w:eastAsia="Arial" w:hAnsi="Republika" w:cs="Arial"/>
          <w:lang w:val="it-IT"/>
        </w:rPr>
        <w:t xml:space="preserve">. </w:t>
      </w:r>
    </w:p>
    <w:p w14:paraId="09838752" w14:textId="77777777" w:rsidR="004C4415" w:rsidRDefault="004C4415" w:rsidP="004C4415">
      <w:pPr>
        <w:spacing w:after="0" w:line="240" w:lineRule="auto"/>
        <w:ind w:left="671"/>
        <w:jc w:val="both"/>
        <w:rPr>
          <w:rFonts w:ascii="Republika" w:hAnsi="Republika"/>
          <w:lang w:val="it-IT"/>
        </w:rPr>
      </w:pPr>
    </w:p>
    <w:p w14:paraId="15EB0C9D" w14:textId="77777777" w:rsidR="004C4415" w:rsidRDefault="004C4415" w:rsidP="004C4415">
      <w:pPr>
        <w:numPr>
          <w:ilvl w:val="0"/>
          <w:numId w:val="3"/>
        </w:numPr>
        <w:spacing w:after="0" w:line="240" w:lineRule="auto"/>
        <w:jc w:val="both"/>
        <w:rPr>
          <w:rFonts w:ascii="Republika" w:hAnsi="Republika"/>
          <w:lang w:val="it-IT"/>
        </w:rPr>
      </w:pPr>
      <w:r>
        <w:rPr>
          <w:rFonts w:ascii="Republika" w:hAnsi="Republika"/>
          <w:lang w:val="it-IT"/>
        </w:rPr>
        <w:t>L’Ispettorato del mercato avvierà una procedura di ispezione sulla base delle informazioni ricevute e della documentazione e, su richiesta del passeggero, informerà quest’ultimo delle proprie misure entro e non oltre l’esecuzione dell’ispezione e l’adozione dell’ultima misura o l’interruzione della procedura.</w:t>
      </w:r>
    </w:p>
    <w:p w14:paraId="78384E05" w14:textId="23161A84" w:rsidR="00E70CA0" w:rsidRPr="004C4415" w:rsidRDefault="00E70CA0" w:rsidP="004C4415">
      <w:pPr>
        <w:rPr>
          <w:lang w:val="it-IT"/>
        </w:rPr>
      </w:pPr>
    </w:p>
    <w:sectPr w:rsidR="00E70CA0" w:rsidRPr="004C44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18391" w14:textId="77777777" w:rsidR="007B6BA4" w:rsidRDefault="007B6BA4" w:rsidP="007B6BA4">
      <w:pPr>
        <w:spacing w:after="0" w:line="240" w:lineRule="auto"/>
      </w:pPr>
      <w:r>
        <w:separator/>
      </w:r>
    </w:p>
  </w:endnote>
  <w:endnote w:type="continuationSeparator" w:id="0">
    <w:p w14:paraId="7F935B2F" w14:textId="77777777" w:rsidR="007B6BA4" w:rsidRDefault="007B6BA4" w:rsidP="007B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5B8A" w14:textId="73A0D901" w:rsidR="00612484" w:rsidRDefault="00612484">
    <w:pPr>
      <w:pStyle w:val="Noga"/>
    </w:pPr>
    <w:r>
      <w:rPr>
        <w:rFonts w:ascii="Republika" w:hAnsi="Republika"/>
        <w:noProof/>
        <w:szCs w:val="20"/>
        <w:lang w:eastAsia="sl-SI"/>
      </w:rPr>
      <w:drawing>
        <wp:inline distT="0" distB="0" distL="0" distR="0" wp14:anchorId="37F48E1E" wp14:editId="3BFCE167">
          <wp:extent cx="981777" cy="451866"/>
          <wp:effectExtent l="0" t="0" r="0" b="571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V_Certification_ISO_9001_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087" cy="452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368F46" w14:textId="77777777" w:rsidR="007B6BA4" w:rsidRDefault="007B6BA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42D44" w14:textId="77777777" w:rsidR="007B6BA4" w:rsidRDefault="007B6BA4" w:rsidP="007B6BA4">
      <w:pPr>
        <w:spacing w:after="0" w:line="240" w:lineRule="auto"/>
      </w:pPr>
      <w:r>
        <w:separator/>
      </w:r>
    </w:p>
  </w:footnote>
  <w:footnote w:type="continuationSeparator" w:id="0">
    <w:p w14:paraId="0364F6AA" w14:textId="77777777" w:rsidR="007B6BA4" w:rsidRDefault="007B6BA4" w:rsidP="007B6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4630" w14:textId="5EABCBD9" w:rsidR="007B6BA4" w:rsidRPr="007B6BA4" w:rsidRDefault="009003EF">
    <w:pPr>
      <w:pStyle w:val="Glava"/>
      <w:rPr>
        <w:lang w:val="it-IT"/>
      </w:rPr>
    </w:pPr>
    <w:r>
      <w:rPr>
        <w:noProof/>
      </w:rPr>
      <w:drawing>
        <wp:inline distT="0" distB="0" distL="0" distR="0" wp14:anchorId="7FB82396" wp14:editId="563A36F0">
          <wp:extent cx="5724525" cy="1628775"/>
          <wp:effectExtent l="0" t="0" r="952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4525" cy="1628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E2918"/>
    <w:multiLevelType w:val="hybridMultilevel"/>
    <w:tmpl w:val="829E5C1C"/>
    <w:lvl w:ilvl="0" w:tplc="1390E62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7E67E6">
      <w:start w:val="1"/>
      <w:numFmt w:val="lowerLetter"/>
      <w:lvlText w:val="%2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E2E940">
      <w:start w:val="1"/>
      <w:numFmt w:val="lowerRoman"/>
      <w:lvlText w:val="%3"/>
      <w:lvlJc w:val="left"/>
      <w:pPr>
        <w:ind w:left="2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0AA768">
      <w:start w:val="1"/>
      <w:numFmt w:val="decimal"/>
      <w:lvlText w:val="%4"/>
      <w:lvlJc w:val="left"/>
      <w:pPr>
        <w:ind w:left="3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C02734">
      <w:start w:val="1"/>
      <w:numFmt w:val="lowerLetter"/>
      <w:lvlText w:val="%5"/>
      <w:lvlJc w:val="left"/>
      <w:pPr>
        <w:ind w:left="4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4E7950">
      <w:start w:val="1"/>
      <w:numFmt w:val="lowerRoman"/>
      <w:lvlText w:val="%6"/>
      <w:lvlJc w:val="left"/>
      <w:pPr>
        <w:ind w:left="4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1CE886">
      <w:start w:val="1"/>
      <w:numFmt w:val="decimal"/>
      <w:lvlText w:val="%7"/>
      <w:lvlJc w:val="left"/>
      <w:pPr>
        <w:ind w:left="5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EC3E2E">
      <w:start w:val="1"/>
      <w:numFmt w:val="lowerLetter"/>
      <w:lvlText w:val="%8"/>
      <w:lvlJc w:val="left"/>
      <w:pPr>
        <w:ind w:left="6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45F18">
      <w:start w:val="1"/>
      <w:numFmt w:val="lowerRoman"/>
      <w:lvlText w:val="%9"/>
      <w:lvlJc w:val="left"/>
      <w:pPr>
        <w:ind w:left="6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C1785D"/>
    <w:multiLevelType w:val="hybridMultilevel"/>
    <w:tmpl w:val="BE706BDE"/>
    <w:lvl w:ilvl="0" w:tplc="C1FA3BEA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DE084C">
      <w:start w:val="1"/>
      <w:numFmt w:val="lowerLetter"/>
      <w:lvlText w:val="%2)"/>
      <w:lvlJc w:val="left"/>
      <w:pPr>
        <w:ind w:left="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BA5DFC">
      <w:start w:val="1"/>
      <w:numFmt w:val="lowerRoman"/>
      <w:lvlText w:val="%3"/>
      <w:lvlJc w:val="left"/>
      <w:pPr>
        <w:ind w:left="2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B69AD4">
      <w:start w:val="1"/>
      <w:numFmt w:val="decimal"/>
      <w:lvlText w:val="%4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64CCC2">
      <w:start w:val="1"/>
      <w:numFmt w:val="lowerLetter"/>
      <w:lvlText w:val="%5"/>
      <w:lvlJc w:val="left"/>
      <w:pPr>
        <w:ind w:left="3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9E6634">
      <w:start w:val="1"/>
      <w:numFmt w:val="lowerRoman"/>
      <w:lvlText w:val="%6"/>
      <w:lvlJc w:val="left"/>
      <w:pPr>
        <w:ind w:left="4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3E6DDC">
      <w:start w:val="1"/>
      <w:numFmt w:val="decimal"/>
      <w:lvlText w:val="%7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6C1B0A">
      <w:start w:val="1"/>
      <w:numFmt w:val="lowerLetter"/>
      <w:lvlText w:val="%8"/>
      <w:lvlJc w:val="left"/>
      <w:pPr>
        <w:ind w:left="5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A6648C">
      <w:start w:val="1"/>
      <w:numFmt w:val="lowerRoman"/>
      <w:lvlText w:val="%9"/>
      <w:lvlJc w:val="left"/>
      <w:pPr>
        <w:ind w:left="6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6427218">
    <w:abstractNumId w:val="0"/>
  </w:num>
  <w:num w:numId="2" w16cid:durableId="1226532127">
    <w:abstractNumId w:val="1"/>
  </w:num>
  <w:num w:numId="3" w16cid:durableId="881867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A4"/>
    <w:rsid w:val="00293CD0"/>
    <w:rsid w:val="004C4415"/>
    <w:rsid w:val="00612484"/>
    <w:rsid w:val="007B6BA4"/>
    <w:rsid w:val="009003EF"/>
    <w:rsid w:val="00E70CA0"/>
    <w:rsid w:val="00ED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46BE"/>
  <w15:chartTrackingRefBased/>
  <w15:docId w15:val="{438CC8D2-A422-4552-89EF-E9991378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D0D3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Header-PR"/>
    <w:basedOn w:val="Navaden"/>
    <w:link w:val="GlavaZnak"/>
    <w:uiPriority w:val="99"/>
    <w:rsid w:val="007B6BA4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GlavaZnak">
    <w:name w:val="Glava Znak"/>
    <w:aliases w:val="Header-PR Znak"/>
    <w:basedOn w:val="Privzetapisavaodstavka"/>
    <w:link w:val="Glava"/>
    <w:uiPriority w:val="99"/>
    <w:rsid w:val="007B6BA4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7B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B6BA4"/>
  </w:style>
  <w:style w:type="character" w:styleId="Hiperpovezava">
    <w:name w:val="Hyperlink"/>
    <w:basedOn w:val="Privzetapisavaodstavka"/>
    <w:uiPriority w:val="99"/>
    <w:unhideWhenUsed/>
    <w:rsid w:val="00ED0D3F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D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4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 Maraž (URSP)</dc:creator>
  <cp:keywords/>
  <dc:description/>
  <cp:lastModifiedBy>Alicija Kepic</cp:lastModifiedBy>
  <cp:revision>2</cp:revision>
  <dcterms:created xsi:type="dcterms:W3CDTF">2024-03-11T12:41:00Z</dcterms:created>
  <dcterms:modified xsi:type="dcterms:W3CDTF">2024-03-11T12:41:00Z</dcterms:modified>
</cp:coreProperties>
</file>