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0F" w:rsidRPr="00831C0F" w:rsidRDefault="00831C0F" w:rsidP="00831C0F">
      <w:pPr>
        <w:pStyle w:val="Naslov1"/>
        <w:jc w:val="center"/>
        <w:rPr>
          <w:rFonts w:ascii="Arial" w:hAnsi="Arial" w:cs="Arial"/>
          <w:sz w:val="32"/>
          <w:lang w:val="en-GB"/>
        </w:rPr>
      </w:pPr>
      <w:bookmarkStart w:id="0" w:name="_GoBack"/>
      <w:bookmarkEnd w:id="0"/>
      <w:r w:rsidRPr="00831C0F">
        <w:rPr>
          <w:rFonts w:ascii="Arial" w:hAnsi="Arial" w:cs="Arial"/>
          <w:sz w:val="32"/>
          <w:lang w:val="en-GB"/>
        </w:rPr>
        <w:t>Formal Place of Refuge Request Form</w:t>
      </w:r>
    </w:p>
    <w:p w:rsidR="00831C0F" w:rsidRPr="00831C0F" w:rsidRDefault="00831C0F" w:rsidP="00831C0F">
      <w:pPr>
        <w:pStyle w:val="Default"/>
        <w:rPr>
          <w:color w:val="006FC0"/>
          <w:sz w:val="36"/>
          <w:szCs w:val="36"/>
          <w:lang w:val="en-GB"/>
        </w:rPr>
      </w:pPr>
    </w:p>
    <w:p w:rsidR="00534913" w:rsidRDefault="00831C0F" w:rsidP="00831C0F">
      <w:pPr>
        <w:rPr>
          <w:rFonts w:ascii="Arial" w:hAnsi="Arial" w:cs="Arial"/>
          <w:bCs/>
          <w:color w:val="006FC0"/>
          <w:sz w:val="23"/>
          <w:szCs w:val="23"/>
          <w:lang w:val="en-GB"/>
        </w:rPr>
      </w:pPr>
      <w:r w:rsidRPr="00831C0F">
        <w:rPr>
          <w:rFonts w:ascii="Arial" w:hAnsi="Arial" w:cs="Arial"/>
          <w:bCs/>
          <w:color w:val="006FC0"/>
          <w:sz w:val="23"/>
          <w:szCs w:val="23"/>
          <w:lang w:val="en-GB"/>
        </w:rPr>
        <w:t>Note: For Places of Refuge requests following SAR action it is likely that much of the ship/cargo/bunker information will already be held by the MRCC / MAS.</w:t>
      </w:r>
    </w:p>
    <w:p w:rsidR="00A27BC0" w:rsidRDefault="00A27BC0" w:rsidP="00831C0F">
      <w:pPr>
        <w:rPr>
          <w:rFonts w:ascii="Arial" w:hAnsi="Arial" w:cs="Arial"/>
          <w:bCs/>
          <w:color w:val="006FC0"/>
          <w:sz w:val="23"/>
          <w:szCs w:val="23"/>
          <w:lang w:val="en-GB"/>
        </w:rPr>
      </w:pPr>
    </w:p>
    <w:tbl>
      <w:tblPr>
        <w:tblStyle w:val="Tabelamrea"/>
        <w:tblW w:w="9600" w:type="dxa"/>
        <w:tblLook w:val="04A0" w:firstRow="1" w:lastRow="0" w:firstColumn="1" w:lastColumn="0" w:noHBand="0" w:noVBand="1"/>
      </w:tblPr>
      <w:tblGrid>
        <w:gridCol w:w="1242"/>
        <w:gridCol w:w="8358"/>
      </w:tblGrid>
      <w:tr w:rsidR="00775514" w:rsidRPr="00775514" w:rsidTr="00775514">
        <w:trPr>
          <w:trHeight w:val="480"/>
        </w:trPr>
        <w:tc>
          <w:tcPr>
            <w:tcW w:w="1242" w:type="dxa"/>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 </w:t>
            </w:r>
          </w:p>
        </w:tc>
        <w:tc>
          <w:tcPr>
            <w:tcW w:w="8358" w:type="dxa"/>
            <w:noWrap/>
            <w:hideMark/>
          </w:tcPr>
          <w:p w:rsidR="00775514" w:rsidRPr="00775514" w:rsidRDefault="00775514" w:rsidP="00775514">
            <w:pPr>
              <w:rPr>
                <w:rFonts w:ascii="Arial" w:eastAsia="Times New Roman" w:hAnsi="Arial" w:cs="Arial"/>
                <w:color w:val="000000"/>
                <w:sz w:val="32"/>
                <w:szCs w:val="32"/>
                <w:lang w:val="en-GB" w:eastAsia="sl-SI"/>
              </w:rPr>
            </w:pPr>
            <w:r w:rsidRPr="00775514">
              <w:rPr>
                <w:rFonts w:ascii="Arial" w:eastAsia="Times New Roman" w:hAnsi="Arial" w:cs="Arial"/>
                <w:color w:val="000000"/>
                <w:sz w:val="32"/>
                <w:szCs w:val="32"/>
                <w:lang w:val="en-GB" w:eastAsia="sl-SI"/>
              </w:rPr>
              <w:t>Request for Place of Refuge</w:t>
            </w:r>
          </w:p>
        </w:tc>
      </w:tr>
      <w:tr w:rsidR="00775514" w:rsidRPr="00775514" w:rsidTr="00775514">
        <w:trPr>
          <w:trHeight w:val="360"/>
        </w:trPr>
        <w:tc>
          <w:tcPr>
            <w:tcW w:w="1242" w:type="dxa"/>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Date</w:t>
            </w:r>
          </w:p>
        </w:tc>
        <w:tc>
          <w:tcPr>
            <w:tcW w:w="8358" w:type="dxa"/>
            <w:noWrap/>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w:t>
            </w:r>
          </w:p>
        </w:tc>
      </w:tr>
      <w:tr w:rsidR="00775514" w:rsidRPr="00775514" w:rsidTr="00775514">
        <w:trPr>
          <w:trHeight w:val="360"/>
        </w:trPr>
        <w:tc>
          <w:tcPr>
            <w:tcW w:w="1242" w:type="dxa"/>
            <w:vMerge w:val="restart"/>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From</w:t>
            </w:r>
          </w:p>
        </w:tc>
        <w:tc>
          <w:tcPr>
            <w:tcW w:w="8358" w:type="dxa"/>
            <w:noWrap/>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Master:</w:t>
            </w:r>
          </w:p>
        </w:tc>
      </w:tr>
      <w:tr w:rsidR="00775514" w:rsidRPr="00775514" w:rsidTr="00775514">
        <w:trPr>
          <w:trHeight w:val="360"/>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noWrap/>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Salvor: </w:t>
            </w:r>
          </w:p>
        </w:tc>
      </w:tr>
      <w:tr w:rsidR="00775514" w:rsidRPr="00775514" w:rsidTr="00775514">
        <w:trPr>
          <w:trHeight w:val="360"/>
        </w:trPr>
        <w:tc>
          <w:tcPr>
            <w:tcW w:w="1242" w:type="dxa"/>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To</w:t>
            </w:r>
          </w:p>
        </w:tc>
        <w:tc>
          <w:tcPr>
            <w:tcW w:w="8358" w:type="dxa"/>
            <w:noWrap/>
            <w:hideMark/>
          </w:tcPr>
          <w:p w:rsidR="00775514" w:rsidRPr="00CA7743"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Competent Authority (via MRCC/MAS):</w:t>
            </w:r>
          </w:p>
          <w:p w:rsidR="00775514" w:rsidRPr="00775514" w:rsidRDefault="00775514" w:rsidP="00775514">
            <w:pPr>
              <w:rPr>
                <w:rFonts w:ascii="Arial" w:eastAsia="Times New Roman" w:hAnsi="Arial" w:cs="Arial"/>
                <w:color w:val="000000"/>
                <w:lang w:val="en-GB" w:eastAsia="sl-SI"/>
              </w:rPr>
            </w:pPr>
          </w:p>
        </w:tc>
      </w:tr>
      <w:tr w:rsidR="00775514" w:rsidRPr="00775514" w:rsidTr="00775514">
        <w:trPr>
          <w:trHeight w:val="150"/>
        </w:trPr>
        <w:tc>
          <w:tcPr>
            <w:tcW w:w="1242" w:type="dxa"/>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 </w:t>
            </w:r>
          </w:p>
        </w:tc>
        <w:tc>
          <w:tcPr>
            <w:tcW w:w="8358" w:type="dxa"/>
            <w:noWrap/>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w:t>
            </w:r>
          </w:p>
        </w:tc>
      </w:tr>
      <w:tr w:rsidR="00775514" w:rsidRPr="00775514" w:rsidTr="00775514">
        <w:trPr>
          <w:trHeight w:val="300"/>
        </w:trPr>
        <w:tc>
          <w:tcPr>
            <w:tcW w:w="1242" w:type="dxa"/>
            <w:vMerge w:val="restart"/>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Section 1</w:t>
            </w:r>
          </w:p>
        </w:tc>
        <w:tc>
          <w:tcPr>
            <w:tcW w:w="8358" w:type="dxa"/>
            <w:noWrap/>
            <w:hideMark/>
          </w:tcPr>
          <w:p w:rsidR="00775514" w:rsidRPr="00CA7743" w:rsidRDefault="00775514" w:rsidP="00775514">
            <w:pPr>
              <w:rPr>
                <w:rFonts w:ascii="Arial" w:eastAsia="Times New Roman" w:hAnsi="Arial" w:cs="Arial"/>
                <w:b/>
                <w:bCs/>
                <w:color w:val="000000"/>
                <w:lang w:val="en-GB" w:eastAsia="sl-SI"/>
              </w:rPr>
            </w:pPr>
            <w:r w:rsidRPr="00775514">
              <w:rPr>
                <w:rFonts w:ascii="Arial" w:eastAsia="Times New Roman" w:hAnsi="Arial" w:cs="Arial"/>
                <w:b/>
                <w:bCs/>
                <w:color w:val="000000"/>
                <w:lang w:val="en-GB" w:eastAsia="sl-SI"/>
              </w:rPr>
              <w:t xml:space="preserve">Appraisal of the situation </w:t>
            </w:r>
          </w:p>
          <w:p w:rsidR="00775514" w:rsidRPr="00775514" w:rsidRDefault="00775514" w:rsidP="00775514">
            <w:pPr>
              <w:rPr>
                <w:rFonts w:ascii="Arial" w:eastAsia="Times New Roman" w:hAnsi="Arial" w:cs="Arial"/>
                <w:b/>
                <w:bCs/>
                <w:color w:val="000000"/>
                <w:lang w:val="en-GB" w:eastAsia="sl-SI"/>
              </w:rPr>
            </w:pPr>
          </w:p>
        </w:tc>
      </w:tr>
      <w:tr w:rsidR="00775514" w:rsidRPr="00775514" w:rsidTr="00775514">
        <w:trPr>
          <w:trHeight w:val="1710"/>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CA7743" w:rsidRDefault="00775514" w:rsidP="00775514">
            <w:pPr>
              <w:spacing w:after="240"/>
              <w:rPr>
                <w:rFonts w:ascii="Arial" w:eastAsia="Times New Roman" w:hAnsi="Arial" w:cs="Arial"/>
                <w:color w:val="000000"/>
                <w:lang w:val="en-GB" w:eastAsia="sl-SI"/>
              </w:rPr>
            </w:pPr>
            <w:r w:rsidRPr="00775514">
              <w:rPr>
                <w:rFonts w:ascii="Arial" w:eastAsia="Times New Roman" w:hAnsi="Arial" w:cs="Arial"/>
                <w:color w:val="000000"/>
                <w:lang w:val="en-GB" w:eastAsia="sl-SI"/>
              </w:rPr>
              <w:t>The master should, where necessary with the assistance of the company and/or the salvor, identify the reasons for his/her ship’s need of assistance. [IMO Guidelines A.</w:t>
            </w:r>
            <w:r w:rsidR="00CA7743">
              <w:rPr>
                <w:rFonts w:ascii="Arial" w:eastAsia="Times New Roman" w:hAnsi="Arial" w:cs="Arial"/>
                <w:color w:val="000000"/>
                <w:lang w:val="en-GB" w:eastAsia="sl-SI"/>
              </w:rPr>
              <w:t xml:space="preserve"> </w:t>
            </w:r>
            <w:r w:rsidRPr="00775514">
              <w:rPr>
                <w:rFonts w:ascii="Arial" w:eastAsia="Times New Roman" w:hAnsi="Arial" w:cs="Arial"/>
                <w:color w:val="000000"/>
                <w:lang w:val="en-GB" w:eastAsia="sl-SI"/>
              </w:rPr>
              <w:t xml:space="preserve">949(23) paragraph 1 of Appendix 2 refers]. </w:t>
            </w:r>
          </w:p>
          <w:p w:rsidR="00775514" w:rsidRPr="00CA7743" w:rsidRDefault="00775514" w:rsidP="00775514">
            <w:pPr>
              <w:spacing w:after="240"/>
              <w:rPr>
                <w:rFonts w:ascii="Arial" w:eastAsia="Times New Roman" w:hAnsi="Arial" w:cs="Arial"/>
                <w:color w:val="000000"/>
                <w:lang w:val="en-GB" w:eastAsia="sl-SI"/>
              </w:rPr>
            </w:pPr>
          </w:p>
          <w:p w:rsidR="00775514" w:rsidRPr="00775514" w:rsidRDefault="00775514" w:rsidP="00775514">
            <w:pPr>
              <w:spacing w:after="240"/>
              <w:rPr>
                <w:rFonts w:ascii="Arial" w:eastAsia="Times New Roman" w:hAnsi="Arial" w:cs="Arial"/>
                <w:color w:val="000000"/>
                <w:lang w:val="en-GB" w:eastAsia="sl-SI"/>
              </w:rPr>
            </w:pPr>
          </w:p>
        </w:tc>
      </w:tr>
      <w:tr w:rsidR="00775514" w:rsidRPr="00775514" w:rsidTr="00775514">
        <w:trPr>
          <w:trHeight w:val="600"/>
        </w:trPr>
        <w:tc>
          <w:tcPr>
            <w:tcW w:w="1242" w:type="dxa"/>
            <w:vMerge w:val="restart"/>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Section 2</w:t>
            </w:r>
          </w:p>
        </w:tc>
        <w:tc>
          <w:tcPr>
            <w:tcW w:w="8358" w:type="dxa"/>
            <w:hideMark/>
          </w:tcPr>
          <w:p w:rsidR="00775514" w:rsidRPr="00775514" w:rsidRDefault="00775514" w:rsidP="00775514">
            <w:pPr>
              <w:rPr>
                <w:rFonts w:ascii="Arial" w:eastAsia="Times New Roman" w:hAnsi="Arial" w:cs="Arial"/>
                <w:b/>
                <w:bCs/>
                <w:color w:val="000000"/>
                <w:lang w:val="en-GB" w:eastAsia="sl-SI"/>
              </w:rPr>
            </w:pPr>
            <w:r w:rsidRPr="00775514">
              <w:rPr>
                <w:rFonts w:ascii="Arial" w:eastAsia="Times New Roman" w:hAnsi="Arial" w:cs="Arial"/>
                <w:b/>
                <w:bCs/>
                <w:color w:val="000000"/>
                <w:lang w:val="en-GB" w:eastAsia="sl-SI"/>
              </w:rPr>
              <w:t xml:space="preserve">Identification of Hazards and Assessment of Associated Risks </w:t>
            </w:r>
          </w:p>
        </w:tc>
      </w:tr>
      <w:tr w:rsidR="00775514" w:rsidRPr="00775514" w:rsidTr="00775514">
        <w:trPr>
          <w:trHeight w:val="145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Having made the appraisal above the master, where necessary with the assistance of the company and/or the salvor, should estimate the consequences of the potential casualty, in the following hypothetical situations, taking into account both the casualty assessment factors in their possession and also the cargo and bunkers on board: </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 if the ship remains in the same position; </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 if the ship continues on its voyage; </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 if the ship reaches a place of refuge; or </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 </w:t>
            </w:r>
            <w:proofErr w:type="gramStart"/>
            <w:r w:rsidRPr="00775514">
              <w:rPr>
                <w:rFonts w:ascii="Arial" w:eastAsia="Times New Roman" w:hAnsi="Arial" w:cs="Arial"/>
                <w:color w:val="000000"/>
                <w:lang w:val="en-GB" w:eastAsia="sl-SI"/>
              </w:rPr>
              <w:t>if</w:t>
            </w:r>
            <w:proofErr w:type="gramEnd"/>
            <w:r w:rsidRPr="00775514">
              <w:rPr>
                <w:rFonts w:ascii="Arial" w:eastAsia="Times New Roman" w:hAnsi="Arial" w:cs="Arial"/>
                <w:color w:val="000000"/>
                <w:lang w:val="en-GB" w:eastAsia="sl-SI"/>
              </w:rPr>
              <w:t xml:space="preserve"> the ship is taken out to sea.</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CA7743"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w:t>
            </w:r>
          </w:p>
          <w:p w:rsidR="00775514" w:rsidRPr="00CA7743" w:rsidRDefault="00775514" w:rsidP="00775514">
            <w:pPr>
              <w:rPr>
                <w:rFonts w:ascii="Arial" w:eastAsia="Times New Roman" w:hAnsi="Arial" w:cs="Arial"/>
                <w:color w:val="000000"/>
                <w:lang w:val="en-GB" w:eastAsia="sl-SI"/>
              </w:rPr>
            </w:pPr>
          </w:p>
          <w:p w:rsidR="00775514" w:rsidRPr="00775514" w:rsidRDefault="00775514" w:rsidP="00775514">
            <w:pPr>
              <w:rPr>
                <w:rFonts w:ascii="Arial" w:eastAsia="Times New Roman" w:hAnsi="Arial" w:cs="Arial"/>
                <w:color w:val="000000"/>
                <w:lang w:val="en-GB" w:eastAsia="sl-SI"/>
              </w:rPr>
            </w:pPr>
          </w:p>
        </w:tc>
      </w:tr>
      <w:tr w:rsidR="00775514" w:rsidRPr="00775514" w:rsidTr="00775514">
        <w:trPr>
          <w:trHeight w:val="300"/>
        </w:trPr>
        <w:tc>
          <w:tcPr>
            <w:tcW w:w="1242" w:type="dxa"/>
            <w:vMerge w:val="restart"/>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Section 3</w:t>
            </w:r>
          </w:p>
        </w:tc>
        <w:tc>
          <w:tcPr>
            <w:tcW w:w="8358" w:type="dxa"/>
            <w:noWrap/>
            <w:hideMark/>
          </w:tcPr>
          <w:p w:rsidR="00775514" w:rsidRPr="00CA7743" w:rsidRDefault="00775514" w:rsidP="00775514">
            <w:pPr>
              <w:rPr>
                <w:rFonts w:ascii="Arial" w:eastAsia="Times New Roman" w:hAnsi="Arial" w:cs="Arial"/>
                <w:b/>
                <w:bCs/>
                <w:color w:val="000000"/>
                <w:lang w:val="en-GB" w:eastAsia="sl-SI"/>
              </w:rPr>
            </w:pPr>
            <w:r w:rsidRPr="00775514">
              <w:rPr>
                <w:rFonts w:ascii="Arial" w:eastAsia="Times New Roman" w:hAnsi="Arial" w:cs="Arial"/>
                <w:b/>
                <w:bCs/>
                <w:color w:val="000000"/>
                <w:lang w:val="en-GB" w:eastAsia="sl-SI"/>
              </w:rPr>
              <w:t>Identification of the required actions</w:t>
            </w:r>
          </w:p>
          <w:p w:rsidR="00775514" w:rsidRPr="00775514" w:rsidRDefault="00775514" w:rsidP="00775514">
            <w:pPr>
              <w:rPr>
                <w:rFonts w:ascii="Arial" w:eastAsia="Times New Roman" w:hAnsi="Arial" w:cs="Arial"/>
                <w:b/>
                <w:bCs/>
                <w:color w:val="000000"/>
                <w:lang w:val="en-GB" w:eastAsia="sl-SI"/>
              </w:rPr>
            </w:pPr>
          </w:p>
        </w:tc>
      </w:tr>
      <w:tr w:rsidR="00775514" w:rsidRPr="00775514" w:rsidTr="00775514">
        <w:trPr>
          <w:trHeight w:val="1710"/>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CA7743" w:rsidRDefault="00775514" w:rsidP="00775514">
            <w:pPr>
              <w:spacing w:after="240"/>
              <w:rPr>
                <w:rFonts w:ascii="Arial" w:eastAsia="Times New Roman" w:hAnsi="Arial" w:cs="Arial"/>
                <w:color w:val="000000"/>
                <w:lang w:val="en-GB" w:eastAsia="sl-SI"/>
              </w:rPr>
            </w:pPr>
            <w:r w:rsidRPr="00775514">
              <w:rPr>
                <w:rFonts w:ascii="Arial" w:eastAsia="Times New Roman" w:hAnsi="Arial" w:cs="Arial"/>
                <w:color w:val="000000"/>
                <w:lang w:val="en-GB" w:eastAsia="sl-SI"/>
              </w:rPr>
              <w:t>The master and/or the salvor should identify the assistance they require from the coastal State in order to overcome the inherent danger of the situation. [IMO Guidelines A.</w:t>
            </w:r>
            <w:r w:rsidR="00CA7743">
              <w:rPr>
                <w:rFonts w:ascii="Arial" w:eastAsia="Times New Roman" w:hAnsi="Arial" w:cs="Arial"/>
                <w:color w:val="000000"/>
                <w:lang w:val="en-GB" w:eastAsia="sl-SI"/>
              </w:rPr>
              <w:t xml:space="preserve"> </w:t>
            </w:r>
            <w:r w:rsidRPr="00775514">
              <w:rPr>
                <w:rFonts w:ascii="Arial" w:eastAsia="Times New Roman" w:hAnsi="Arial" w:cs="Arial"/>
                <w:color w:val="000000"/>
                <w:lang w:val="en-GB" w:eastAsia="sl-SI"/>
              </w:rPr>
              <w:t xml:space="preserve">949(23) paragraph 3 of Appendix 2 refers]. </w:t>
            </w:r>
          </w:p>
          <w:p w:rsidR="00775514" w:rsidRPr="00CA7743" w:rsidRDefault="00775514" w:rsidP="00775514">
            <w:pPr>
              <w:spacing w:after="240"/>
              <w:rPr>
                <w:rFonts w:ascii="Arial" w:eastAsia="Times New Roman" w:hAnsi="Arial" w:cs="Arial"/>
                <w:color w:val="000000"/>
                <w:lang w:val="en-GB" w:eastAsia="sl-SI"/>
              </w:rPr>
            </w:pPr>
          </w:p>
          <w:p w:rsidR="00775514" w:rsidRPr="00775514" w:rsidRDefault="00775514" w:rsidP="00775514">
            <w:pPr>
              <w:spacing w:after="240"/>
              <w:rPr>
                <w:rFonts w:ascii="Arial" w:eastAsia="Times New Roman" w:hAnsi="Arial" w:cs="Arial"/>
                <w:color w:val="000000"/>
                <w:lang w:val="en-GB" w:eastAsia="sl-SI"/>
              </w:rPr>
            </w:pPr>
          </w:p>
        </w:tc>
      </w:tr>
      <w:tr w:rsidR="00775514" w:rsidRPr="00775514" w:rsidTr="00775514">
        <w:trPr>
          <w:trHeight w:val="300"/>
        </w:trPr>
        <w:tc>
          <w:tcPr>
            <w:tcW w:w="1242" w:type="dxa"/>
            <w:vMerge w:val="restart"/>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Section 4</w:t>
            </w:r>
          </w:p>
        </w:tc>
        <w:tc>
          <w:tcPr>
            <w:tcW w:w="8358" w:type="dxa"/>
            <w:noWrap/>
            <w:hideMark/>
          </w:tcPr>
          <w:p w:rsidR="00775514" w:rsidRPr="00CA7743" w:rsidRDefault="00775514" w:rsidP="00775514">
            <w:pPr>
              <w:rPr>
                <w:rFonts w:ascii="Arial" w:eastAsia="Times New Roman" w:hAnsi="Arial" w:cs="Arial"/>
                <w:b/>
                <w:bCs/>
                <w:color w:val="000000"/>
                <w:lang w:val="en-GB" w:eastAsia="sl-SI"/>
              </w:rPr>
            </w:pPr>
            <w:r w:rsidRPr="00775514">
              <w:rPr>
                <w:rFonts w:ascii="Arial" w:eastAsia="Times New Roman" w:hAnsi="Arial" w:cs="Arial"/>
                <w:b/>
                <w:bCs/>
                <w:color w:val="000000"/>
                <w:lang w:val="en-GB" w:eastAsia="sl-SI"/>
              </w:rPr>
              <w:t>Supporting Documentation</w:t>
            </w:r>
          </w:p>
          <w:p w:rsidR="00775514" w:rsidRPr="00775514" w:rsidRDefault="00775514" w:rsidP="00775514">
            <w:pPr>
              <w:rPr>
                <w:rFonts w:ascii="Arial" w:eastAsia="Times New Roman" w:hAnsi="Arial" w:cs="Arial"/>
                <w:b/>
                <w:bCs/>
                <w:color w:val="000000"/>
                <w:lang w:val="en-GB" w:eastAsia="sl-SI"/>
              </w:rPr>
            </w:pPr>
          </w:p>
        </w:tc>
      </w:tr>
      <w:tr w:rsidR="00775514" w:rsidRPr="00775514" w:rsidTr="00775514">
        <w:trPr>
          <w:trHeight w:val="570"/>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775514" w:rsidRDefault="00775514" w:rsidP="00775514">
            <w:pPr>
              <w:rPr>
                <w:rFonts w:ascii="Arial" w:eastAsia="Times New Roman" w:hAnsi="Arial" w:cs="Arial"/>
                <w:color w:val="000000"/>
                <w:lang w:val="en-GB" w:eastAsia="sl-SI"/>
              </w:rPr>
            </w:pPr>
          </w:p>
        </w:tc>
      </w:tr>
      <w:tr w:rsidR="00775514" w:rsidRPr="00775514" w:rsidTr="00775514">
        <w:trPr>
          <w:trHeight w:val="300"/>
        </w:trPr>
        <w:tc>
          <w:tcPr>
            <w:tcW w:w="1242" w:type="dxa"/>
            <w:vMerge w:val="restart"/>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Section 5</w:t>
            </w:r>
          </w:p>
        </w:tc>
        <w:tc>
          <w:tcPr>
            <w:tcW w:w="8358" w:type="dxa"/>
            <w:noWrap/>
            <w:hideMark/>
          </w:tcPr>
          <w:p w:rsidR="00775514" w:rsidRPr="00CA7743" w:rsidRDefault="00775514" w:rsidP="00775514">
            <w:pPr>
              <w:rPr>
                <w:rFonts w:ascii="Arial" w:eastAsia="Times New Roman" w:hAnsi="Arial" w:cs="Arial"/>
                <w:b/>
                <w:bCs/>
                <w:color w:val="000000"/>
                <w:lang w:val="en-GB" w:eastAsia="sl-SI"/>
              </w:rPr>
            </w:pPr>
            <w:r w:rsidRPr="00775514">
              <w:rPr>
                <w:rFonts w:ascii="Arial" w:eastAsia="Times New Roman" w:hAnsi="Arial" w:cs="Arial"/>
                <w:b/>
                <w:bCs/>
                <w:color w:val="000000"/>
                <w:lang w:val="en-GB" w:eastAsia="sl-SI"/>
              </w:rPr>
              <w:t>Any other Member States / Ports Contacted to Date</w:t>
            </w:r>
          </w:p>
          <w:p w:rsidR="00775514" w:rsidRPr="00775514" w:rsidRDefault="00775514" w:rsidP="00775514">
            <w:pPr>
              <w:rPr>
                <w:rFonts w:ascii="Arial" w:eastAsia="Times New Roman" w:hAnsi="Arial" w:cs="Arial"/>
                <w:b/>
                <w:bCs/>
                <w:color w:val="000000"/>
                <w:lang w:val="en-GB" w:eastAsia="sl-SI"/>
              </w:rPr>
            </w:pPr>
          </w:p>
        </w:tc>
      </w:tr>
      <w:tr w:rsidR="00775514" w:rsidRPr="00775514" w:rsidTr="00775514">
        <w:trPr>
          <w:trHeight w:val="570"/>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hideMark/>
          </w:tcPr>
          <w:p w:rsidR="00775514" w:rsidRPr="00775514" w:rsidRDefault="00775514" w:rsidP="00775514">
            <w:pPr>
              <w:rPr>
                <w:rFonts w:ascii="Arial" w:eastAsia="Times New Roman" w:hAnsi="Arial" w:cs="Arial"/>
                <w:color w:val="000000"/>
                <w:lang w:val="en-GB" w:eastAsia="sl-SI"/>
              </w:rPr>
            </w:pPr>
          </w:p>
        </w:tc>
      </w:tr>
      <w:tr w:rsidR="00775514" w:rsidRPr="00775514" w:rsidTr="00775514">
        <w:trPr>
          <w:trHeight w:val="300"/>
        </w:trPr>
        <w:tc>
          <w:tcPr>
            <w:tcW w:w="1242" w:type="dxa"/>
            <w:vMerge w:val="restart"/>
            <w:noWrap/>
            <w:hideMark/>
          </w:tcPr>
          <w:p w:rsidR="00775514" w:rsidRPr="00775514" w:rsidRDefault="00775514" w:rsidP="00775514">
            <w:pPr>
              <w:jc w:val="center"/>
              <w:rPr>
                <w:rFonts w:ascii="Arial" w:eastAsia="Times New Roman" w:hAnsi="Arial" w:cs="Arial"/>
                <w:color w:val="000000"/>
                <w:lang w:val="en-GB" w:eastAsia="sl-SI"/>
              </w:rPr>
            </w:pPr>
            <w:r w:rsidRPr="00775514">
              <w:rPr>
                <w:rFonts w:ascii="Arial" w:eastAsia="Times New Roman" w:hAnsi="Arial" w:cs="Arial"/>
                <w:color w:val="000000"/>
                <w:lang w:val="en-GB" w:eastAsia="sl-SI"/>
              </w:rPr>
              <w:t>Section 6</w:t>
            </w:r>
          </w:p>
        </w:tc>
        <w:tc>
          <w:tcPr>
            <w:tcW w:w="8358" w:type="dxa"/>
            <w:noWrap/>
            <w:hideMark/>
          </w:tcPr>
          <w:p w:rsidR="00775514" w:rsidRPr="00775514" w:rsidRDefault="00775514" w:rsidP="00775514">
            <w:pPr>
              <w:rPr>
                <w:rFonts w:ascii="Arial" w:eastAsia="Times New Roman" w:hAnsi="Arial" w:cs="Arial"/>
                <w:b/>
                <w:bCs/>
                <w:color w:val="000000"/>
                <w:lang w:val="en-GB" w:eastAsia="sl-SI"/>
              </w:rPr>
            </w:pPr>
            <w:r w:rsidRPr="00775514">
              <w:rPr>
                <w:rFonts w:ascii="Arial" w:eastAsia="Times New Roman" w:hAnsi="Arial" w:cs="Arial"/>
                <w:b/>
                <w:bCs/>
                <w:color w:val="000000"/>
                <w:lang w:val="en-GB" w:eastAsia="sl-SI"/>
              </w:rPr>
              <w:t xml:space="preserve">Information from the Member States contacted </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noWrap/>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[At the end of its assessment process]  </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noWrap/>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xml:space="preserve">The recipient CA should inform the requestor of its action. </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noWrap/>
            <w:hideMark/>
          </w:tcPr>
          <w:p w:rsidR="00775514" w:rsidRPr="00775514"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[Using this space in the request]</w:t>
            </w: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val="en-GB" w:eastAsia="sl-SI"/>
              </w:rPr>
            </w:pPr>
          </w:p>
        </w:tc>
        <w:tc>
          <w:tcPr>
            <w:tcW w:w="8358" w:type="dxa"/>
            <w:vMerge w:val="restart"/>
            <w:noWrap/>
            <w:hideMark/>
          </w:tcPr>
          <w:p w:rsidR="00775514" w:rsidRPr="00CA7743" w:rsidRDefault="00775514" w:rsidP="00775514">
            <w:pPr>
              <w:rPr>
                <w:rFonts w:ascii="Arial" w:eastAsia="Times New Roman" w:hAnsi="Arial" w:cs="Arial"/>
                <w:color w:val="000000"/>
                <w:lang w:val="en-GB" w:eastAsia="sl-SI"/>
              </w:rPr>
            </w:pPr>
            <w:r w:rsidRPr="00775514">
              <w:rPr>
                <w:rFonts w:ascii="Arial" w:eastAsia="Times New Roman" w:hAnsi="Arial" w:cs="Arial"/>
                <w:color w:val="000000"/>
                <w:lang w:val="en-GB" w:eastAsia="sl-SI"/>
              </w:rPr>
              <w:t> </w:t>
            </w: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CA7743" w:rsidRDefault="00775514" w:rsidP="00775514">
            <w:pPr>
              <w:rPr>
                <w:rFonts w:ascii="Arial" w:eastAsia="Times New Roman" w:hAnsi="Arial" w:cs="Arial"/>
                <w:color w:val="000000"/>
                <w:lang w:val="en-GB" w:eastAsia="sl-SI"/>
              </w:rPr>
            </w:pPr>
          </w:p>
          <w:p w:rsidR="00775514" w:rsidRPr="00775514" w:rsidRDefault="00775514" w:rsidP="00775514">
            <w:pPr>
              <w:rPr>
                <w:rFonts w:ascii="Arial" w:eastAsia="Times New Roman" w:hAnsi="Arial" w:cs="Arial"/>
                <w:color w:val="000000"/>
                <w:lang w:val="en-GB" w:eastAsia="sl-SI"/>
              </w:rPr>
            </w:pP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eastAsia="sl-SI"/>
              </w:rPr>
            </w:pPr>
          </w:p>
        </w:tc>
        <w:tc>
          <w:tcPr>
            <w:tcW w:w="8358" w:type="dxa"/>
            <w:vMerge/>
            <w:hideMark/>
          </w:tcPr>
          <w:p w:rsidR="00775514" w:rsidRPr="00775514" w:rsidRDefault="00775514" w:rsidP="00775514">
            <w:pPr>
              <w:rPr>
                <w:rFonts w:ascii="Arial" w:eastAsia="Times New Roman" w:hAnsi="Arial" w:cs="Arial"/>
                <w:color w:val="000000"/>
                <w:lang w:eastAsia="sl-SI"/>
              </w:rPr>
            </w:pP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eastAsia="sl-SI"/>
              </w:rPr>
            </w:pPr>
          </w:p>
        </w:tc>
        <w:tc>
          <w:tcPr>
            <w:tcW w:w="8358" w:type="dxa"/>
            <w:vMerge/>
            <w:hideMark/>
          </w:tcPr>
          <w:p w:rsidR="00775514" w:rsidRPr="00775514" w:rsidRDefault="00775514" w:rsidP="00775514">
            <w:pPr>
              <w:rPr>
                <w:rFonts w:ascii="Arial" w:eastAsia="Times New Roman" w:hAnsi="Arial" w:cs="Arial"/>
                <w:color w:val="000000"/>
                <w:lang w:eastAsia="sl-SI"/>
              </w:rPr>
            </w:pP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eastAsia="sl-SI"/>
              </w:rPr>
            </w:pPr>
          </w:p>
        </w:tc>
        <w:tc>
          <w:tcPr>
            <w:tcW w:w="8358" w:type="dxa"/>
            <w:vMerge/>
            <w:hideMark/>
          </w:tcPr>
          <w:p w:rsidR="00775514" w:rsidRPr="00775514" w:rsidRDefault="00775514" w:rsidP="00775514">
            <w:pPr>
              <w:rPr>
                <w:rFonts w:ascii="Arial" w:eastAsia="Times New Roman" w:hAnsi="Arial" w:cs="Arial"/>
                <w:color w:val="000000"/>
                <w:lang w:eastAsia="sl-SI"/>
              </w:rPr>
            </w:pPr>
          </w:p>
        </w:tc>
      </w:tr>
      <w:tr w:rsidR="00775514" w:rsidRPr="00775514" w:rsidTr="00775514">
        <w:trPr>
          <w:trHeight w:val="285"/>
        </w:trPr>
        <w:tc>
          <w:tcPr>
            <w:tcW w:w="1242" w:type="dxa"/>
            <w:vMerge/>
            <w:hideMark/>
          </w:tcPr>
          <w:p w:rsidR="00775514" w:rsidRPr="00775514" w:rsidRDefault="00775514" w:rsidP="00775514">
            <w:pPr>
              <w:rPr>
                <w:rFonts w:ascii="Arial" w:eastAsia="Times New Roman" w:hAnsi="Arial" w:cs="Arial"/>
                <w:color w:val="000000"/>
                <w:lang w:eastAsia="sl-SI"/>
              </w:rPr>
            </w:pPr>
          </w:p>
        </w:tc>
        <w:tc>
          <w:tcPr>
            <w:tcW w:w="8358" w:type="dxa"/>
            <w:vMerge/>
            <w:hideMark/>
          </w:tcPr>
          <w:p w:rsidR="00775514" w:rsidRPr="00775514" w:rsidRDefault="00775514" w:rsidP="00775514">
            <w:pPr>
              <w:rPr>
                <w:rFonts w:ascii="Arial" w:eastAsia="Times New Roman" w:hAnsi="Arial" w:cs="Arial"/>
                <w:color w:val="000000"/>
                <w:lang w:eastAsia="sl-SI"/>
              </w:rPr>
            </w:pPr>
          </w:p>
        </w:tc>
      </w:tr>
    </w:tbl>
    <w:p w:rsidR="00831C0F" w:rsidRPr="00A27BC0" w:rsidRDefault="00831C0F" w:rsidP="00831C0F">
      <w:pPr>
        <w:rPr>
          <w:rFonts w:ascii="Arial" w:hAnsi="Arial" w:cs="Arial"/>
        </w:rPr>
      </w:pPr>
    </w:p>
    <w:sectPr w:rsidR="00831C0F" w:rsidRPr="00A27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0F"/>
    <w:rsid w:val="00534913"/>
    <w:rsid w:val="00775514"/>
    <w:rsid w:val="00831C0F"/>
    <w:rsid w:val="00A27BC0"/>
    <w:rsid w:val="00CA77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31C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31C0F"/>
    <w:pPr>
      <w:autoSpaceDE w:val="0"/>
      <w:autoSpaceDN w:val="0"/>
      <w:adjustRightInd w:val="0"/>
      <w:spacing w:after="0" w:line="240" w:lineRule="auto"/>
    </w:pPr>
    <w:rPr>
      <w:rFonts w:ascii="Calibri" w:hAnsi="Calibri" w:cs="Calibri"/>
      <w:color w:val="000000"/>
      <w:sz w:val="24"/>
      <w:szCs w:val="24"/>
    </w:rPr>
  </w:style>
  <w:style w:type="character" w:customStyle="1" w:styleId="Naslov1Znak">
    <w:name w:val="Naslov 1 Znak"/>
    <w:basedOn w:val="Privzetapisavaodstavka"/>
    <w:link w:val="Naslov1"/>
    <w:uiPriority w:val="9"/>
    <w:rsid w:val="00831C0F"/>
    <w:rPr>
      <w:rFonts w:asciiTheme="majorHAnsi" w:eastAsiaTheme="majorEastAsia" w:hAnsiTheme="majorHAnsi" w:cstheme="majorBidi"/>
      <w:b/>
      <w:bCs/>
      <w:color w:val="2E74B5" w:themeColor="accent1" w:themeShade="BF"/>
      <w:sz w:val="28"/>
      <w:szCs w:val="28"/>
    </w:rPr>
  </w:style>
  <w:style w:type="table" w:styleId="Tabelamrea">
    <w:name w:val="Table Grid"/>
    <w:basedOn w:val="Navadnatabela"/>
    <w:uiPriority w:val="39"/>
    <w:rsid w:val="00A2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831C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831C0F"/>
    <w:pPr>
      <w:autoSpaceDE w:val="0"/>
      <w:autoSpaceDN w:val="0"/>
      <w:adjustRightInd w:val="0"/>
      <w:spacing w:after="0" w:line="240" w:lineRule="auto"/>
    </w:pPr>
    <w:rPr>
      <w:rFonts w:ascii="Calibri" w:hAnsi="Calibri" w:cs="Calibri"/>
      <w:color w:val="000000"/>
      <w:sz w:val="24"/>
      <w:szCs w:val="24"/>
    </w:rPr>
  </w:style>
  <w:style w:type="character" w:customStyle="1" w:styleId="Naslov1Znak">
    <w:name w:val="Naslov 1 Znak"/>
    <w:basedOn w:val="Privzetapisavaodstavka"/>
    <w:link w:val="Naslov1"/>
    <w:uiPriority w:val="9"/>
    <w:rsid w:val="00831C0F"/>
    <w:rPr>
      <w:rFonts w:asciiTheme="majorHAnsi" w:eastAsiaTheme="majorEastAsia" w:hAnsiTheme="majorHAnsi" w:cstheme="majorBidi"/>
      <w:b/>
      <w:bCs/>
      <w:color w:val="2E74B5" w:themeColor="accent1" w:themeShade="BF"/>
      <w:sz w:val="28"/>
      <w:szCs w:val="28"/>
    </w:rPr>
  </w:style>
  <w:style w:type="table" w:styleId="Tabelamrea">
    <w:name w:val="Table Grid"/>
    <w:basedOn w:val="Navadnatabela"/>
    <w:uiPriority w:val="39"/>
    <w:rsid w:val="00A27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9801">
      <w:bodyDiv w:val="1"/>
      <w:marLeft w:val="0"/>
      <w:marRight w:val="0"/>
      <w:marTop w:val="0"/>
      <w:marBottom w:val="0"/>
      <w:divBdr>
        <w:top w:val="none" w:sz="0" w:space="0" w:color="auto"/>
        <w:left w:val="none" w:sz="0" w:space="0" w:color="auto"/>
        <w:bottom w:val="none" w:sz="0" w:space="0" w:color="auto"/>
        <w:right w:val="none" w:sz="0" w:space="0" w:color="auto"/>
      </w:divBdr>
    </w:div>
    <w:div w:id="169896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261</Words>
  <Characters>1494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Urava RS za Pomorstvo</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Primož Bajec</dc:creator>
  <cp:lastModifiedBy>Primož Bajec</cp:lastModifiedBy>
  <cp:revision>3</cp:revision>
  <dcterms:created xsi:type="dcterms:W3CDTF">2019-03-22T07:50:00Z</dcterms:created>
  <dcterms:modified xsi:type="dcterms:W3CDTF">2019-03-22T08:19:00Z</dcterms:modified>
</cp:coreProperties>
</file>