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7DBF" w14:textId="7A1292C3" w:rsidR="00BF2D2B" w:rsidRDefault="007E4EB5" w:rsidP="007E4EB5">
      <w:pPr>
        <w:widowControl w:val="0"/>
        <w:spacing w:after="200" w:line="280" w:lineRule="auto"/>
        <w:ind w:right="494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Skupna priporočila 8. cikla evropskega mladinskega dialoga -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YOUth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for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Europe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and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Europe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6"/>
          <w:szCs w:val="26"/>
        </w:rPr>
        <w:t>for</w:t>
      </w:r>
      <w:proofErr w:type="spellEnd"/>
      <w:r>
        <w:rPr>
          <w:rFonts w:ascii="Montserrat" w:eastAsia="Montserrat" w:hAnsi="Montserrat" w:cs="Montserrat"/>
          <w:b/>
          <w:sz w:val="26"/>
          <w:szCs w:val="26"/>
        </w:rPr>
        <w:t xml:space="preserve"> YOU</w:t>
      </w:r>
    </w:p>
    <w:p w14:paraId="5A47F123" w14:textId="77777777" w:rsidR="00BF2D2B" w:rsidRDefault="007E4EB5">
      <w:pPr>
        <w:widowControl w:val="0"/>
        <w:spacing w:after="200" w:line="280" w:lineRule="auto"/>
        <w:ind w:right="494"/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V Mariboru je med 26. in 30. septembrom 2021 potekala tretja in zadnja Evropska mladinska konferenca v okviru 8. cikla Evropskega mladinskega dialoga. Udeleženci so oblikovali sklop priporočil na podlagi rezultatov prejšnjih dveh konferenc 8. cikla v Nemčiji in na Portugalskem ter rezultatov kvalitativne in kvantitativne raziskave, opravljene v ciklu. </w:t>
      </w:r>
    </w:p>
    <w:p w14:paraId="14FAA329" w14:textId="77777777" w:rsidR="00BF2D2B" w:rsidRDefault="007E4EB5">
      <w:pPr>
        <w:widowControl w:val="0"/>
        <w:spacing w:after="200" w:line="280" w:lineRule="auto"/>
        <w:ind w:right="494"/>
        <w:jc w:val="both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Priporočila so razdeljena na sedem razdelkov, ki temeljijo na sedmih ciljih 9. Evropskega mladinskega cilja »Prostor in participacija za vse«.</w:t>
      </w:r>
    </w:p>
    <w:tbl>
      <w:tblPr>
        <w:tblStyle w:val="a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5CFF22DD" w14:textId="77777777">
        <w:trPr>
          <w:trHeight w:val="32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0E65" w14:textId="77777777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1: »Zagotavljanje vpliva mladih na odločanje«</w:t>
            </w:r>
          </w:p>
        </w:tc>
      </w:tr>
    </w:tbl>
    <w:p w14:paraId="42E960F6" w14:textId="77777777" w:rsidR="00BF2D2B" w:rsidRDefault="00BF2D2B">
      <w:pPr>
        <w:widowControl w:val="0"/>
      </w:pPr>
    </w:p>
    <w:p w14:paraId="0E398DB2" w14:textId="77777777" w:rsidR="00BF2D2B" w:rsidRDefault="00BF2D2B">
      <w:pPr>
        <w:widowControl w:val="0"/>
      </w:pPr>
    </w:p>
    <w:p w14:paraId="50FD8E59" w14:textId="0C043FE2" w:rsidR="00BF2D2B" w:rsidRDefault="007E4EB5">
      <w:pPr>
        <w:widowControl w:val="0"/>
        <w:spacing w:line="280" w:lineRule="auto"/>
        <w:ind w:left="1091" w:right="490" w:hanging="36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A. </w:t>
      </w:r>
      <w:r w:rsidR="00EE0CCA">
        <w:rPr>
          <w:rFonts w:ascii="Montserrat" w:eastAsia="Montserrat" w:hAnsi="Montserrat" w:cs="Montserrat"/>
          <w:sz w:val="24"/>
          <w:szCs w:val="24"/>
        </w:rPr>
        <w:t>Predlagamo</w:t>
      </w:r>
      <w:r>
        <w:rPr>
          <w:rFonts w:ascii="Montserrat" w:eastAsia="Montserrat" w:hAnsi="Montserrat" w:cs="Montserrat"/>
          <w:sz w:val="24"/>
          <w:szCs w:val="24"/>
        </w:rPr>
        <w:t>, da tako države članice kot Evropska komisija mladim vedno dajejo konkretne povratne informacije in zagotovijo proces medsebojnega ocenjevanja, kadar koli jih vključijo v proces odl</w:t>
      </w:r>
      <w:bookmarkStart w:id="0" w:name="_GoBack"/>
      <w:bookmarkEnd w:id="0"/>
      <w:r>
        <w:rPr>
          <w:rFonts w:ascii="Montserrat" w:eastAsia="Montserrat" w:hAnsi="Montserrat" w:cs="Montserrat"/>
          <w:sz w:val="24"/>
          <w:szCs w:val="24"/>
        </w:rPr>
        <w:t>očanja</w:t>
      </w:r>
      <w:r w:rsidR="00EE0CCA">
        <w:rPr>
          <w:rFonts w:ascii="Montserrat" w:eastAsia="Montserrat" w:hAnsi="Montserrat" w:cs="Montserrat"/>
          <w:sz w:val="24"/>
          <w:szCs w:val="24"/>
        </w:rPr>
        <w:t xml:space="preserve">, z namenom, </w:t>
      </w:r>
      <w:r>
        <w:rPr>
          <w:rFonts w:ascii="Montserrat" w:eastAsia="Montserrat" w:hAnsi="Montserrat" w:cs="Montserrat"/>
          <w:sz w:val="24"/>
          <w:szCs w:val="24"/>
        </w:rPr>
        <w:t xml:space="preserve">da </w:t>
      </w:r>
      <w:r w:rsidR="00EE0CCA">
        <w:rPr>
          <w:rFonts w:ascii="Montserrat" w:eastAsia="Montserrat" w:hAnsi="Montserrat" w:cs="Montserrat"/>
          <w:sz w:val="24"/>
          <w:szCs w:val="24"/>
        </w:rPr>
        <w:t>zagotovijo</w:t>
      </w:r>
      <w:r>
        <w:rPr>
          <w:rFonts w:ascii="Montserrat" w:eastAsia="Montserrat" w:hAnsi="Montserrat" w:cs="Montserrat"/>
          <w:sz w:val="24"/>
          <w:szCs w:val="24"/>
        </w:rPr>
        <w:t xml:space="preserve">, da je udeležba resnična. </w:t>
      </w:r>
    </w:p>
    <w:p w14:paraId="2A4ADE60" w14:textId="77777777" w:rsidR="00BF2D2B" w:rsidRDefault="007E4EB5">
      <w:pPr>
        <w:widowControl w:val="0"/>
        <w:spacing w:before="352" w:after="200" w:line="280" w:lineRule="auto"/>
        <w:ind w:left="1096" w:right="502" w:hanging="33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B. Državam članicam priporočamo, da sprejmejo ali nadalje razvijajo zakonodajo za zagotavljanje trajnostnih sistemov soupravljanja mladih v procesih odločanja in oblikovanja politik na nacionalni in lokalni ravni, med drugim za zaščito in širitev civilnih prostorov mladih. </w:t>
      </w:r>
    </w:p>
    <w:tbl>
      <w:tblPr>
        <w:tblStyle w:val="a0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18843C1C" w14:textId="77777777">
        <w:trPr>
          <w:trHeight w:val="34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CDE3" w14:textId="73D0A128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 xml:space="preserve">Cilj 2: »Zagotavljanje enakega dostopa do </w:t>
            </w:r>
            <w:r w:rsidR="00CE3F9E"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participacije</w:t>
            </w: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«</w:t>
            </w:r>
          </w:p>
        </w:tc>
      </w:tr>
    </w:tbl>
    <w:p w14:paraId="2402ABF5" w14:textId="77777777" w:rsidR="00BF2D2B" w:rsidRDefault="00BF2D2B">
      <w:pPr>
        <w:widowControl w:val="0"/>
      </w:pPr>
    </w:p>
    <w:p w14:paraId="158B88CF" w14:textId="77777777" w:rsidR="00BF2D2B" w:rsidRDefault="00BF2D2B">
      <w:pPr>
        <w:widowControl w:val="0"/>
      </w:pPr>
    </w:p>
    <w:p w14:paraId="250C2685" w14:textId="2EB4AE44" w:rsidR="00BF2D2B" w:rsidRDefault="007E4EB5">
      <w:pPr>
        <w:widowControl w:val="0"/>
        <w:spacing w:line="280" w:lineRule="auto"/>
        <w:ind w:left="1094" w:right="496" w:hanging="363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sz w:val="24"/>
          <w:szCs w:val="24"/>
        </w:rPr>
        <w:t xml:space="preserve">Državam članicam in Evropski komisiji priporočamo, da povečajo raznolikost v strukturah </w:t>
      </w:r>
      <w:proofErr w:type="spellStart"/>
      <w:r w:rsidR="00CE3F9E">
        <w:rPr>
          <w:rFonts w:ascii="Montserrat" w:eastAsia="Montserrat" w:hAnsi="Montserrat" w:cs="Montserrat"/>
          <w:sz w:val="24"/>
          <w:szCs w:val="24"/>
        </w:rPr>
        <w:t>participiranja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in odpravijo pomanjkanje vključenosti z zagotavljanjem lahko dostopnih informacij za manjšinske skupine. </w:t>
      </w:r>
    </w:p>
    <w:p w14:paraId="5E2E946E" w14:textId="21C1B85A" w:rsidR="00BF2D2B" w:rsidRDefault="007E4EB5">
      <w:pPr>
        <w:widowControl w:val="0"/>
        <w:spacing w:before="349" w:after="200" w:line="280" w:lineRule="auto"/>
        <w:ind w:left="1101" w:right="504" w:hanging="34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B. </w:t>
      </w:r>
      <w:r>
        <w:rPr>
          <w:rFonts w:ascii="Montserrat" w:eastAsia="Montserrat" w:hAnsi="Montserrat" w:cs="Montserrat"/>
          <w:sz w:val="24"/>
          <w:szCs w:val="24"/>
        </w:rPr>
        <w:t xml:space="preserve">Spodbujamo vse države članice, naj podprejo lokalne </w:t>
      </w:r>
      <w:r w:rsidR="00CE3F9E">
        <w:rPr>
          <w:rFonts w:ascii="Montserrat" w:eastAsia="Montserrat" w:hAnsi="Montserrat" w:cs="Montserrat"/>
          <w:sz w:val="24"/>
          <w:szCs w:val="24"/>
        </w:rPr>
        <w:t xml:space="preserve">deležnike </w:t>
      </w:r>
      <w:r>
        <w:rPr>
          <w:rFonts w:ascii="Montserrat" w:eastAsia="Montserrat" w:hAnsi="Montserrat" w:cs="Montserrat"/>
          <w:sz w:val="24"/>
          <w:szCs w:val="24"/>
        </w:rPr>
        <w:t xml:space="preserve">pri zagotavljanju obšolskih dejavnosti za mlade z manj priložnostmi. </w:t>
      </w:r>
    </w:p>
    <w:tbl>
      <w:tblPr>
        <w:tblStyle w:val="a1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14C876CC" w14:textId="77777777">
        <w:trPr>
          <w:trHeight w:val="66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312E" w14:textId="22475FB0" w:rsidR="00BF2D2B" w:rsidRDefault="007E4EB5">
            <w:pPr>
              <w:widowControl w:val="0"/>
              <w:spacing w:line="243" w:lineRule="auto"/>
              <w:ind w:left="148" w:right="37" w:hanging="17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3: „</w:t>
            </w:r>
            <w:r w:rsidR="00CE3F9E"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Participacija</w:t>
            </w: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 xml:space="preserve"> na volitvah in zastopanje v izvoljenih organih“</w:t>
            </w:r>
          </w:p>
        </w:tc>
      </w:tr>
    </w:tbl>
    <w:p w14:paraId="698235B7" w14:textId="77777777" w:rsidR="00BF2D2B" w:rsidRDefault="00BF2D2B">
      <w:pPr>
        <w:widowControl w:val="0"/>
      </w:pPr>
    </w:p>
    <w:p w14:paraId="4353A3DE" w14:textId="77777777" w:rsidR="00BF2D2B" w:rsidRDefault="00BF2D2B">
      <w:pPr>
        <w:widowControl w:val="0"/>
      </w:pPr>
    </w:p>
    <w:p w14:paraId="7AC2552F" w14:textId="7B204268" w:rsidR="00BF2D2B" w:rsidRDefault="007E4EB5">
      <w:pPr>
        <w:widowControl w:val="0"/>
        <w:spacing w:line="280" w:lineRule="auto"/>
        <w:ind w:left="1090" w:right="491" w:hanging="359"/>
        <w:jc w:val="both"/>
        <w:rPr>
          <w:rFonts w:ascii="Montserrat" w:eastAsia="Montserrat" w:hAnsi="Montserrat" w:cs="Montserrat"/>
          <w:color w:val="292F33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Spodbujamo države članice, da v sodelovanju z lokalnimi mladinskimi centri in nacionalnimi mladinskimi sveti vzpostavijo simboličen postopek glasovanja na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evropski ravni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 za volitve v Evropski parlament za starostne </w:t>
      </w:r>
      <w:r>
        <w:rPr>
          <w:rFonts w:ascii="Montserrat" w:eastAsia="Montserrat" w:hAnsi="Montserrat" w:cs="Montserrat"/>
          <w:color w:val="292F33"/>
          <w:sz w:val="24"/>
          <w:szCs w:val="24"/>
        </w:rPr>
        <w:lastRenderedPageBreak/>
        <w:t xml:space="preserve">skupine, ki jim še ni dovoljeno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 xml:space="preserve">voliti, z namenom, da bi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mlajše od trenutno zakonite volilne starosti, spodbudili k aktivnemu sodelovanju v procesih političnega odločanja in s tem okrepili kulturo prepoznavanja mnenja mladih v politiki. </w:t>
      </w:r>
    </w:p>
    <w:p w14:paraId="0C4AEE9A" w14:textId="6446834A" w:rsidR="00BF2D2B" w:rsidRDefault="007E4EB5">
      <w:pPr>
        <w:widowControl w:val="0"/>
        <w:spacing w:before="352" w:line="280" w:lineRule="auto"/>
        <w:ind w:left="1084" w:right="499" w:hanging="326"/>
        <w:jc w:val="both"/>
        <w:rPr>
          <w:rFonts w:ascii="Montserrat" w:eastAsia="Montserrat" w:hAnsi="Montserrat" w:cs="Montserrat"/>
          <w:color w:val="292F33"/>
          <w:sz w:val="24"/>
          <w:szCs w:val="24"/>
        </w:rPr>
      </w:pP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B. </w:t>
      </w:r>
      <w:r>
        <w:rPr>
          <w:rFonts w:ascii="Montserrat" w:eastAsia="Montserrat" w:hAnsi="Montserrat" w:cs="Montserrat"/>
          <w:sz w:val="24"/>
          <w:szCs w:val="24"/>
        </w:rPr>
        <w:t xml:space="preserve">Evropski komisiji in državam članicam priporočamo, da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>razvijejo strategije za podporo mladi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h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, ki bi radi kandidirali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na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 lokalni, nacionalni in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evropski ravni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, z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 xml:space="preserve">razvijanjem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>mladim prijazne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, evropske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 platforme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, namenjene tistim, ki želijo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 kandidirati na volitvah in z zagotavljanjem gradiva za nadaljnji razvoj podobnih struktur za nacionalne volitve. </w:t>
      </w:r>
    </w:p>
    <w:p w14:paraId="31B04D9B" w14:textId="492DB888" w:rsidR="00BF2D2B" w:rsidRDefault="007E4EB5">
      <w:pPr>
        <w:widowControl w:val="0"/>
        <w:spacing w:before="352" w:line="280" w:lineRule="auto"/>
        <w:ind w:left="1101" w:right="494" w:hanging="358"/>
        <w:jc w:val="both"/>
        <w:rPr>
          <w:rFonts w:ascii="Montserrat" w:eastAsia="Montserrat" w:hAnsi="Montserrat" w:cs="Montserrat"/>
          <w:color w:val="292F33"/>
          <w:sz w:val="24"/>
          <w:szCs w:val="24"/>
        </w:rPr>
      </w:pP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C. </w:t>
      </w:r>
      <w:r>
        <w:rPr>
          <w:rFonts w:ascii="Montserrat" w:eastAsia="Montserrat" w:hAnsi="Montserrat" w:cs="Montserrat"/>
          <w:sz w:val="24"/>
          <w:szCs w:val="24"/>
        </w:rPr>
        <w:t xml:space="preserve">Državam članicam priporočamo, da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zagotovijo kakovostno državljansko izobraževanje v šolah za vse mlade v vsaki državi članici in sprejmejo skupni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 xml:space="preserve">evropski </w:t>
      </w:r>
      <w:r>
        <w:rPr>
          <w:rFonts w:ascii="Montserrat" w:eastAsia="Montserrat" w:hAnsi="Montserrat" w:cs="Montserrat"/>
          <w:color w:val="292F33"/>
          <w:sz w:val="24"/>
          <w:szCs w:val="24"/>
        </w:rPr>
        <w:t>okvi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r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, da bodo mladi prepričani v svojo sposobnost smiselne in reprezentativne politične </w:t>
      </w:r>
      <w:r w:rsidR="00CE3F9E">
        <w:rPr>
          <w:rFonts w:ascii="Montserrat" w:eastAsia="Montserrat" w:hAnsi="Montserrat" w:cs="Montserrat"/>
          <w:color w:val="292F33"/>
          <w:sz w:val="24"/>
          <w:szCs w:val="24"/>
        </w:rPr>
        <w:t>participacije</w:t>
      </w: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. </w:t>
      </w:r>
    </w:p>
    <w:p w14:paraId="539E0DF9" w14:textId="27264125" w:rsidR="00BF2D2B" w:rsidRDefault="007E4EB5">
      <w:pPr>
        <w:widowControl w:val="0"/>
        <w:spacing w:before="352" w:after="200" w:line="280" w:lineRule="auto"/>
        <w:ind w:left="1094" w:right="500" w:hanging="33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color w:val="292F33"/>
          <w:sz w:val="24"/>
          <w:szCs w:val="24"/>
        </w:rPr>
        <w:t xml:space="preserve">D. </w:t>
      </w:r>
      <w:r>
        <w:rPr>
          <w:rFonts w:ascii="Montserrat" w:eastAsia="Montserrat" w:hAnsi="Montserrat" w:cs="Montserrat"/>
          <w:sz w:val="24"/>
          <w:szCs w:val="24"/>
        </w:rPr>
        <w:t>Evropski komisiji in državam članicam priporočamo, naj okrepijo verodostojnost političnih institucij in jih spodbujajo, da svoja dejanja temeljijo na znanstvenih dejstvih, da bi koristili celotni družbi</w:t>
      </w:r>
      <w:r w:rsidR="00CE3F9E">
        <w:rPr>
          <w:rFonts w:ascii="Montserrat" w:eastAsia="Montserrat" w:hAnsi="Montserrat" w:cs="Montserrat"/>
          <w:sz w:val="24"/>
          <w:szCs w:val="24"/>
        </w:rPr>
        <w:t xml:space="preserve"> in s</w:t>
      </w:r>
      <w:r>
        <w:rPr>
          <w:rFonts w:ascii="Montserrat" w:eastAsia="Montserrat" w:hAnsi="Montserrat" w:cs="Montserrat"/>
          <w:sz w:val="24"/>
          <w:szCs w:val="24"/>
        </w:rPr>
        <w:t xml:space="preserve">e izognili razočaranju mladih nad odločanjem in politiko. </w:t>
      </w:r>
    </w:p>
    <w:tbl>
      <w:tblPr>
        <w:tblStyle w:val="a2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77027A81" w14:textId="77777777">
        <w:trPr>
          <w:trHeight w:val="32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DB0D" w14:textId="77777777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4: »Zagotavljanje fizičnih prostorov za mlade«</w:t>
            </w:r>
          </w:p>
        </w:tc>
      </w:tr>
    </w:tbl>
    <w:p w14:paraId="35229F93" w14:textId="77777777" w:rsidR="00BF2D2B" w:rsidRDefault="00BF2D2B">
      <w:pPr>
        <w:widowControl w:val="0"/>
      </w:pPr>
    </w:p>
    <w:p w14:paraId="0C5095DC" w14:textId="77777777" w:rsidR="00BF2D2B" w:rsidRDefault="00BF2D2B">
      <w:pPr>
        <w:widowControl w:val="0"/>
      </w:pPr>
    </w:p>
    <w:p w14:paraId="0A91C908" w14:textId="77777777" w:rsidR="00BF2D2B" w:rsidRDefault="007E4EB5">
      <w:pPr>
        <w:widowControl w:val="0"/>
        <w:spacing w:line="280" w:lineRule="auto"/>
        <w:ind w:left="1094" w:right="497" w:hanging="363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sz w:val="24"/>
          <w:szCs w:val="24"/>
        </w:rPr>
        <w:t xml:space="preserve">Evropski komisiji in državam članicam priporočamo, da ozaveščajo in spodbujajo možnosti financiranja, ki so usmerjene v ustvarjanje in ohranjanje fizičnih prostorov za mlade. </w:t>
      </w:r>
    </w:p>
    <w:p w14:paraId="15D9DC8D" w14:textId="019DF21A" w:rsidR="00BF2D2B" w:rsidRDefault="007E4EB5">
      <w:pPr>
        <w:widowControl w:val="0"/>
        <w:spacing w:before="348" w:line="280" w:lineRule="auto"/>
        <w:ind w:left="1084" w:right="505" w:hanging="32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B. Države članice vabimo, da spremenijo izobraževalne politike na nacionalni ravni in zagotovijo sisteme spremljanja po vsej EU za ustvarjanje in spodbujanje mladim prijaznih</w:t>
      </w:r>
      <w:r w:rsidR="00CE3F9E">
        <w:rPr>
          <w:rFonts w:ascii="Montserrat" w:eastAsia="Montserrat" w:hAnsi="Montserrat" w:cs="Montserrat"/>
          <w:sz w:val="24"/>
          <w:szCs w:val="24"/>
        </w:rPr>
        <w:t>,</w:t>
      </w:r>
      <w:r>
        <w:rPr>
          <w:rFonts w:ascii="Montserrat" w:eastAsia="Montserrat" w:hAnsi="Montserrat" w:cs="Montserrat"/>
          <w:sz w:val="24"/>
          <w:szCs w:val="24"/>
        </w:rPr>
        <w:t xml:space="preserve"> varnih prostorov in pobud. </w:t>
      </w:r>
    </w:p>
    <w:p w14:paraId="1E5DD078" w14:textId="7C750F38" w:rsidR="00BF2D2B" w:rsidRDefault="007E4EB5" w:rsidP="00CE3F9E">
      <w:pPr>
        <w:widowControl w:val="0"/>
        <w:spacing w:before="351" w:line="280" w:lineRule="auto"/>
        <w:ind w:left="1084" w:right="500" w:hanging="34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C. </w:t>
      </w:r>
      <w:r>
        <w:rPr>
          <w:rFonts w:ascii="Montserrat" w:eastAsia="Montserrat" w:hAnsi="Montserrat" w:cs="Montserrat"/>
          <w:sz w:val="24"/>
          <w:szCs w:val="24"/>
        </w:rPr>
        <w:t xml:space="preserve">Evropski komisiji in državam članicam priporočamo, da uvedejo </w:t>
      </w:r>
      <w:r w:rsidR="00CE3F9E">
        <w:rPr>
          <w:rFonts w:ascii="Montserrat" w:eastAsia="Montserrat" w:hAnsi="Montserrat" w:cs="Montserrat"/>
          <w:sz w:val="24"/>
          <w:szCs w:val="24"/>
        </w:rPr>
        <w:t>nadzorovanje</w:t>
      </w:r>
      <w:r>
        <w:rPr>
          <w:rFonts w:ascii="Montserrat" w:eastAsia="Montserrat" w:hAnsi="Montserrat" w:cs="Montserrat"/>
          <w:sz w:val="24"/>
          <w:szCs w:val="24"/>
        </w:rPr>
        <w:t xml:space="preserve"> varovanja fizičnih civilnih prostorov za mlade, da bi zagotovili pravice mladih do varovanja</w:t>
      </w:r>
      <w:r w:rsidR="00CE3F9E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 xml:space="preserve">svojih fizičnih prostorov pred različnimi grožnjami, kot so komercializacija in naraščajoče najemnine. </w:t>
      </w:r>
    </w:p>
    <w:p w14:paraId="10135C5F" w14:textId="77777777" w:rsidR="00BF2D2B" w:rsidRDefault="007E4EB5">
      <w:pPr>
        <w:widowControl w:val="0"/>
        <w:spacing w:before="352" w:after="200" w:line="280" w:lineRule="auto"/>
        <w:ind w:left="1094" w:right="497" w:hanging="33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D. Evropski komisiji in državam članicam priporočamo, da naredijo fizične prostore za mlade izčrpne in dostopne z zagotavljanjem mladim prijaznejših in dostopnejših informacij o njih. </w:t>
      </w:r>
    </w:p>
    <w:tbl>
      <w:tblPr>
        <w:tblStyle w:val="a3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007B1743" w14:textId="77777777">
        <w:trPr>
          <w:trHeight w:val="34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54A5" w14:textId="77777777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5: »Zagotavljanje digitaliziranih prostorov za mlade«</w:t>
            </w:r>
          </w:p>
        </w:tc>
      </w:tr>
    </w:tbl>
    <w:p w14:paraId="0D38063D" w14:textId="77777777" w:rsidR="00BF2D2B" w:rsidRDefault="00BF2D2B">
      <w:pPr>
        <w:widowControl w:val="0"/>
      </w:pPr>
    </w:p>
    <w:p w14:paraId="3953FBAC" w14:textId="77777777" w:rsidR="00BF2D2B" w:rsidRDefault="00BF2D2B">
      <w:pPr>
        <w:widowControl w:val="0"/>
      </w:pPr>
    </w:p>
    <w:p w14:paraId="65EACC96" w14:textId="2CB07703" w:rsidR="00BF2D2B" w:rsidRDefault="007E4EB5">
      <w:pPr>
        <w:widowControl w:val="0"/>
        <w:spacing w:line="280" w:lineRule="auto"/>
        <w:ind w:left="1091" w:right="499" w:hanging="36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sz w:val="24"/>
          <w:szCs w:val="24"/>
        </w:rPr>
        <w:t xml:space="preserve">Spodbujamo države članice, da zagotovijo minimalni digitalni </w:t>
      </w:r>
      <w:r w:rsidR="004C038E">
        <w:rPr>
          <w:rFonts w:ascii="Montserrat" w:eastAsia="Montserrat" w:hAnsi="Montserrat" w:cs="Montserrat"/>
          <w:sz w:val="24"/>
          <w:szCs w:val="24"/>
        </w:rPr>
        <w:t xml:space="preserve">infrastrukturni </w:t>
      </w:r>
      <w:r>
        <w:rPr>
          <w:rFonts w:ascii="Montserrat" w:eastAsia="Montserrat" w:hAnsi="Montserrat" w:cs="Montserrat"/>
          <w:sz w:val="24"/>
          <w:szCs w:val="24"/>
        </w:rPr>
        <w:t xml:space="preserve">standard po vsej Evropi, ki vključuje brezplačen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wifi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/internet in osnovna digitalna orodja, ki jih bodo uporabljali mladi. </w:t>
      </w:r>
    </w:p>
    <w:p w14:paraId="0EE1CA46" w14:textId="77777777" w:rsidR="004C038E" w:rsidRDefault="007E4EB5" w:rsidP="004C038E">
      <w:pPr>
        <w:widowControl w:val="0"/>
        <w:spacing w:before="348" w:line="280" w:lineRule="auto"/>
        <w:ind w:left="1094" w:right="490" w:hanging="336"/>
        <w:jc w:val="both"/>
      </w:pPr>
      <w:r>
        <w:rPr>
          <w:rFonts w:ascii="Montserrat" w:eastAsia="Montserrat" w:hAnsi="Montserrat" w:cs="Montserrat"/>
          <w:sz w:val="24"/>
          <w:szCs w:val="24"/>
        </w:rPr>
        <w:t xml:space="preserve">B. Evropsko komisijo spodbujamo, da nameni posebna sredstva mladinskemu sektorju za opolnomočenje in izobraževanje mladih pri razvoju digitalnih veščin s posebnim poudarkom na mladih z manj priložnostmi. </w:t>
      </w:r>
    </w:p>
    <w:p w14:paraId="4B25F2F8" w14:textId="181C647D" w:rsidR="00BF2D2B" w:rsidRDefault="007E4EB5" w:rsidP="004C038E">
      <w:pPr>
        <w:widowControl w:val="0"/>
        <w:spacing w:before="348" w:line="280" w:lineRule="auto"/>
        <w:ind w:left="1094" w:right="490" w:hanging="33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C. Evropski komisiji priporočamo, da na evropski ravni razvije </w:t>
      </w:r>
      <w:r w:rsidR="004C038E">
        <w:rPr>
          <w:rFonts w:ascii="Montserrat" w:eastAsia="Montserrat" w:hAnsi="Montserrat" w:cs="Montserrat"/>
          <w:sz w:val="24"/>
          <w:szCs w:val="24"/>
        </w:rPr>
        <w:t>sistem</w:t>
      </w:r>
      <w:r>
        <w:rPr>
          <w:rFonts w:ascii="Montserrat" w:eastAsia="Montserrat" w:hAnsi="Montserrat" w:cs="Montserrat"/>
          <w:sz w:val="24"/>
          <w:szCs w:val="24"/>
        </w:rPr>
        <w:t xml:space="preserve">, ki bo meril prijaznost virtualnih prostorov </w:t>
      </w:r>
      <w:r w:rsidR="004C038E">
        <w:rPr>
          <w:rFonts w:ascii="Montserrat" w:eastAsia="Montserrat" w:hAnsi="Montserrat" w:cs="Montserrat"/>
          <w:sz w:val="24"/>
          <w:szCs w:val="24"/>
        </w:rPr>
        <w:t>za mlade</w:t>
      </w:r>
      <w:r>
        <w:rPr>
          <w:rFonts w:ascii="Montserrat" w:eastAsia="Montserrat" w:hAnsi="Montserrat" w:cs="Montserrat"/>
          <w:sz w:val="24"/>
          <w:szCs w:val="24"/>
        </w:rPr>
        <w:t xml:space="preserve">, tako da bodo lahko obstoječi prostori in orodja dobili jasne in posodobljene smernice o dostopni uporabi jezika in centraliziranju informacij, da bi odstraniti ovire za aktivno vključevanje mladih v družbene in politične procese. </w:t>
      </w:r>
    </w:p>
    <w:p w14:paraId="09E6E5D8" w14:textId="77777777" w:rsidR="00BF2D2B" w:rsidRDefault="007E4EB5">
      <w:pPr>
        <w:widowControl w:val="0"/>
        <w:spacing w:before="352" w:after="200" w:line="280" w:lineRule="auto"/>
        <w:ind w:left="1068" w:right="463" w:hanging="31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D. Priporočamo, da države članice pooblastijo vzgojitelje v formalnih in neformalnih sektorjih, da zagotovijo mladim kompetence in orodja, ki so potrebna za zaščito pred napačnimi informacijami in sovražnim govorom v virtualnih prostorih s spodbujanjem njihove sposobnosti za objektivno presojo. </w:t>
      </w:r>
    </w:p>
    <w:tbl>
      <w:tblPr>
        <w:tblStyle w:val="a4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446B2456" w14:textId="77777777">
        <w:trPr>
          <w:trHeight w:val="32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976" w14:textId="77777777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6: »Zagotavljanje trajnostnega financiranja za sodelovanje mladih«</w:t>
            </w:r>
          </w:p>
        </w:tc>
      </w:tr>
    </w:tbl>
    <w:p w14:paraId="5D5DC371" w14:textId="77777777" w:rsidR="00BF2D2B" w:rsidRDefault="00BF2D2B">
      <w:pPr>
        <w:widowControl w:val="0"/>
      </w:pPr>
    </w:p>
    <w:p w14:paraId="711FBBD6" w14:textId="77777777" w:rsidR="00BF2D2B" w:rsidRDefault="00BF2D2B">
      <w:pPr>
        <w:widowControl w:val="0"/>
      </w:pPr>
    </w:p>
    <w:p w14:paraId="6975EF42" w14:textId="77777777" w:rsidR="00BF2D2B" w:rsidRDefault="007E4EB5">
      <w:pPr>
        <w:widowControl w:val="0"/>
        <w:spacing w:line="280" w:lineRule="auto"/>
        <w:ind w:left="1091" w:right="491" w:hanging="36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sz w:val="24"/>
          <w:szCs w:val="24"/>
        </w:rPr>
        <w:t>Priporočamo, da države članice zagotovijo večjo prepoznavnost mladinskega dela s povečanjem njegove dostopnosti (zlasti s spodbudami za mobilno mladinsko delo na podeželju in oddaljenih območjih ter z manj dostopnimi</w:t>
      </w:r>
    </w:p>
    <w:p w14:paraId="6C68B42E" w14:textId="1447C044" w:rsidR="00BF2D2B" w:rsidRDefault="007E4EB5">
      <w:pPr>
        <w:widowControl w:val="0"/>
        <w:spacing w:line="280" w:lineRule="auto"/>
        <w:ind w:left="1101" w:right="500" w:hanging="1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mladimi) in njegovo prepoznavnostjo (s formalnim priznanjem poklica, aktivnim partnerstvom s formalnim izobraževanjem in lokalnimi akterji). </w:t>
      </w:r>
    </w:p>
    <w:p w14:paraId="07D5368F" w14:textId="77777777" w:rsidR="00BF2D2B" w:rsidRDefault="007E4EB5">
      <w:pPr>
        <w:widowControl w:val="0"/>
        <w:spacing w:before="351" w:line="280" w:lineRule="auto"/>
        <w:ind w:left="1101" w:right="502" w:hanging="34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B. </w:t>
      </w:r>
      <w:r>
        <w:rPr>
          <w:rFonts w:ascii="Montserrat" w:eastAsia="Montserrat" w:hAnsi="Montserrat" w:cs="Montserrat"/>
          <w:sz w:val="24"/>
          <w:szCs w:val="24"/>
        </w:rPr>
        <w:t xml:space="preserve">Državam članicam priporočamo, da utrdijo položaj in vlogo mladinskega dela v družbenih zadevah (partnerstva v lokalnih iniciativah, dogodkih, tekmovanjih in projektih) in si zagotovijo njegovo družbeno priznanje (valorizacija mladinskega dela). </w:t>
      </w:r>
    </w:p>
    <w:p w14:paraId="199ACA84" w14:textId="77777777" w:rsidR="00BF2D2B" w:rsidRDefault="007E4EB5">
      <w:pPr>
        <w:widowControl w:val="0"/>
        <w:spacing w:before="350" w:after="200" w:line="280" w:lineRule="auto"/>
        <w:ind w:left="1094" w:right="493" w:hanging="35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C. Priporočamo, da države članice in Evropska komisija podprejo in se zavežejo k oblikovanju splošnega načrta za oživitev mladih v EU s posebnimi ukrepi na evropski, nacionalni in lokalni ravni, ki se osredotočajo na mladinsko delo in sodelovanje mladih, da bi premagali težave, ki jih je pandemija še povečala. </w:t>
      </w:r>
    </w:p>
    <w:tbl>
      <w:tblPr>
        <w:tblStyle w:val="a5"/>
        <w:tblW w:w="9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0"/>
      </w:tblGrid>
      <w:tr w:rsidR="00BF2D2B" w14:paraId="63B08A46" w14:textId="77777777">
        <w:trPr>
          <w:trHeight w:val="340"/>
        </w:trPr>
        <w:tc>
          <w:tcPr>
            <w:tcW w:w="9940" w:type="dxa"/>
            <w:shd w:val="clear" w:color="auto" w:fill="242E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F721" w14:textId="77777777" w:rsidR="00BF2D2B" w:rsidRDefault="007E4EB5">
            <w:pPr>
              <w:widowControl w:val="0"/>
              <w:spacing w:line="240" w:lineRule="auto"/>
              <w:ind w:left="131"/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6"/>
                <w:szCs w:val="26"/>
                <w:shd w:val="clear" w:color="auto" w:fill="242E40"/>
              </w:rPr>
              <w:t>Cilj 7: »Zagotavljanje mladim prijaznih, ustreznih informacij«</w:t>
            </w:r>
          </w:p>
        </w:tc>
      </w:tr>
    </w:tbl>
    <w:p w14:paraId="06B57EBE" w14:textId="77777777" w:rsidR="00BF2D2B" w:rsidRDefault="00BF2D2B">
      <w:pPr>
        <w:widowControl w:val="0"/>
      </w:pPr>
    </w:p>
    <w:p w14:paraId="7BCBF44B" w14:textId="77777777" w:rsidR="00BF2D2B" w:rsidRDefault="00BF2D2B">
      <w:pPr>
        <w:widowControl w:val="0"/>
      </w:pPr>
    </w:p>
    <w:p w14:paraId="5A67E711" w14:textId="0FA9A19E" w:rsidR="00BF2D2B" w:rsidRDefault="007E4EB5">
      <w:pPr>
        <w:widowControl w:val="0"/>
        <w:spacing w:line="280" w:lineRule="auto"/>
        <w:ind w:left="1101" w:right="490" w:hanging="37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A. </w:t>
      </w:r>
      <w:r>
        <w:rPr>
          <w:rFonts w:ascii="Montserrat" w:eastAsia="Montserrat" w:hAnsi="Montserrat" w:cs="Montserrat"/>
          <w:sz w:val="24"/>
          <w:szCs w:val="24"/>
        </w:rPr>
        <w:t>Priporočamo, da države članice uvedejo redne ure medijske in informacijske pismenosti v osnovnem in srednješolskem izobraževanju v nacionalne kurikul</w:t>
      </w:r>
      <w:r w:rsidR="009E2B73">
        <w:rPr>
          <w:rFonts w:ascii="Montserrat" w:eastAsia="Montserrat" w:hAnsi="Montserrat" w:cs="Montserrat"/>
          <w:sz w:val="24"/>
          <w:szCs w:val="24"/>
        </w:rPr>
        <w:t>ume</w:t>
      </w:r>
      <w:r>
        <w:rPr>
          <w:rFonts w:ascii="Montserrat" w:eastAsia="Montserrat" w:hAnsi="Montserrat" w:cs="Montserrat"/>
          <w:sz w:val="24"/>
          <w:szCs w:val="24"/>
        </w:rPr>
        <w:t>, ki jih pripravljajo in temeljito spremljajo v sodelovanju z ustreznimi mladinskimi organizacijami na nacionalni, regionalni in na lokalni ravni</w:t>
      </w:r>
      <w:r w:rsidR="009E2B73">
        <w:rPr>
          <w:rFonts w:ascii="Montserrat" w:eastAsia="Montserrat" w:hAnsi="Montserrat" w:cs="Montserrat"/>
          <w:sz w:val="24"/>
          <w:szCs w:val="24"/>
        </w:rPr>
        <w:t xml:space="preserve">, </w:t>
      </w:r>
      <w:r>
        <w:rPr>
          <w:rFonts w:ascii="Montserrat" w:eastAsia="Montserrat" w:hAnsi="Montserrat" w:cs="Montserrat"/>
          <w:sz w:val="24"/>
          <w:szCs w:val="24"/>
        </w:rPr>
        <w:t xml:space="preserve">hkrati pa zagotavlja redno in nacionalno usposabljanje učiteljev, sofinancirano iz proračuna EU. </w:t>
      </w:r>
    </w:p>
    <w:p w14:paraId="5F1860E6" w14:textId="77777777" w:rsidR="00BF2D2B" w:rsidRDefault="007E4EB5">
      <w:pPr>
        <w:widowControl w:val="0"/>
        <w:spacing w:before="351" w:line="280" w:lineRule="auto"/>
        <w:ind w:left="1091" w:right="493" w:hanging="334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B. Pozivamo države članice in Evropsko komisijo, naj vključijo zagotavljanje kakovostnega obveščanja in svetovanja za mlade v skladu z Evropsko listino o obveščanju mladih v svoje strategije za mlade in zagotovijo vire za nacionalni koordinacijski organ za informiranje mladih, da bi mladi lahko dostopali do ustreznih informacij na evropski, nacionalni, regionalni in lokalni ravni. </w:t>
      </w:r>
    </w:p>
    <w:p w14:paraId="454A3CB5" w14:textId="49C6B0A0" w:rsidR="00BF2D2B" w:rsidRDefault="007E4EB5">
      <w:pPr>
        <w:widowControl w:val="0"/>
        <w:spacing w:before="352" w:line="280" w:lineRule="auto"/>
        <w:ind w:left="1084" w:right="482" w:hanging="341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C. Priporočamo, da Evropska komisija vzpostavi strategijo EU za obveščanje mladih, ki državam članicam zagotavlja smernice za soustvarjanje komunikaci</w:t>
      </w:r>
      <w:r w:rsidR="009E2B73">
        <w:rPr>
          <w:rFonts w:ascii="Montserrat" w:eastAsia="Montserrat" w:hAnsi="Montserrat" w:cs="Montserrat"/>
          <w:sz w:val="24"/>
          <w:szCs w:val="24"/>
        </w:rPr>
        <w:t>je</w:t>
      </w:r>
      <w:r>
        <w:rPr>
          <w:rFonts w:ascii="Montserrat" w:eastAsia="Montserrat" w:hAnsi="Montserrat" w:cs="Montserrat"/>
          <w:sz w:val="24"/>
          <w:szCs w:val="24"/>
        </w:rPr>
        <w:t xml:space="preserve"> z mladimi glede politik in publikacij, povezanih z mladimi, ter zagotovi, da so ta sporočila objavljena na evropskem mladinskem portalu, kjer razpravljajo mladi in lahko pride do dialoga.</w:t>
      </w:r>
    </w:p>
    <w:p w14:paraId="4C07CDD6" w14:textId="77777777" w:rsidR="00BF2D2B" w:rsidRDefault="00BF2D2B"/>
    <w:sectPr w:rsidR="00BF2D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2B"/>
    <w:rsid w:val="004C038E"/>
    <w:rsid w:val="007E4EB5"/>
    <w:rsid w:val="009E2B73"/>
    <w:rsid w:val="00B81B8B"/>
    <w:rsid w:val="00BF2D2B"/>
    <w:rsid w:val="00CE3F9E"/>
    <w:rsid w:val="00E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6932"/>
  <w15:docId w15:val="{046CF33A-455E-4B01-B465-DFA0031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Rožman Atelšek</dc:creator>
  <cp:lastModifiedBy>Nataša Lombergar</cp:lastModifiedBy>
  <cp:revision>2</cp:revision>
  <dcterms:created xsi:type="dcterms:W3CDTF">2021-11-05T08:46:00Z</dcterms:created>
  <dcterms:modified xsi:type="dcterms:W3CDTF">2021-11-05T08:46:00Z</dcterms:modified>
</cp:coreProperties>
</file>